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重点排污单位年度报告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2022年报</w:t>
      </w:r>
      <w:r>
        <w:rPr>
          <w:rFonts w:ascii="Times New Roman" w:hAnsi="Times New Roman" w:cs="Times New Roman"/>
          <w:sz w:val="32"/>
          <w:szCs w:val="32"/>
        </w:rPr>
        <w:t>）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单位名称：</w:t>
      </w:r>
      <w:r>
        <w:rPr>
          <w:rFonts w:hint="eastAsia" w:ascii="Times New Roman" w:hAnsi="Times New Roman" w:cs="Times New Roman"/>
          <w:sz w:val="30"/>
          <w:szCs w:val="30"/>
        </w:rPr>
        <w:t>兴海县鹏飞有色金属采选有限公司</w:t>
      </w:r>
    </w:p>
    <w:p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统一社会信用代码：</w:t>
      </w:r>
      <w:r>
        <w:rPr>
          <w:rFonts w:hint="eastAsia" w:ascii="Times New Roman" w:hAnsi="Times New Roman" w:cs="Times New Roman"/>
          <w:sz w:val="30"/>
          <w:szCs w:val="30"/>
        </w:rPr>
        <w:t>916325247814237693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报告年度：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2022年度</w:t>
      </w:r>
    </w:p>
    <w:p>
      <w:pPr>
        <w:spacing w:line="600" w:lineRule="atLeast"/>
        <w:ind w:firstLine="480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法定代表人（实际负责人）：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曾国元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>
      <w:pPr>
        <w:spacing w:line="600" w:lineRule="atLeast"/>
        <w:ind w:firstLine="480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技术负责人：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唐金文</w:t>
      </w:r>
    </w:p>
    <w:p>
      <w:pPr>
        <w:spacing w:line="600" w:lineRule="atLeast"/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固定电话：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移动电话：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13309747999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textWrapping"/>
      </w:r>
      <w:r>
        <w:rPr>
          <w:rFonts w:ascii="Times New Roman" w:hAnsi="Times New Roman" w:cs="Times New Roman"/>
          <w:sz w:val="21"/>
          <w:szCs w:val="21"/>
        </w:rPr>
        <w:br w:type="textWrapping"/>
      </w:r>
    </w:p>
    <w:p>
      <w:pPr>
        <w:spacing w:line="240" w:lineRule="atLeast"/>
        <w:jc w:val="right"/>
        <w:rPr>
          <w:rFonts w:hint="eastAsia" w:ascii="Times New Roman" w:hAnsi="Times New Roman" w:cs="Times New Roman"/>
          <w:b/>
          <w:bCs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</w:rPr>
        <w:t>兴海县鹏飞有色金属采选有限公司</w:t>
      </w:r>
    </w:p>
    <w:p>
      <w:pPr>
        <w:spacing w:line="240" w:lineRule="atLeast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（盖章）</w:t>
      </w:r>
    </w:p>
    <w:p>
      <w:pPr>
        <w:spacing w:line="240" w:lineRule="atLeast"/>
        <w:jc w:val="right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spacing w:line="240" w:lineRule="atLeast"/>
        <w:jc w:val="righ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编制日期：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2023</w:t>
      </w:r>
      <w:r>
        <w:rPr>
          <w:rFonts w:ascii="Times New Roman" w:hAnsi="Times New Roman" w:cs="Times New Roman"/>
          <w:b/>
          <w:bCs/>
          <w:sz w:val="30"/>
          <w:szCs w:val="30"/>
        </w:rPr>
        <w:t>年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3</w:t>
      </w:r>
      <w:r>
        <w:rPr>
          <w:rFonts w:ascii="Times New Roman" w:hAnsi="Times New Roman" w:cs="Times New Roman"/>
          <w:b/>
          <w:bCs/>
          <w:sz w:val="30"/>
          <w:szCs w:val="30"/>
        </w:rPr>
        <w:t>月</w:t>
      </w: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1</w:t>
      </w:r>
      <w:r>
        <w:rPr>
          <w:rFonts w:ascii="Times New Roman" w:hAnsi="Times New Roman" w:cs="Times New Roman"/>
          <w:b/>
          <w:bCs/>
          <w:sz w:val="30"/>
          <w:szCs w:val="30"/>
        </w:rPr>
        <w:t>日</w:t>
      </w:r>
    </w:p>
    <w:p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ind w:firstLine="48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spacing w:after="2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480060</wp:posOffset>
                </wp:positionV>
                <wp:extent cx="825500" cy="41275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1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5pt;margin-top:37.8pt;height:32.5pt;width:65pt;z-index:251659264;v-text-anchor:middle;mso-width-relative:page;mso-height-relative:page;" fillcolor="#FFFFFF [3212]" filled="t" stroked="t" coordsize="21600,21600" o:gfxdata="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MmDgnYAAAACgEAAA8AAAAAAAAAAQAgAAAAIgAAAGRycy9kb3ducmV2LnhtbFBL&#10;AQIUABQAAAAIAIdO4kBjibG9aAIAAPMEAAAOAAAAAAAAAAEAIAAAACcBAABkcnMvZTJvRG9jLnht&#10;bFBLBQYAAAAABgAGAFkBAAAB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0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spacing w:line="60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spacing w:line="600" w:lineRule="atLeast"/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spacing w:line="600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承诺书</w:t>
      </w:r>
    </w:p>
    <w:p>
      <w:pPr>
        <w:spacing w:line="600" w:lineRule="atLeast"/>
        <w:rPr>
          <w:rFonts w:ascii="Times New Roman" w:hAnsi="Times New Roman" w:cs="Times New Roman"/>
          <w:sz w:val="30"/>
          <w:szCs w:val="30"/>
        </w:rPr>
      </w:pPr>
    </w:p>
    <w:p>
      <w:pPr>
        <w:spacing w:line="6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兴海县</w:t>
      </w:r>
      <w:r>
        <w:rPr>
          <w:rFonts w:ascii="Times New Roman" w:hAnsi="Times New Roman" w:cs="Times New Roman"/>
          <w:sz w:val="28"/>
          <w:szCs w:val="28"/>
        </w:rPr>
        <w:t>生态环境局：</w:t>
      </w:r>
    </w:p>
    <w:p>
      <w:pPr>
        <w:pStyle w:val="99"/>
        <w:ind w:firstLine="560" w:firstLineChars="20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lang w:val="en-US" w:eastAsia="zh-CN"/>
        </w:rPr>
        <w:t>青海省循化县谢坑铜金矿</w:t>
      </w:r>
      <w:r>
        <w:rPr>
          <w:rFonts w:ascii="Times New Roman" w:cs="Times New Roman"/>
          <w:sz w:val="28"/>
          <w:szCs w:val="28"/>
        </w:rPr>
        <w:t>承诺提交的年度环境信息依法披露报告中各项内容和数据均真实、准确、完整，不存在虚假记载、误导性陈述或重大遗漏，并愿承担相应的法律责任。我单位将自觉接受生态环境主管部门监管和社会公众监督，如提交的内容和数据与实际情况不符，将积极配合调查，并依法接受处罚。</w:t>
      </w:r>
    </w:p>
    <w:p>
      <w:pPr>
        <w:spacing w:line="600" w:lineRule="atLeas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特此承诺。</w:t>
      </w:r>
    </w:p>
    <w:p>
      <w:pPr>
        <w:spacing w:after="300" w:line="600" w:lineRule="atLeas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br w:type="textWrapping"/>
      </w:r>
      <w:r>
        <w:rPr>
          <w:rFonts w:ascii="Times New Roman" w:hAnsi="Times New Roman" w:cs="Times New Roman"/>
          <w:sz w:val="30"/>
          <w:szCs w:val="30"/>
        </w:rPr>
        <w:br w:type="textWrapping"/>
      </w:r>
    </w:p>
    <w:p>
      <w:pPr>
        <w:spacing w:line="600" w:lineRule="atLeas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单位名称（盖章）：</w:t>
      </w:r>
    </w:p>
    <w:p>
      <w:pPr>
        <w:spacing w:line="600" w:lineRule="atLeas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法定代表人（签字）：</w:t>
      </w:r>
    </w:p>
    <w:p>
      <w:pPr>
        <w:spacing w:line="600" w:lineRule="atLeast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环保工作负责人（签字）：</w:t>
      </w:r>
    </w:p>
    <w:p>
      <w:pPr>
        <w:spacing w:line="600" w:lineRule="atLeast"/>
        <w:ind w:firstLine="48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日 期：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2023年3月1日</w:t>
      </w:r>
    </w:p>
    <w:p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</w:p>
    <w:p>
      <w:pPr>
        <w:spacing w:after="300"/>
        <w:ind w:left="600" w:right="600" w:firstLine="480"/>
        <w:rPr>
          <w:rFonts w:ascii="Times New Roman" w:hAnsi="Times New Roman" w:cs="Times New Roman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311150</wp:posOffset>
                </wp:positionV>
                <wp:extent cx="825500" cy="412750"/>
                <wp:effectExtent l="0" t="0" r="127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1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5pt;margin-top:24.5pt;height:32.5pt;width:65pt;z-index:251660288;v-text-anchor:middle;mso-width-relative:page;mso-height-relative:page;" fillcolor="#FFFFFF [3212]" filled="t" stroked="t" coordsize="21600,21600" o:gfxdata="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SMeY62AAAAAoBAAAPAAAAAAAAAAEAIAAAACIAAABkcnMvZG93bnJldi54bWxQ&#10;SwECFAAUAAAACACHTuJAV+VOQmkCAADzBAAADgAAAAAAAAABACAAAAAnAQAAZHJzL2Uyb0RvYy54&#10;bWxQSwUGAAAAAAYABgBZAQAAAg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> </w:t>
      </w:r>
    </w:p>
    <w:p>
      <w:pPr>
        <w:pStyle w:val="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一、关键环境信息提要</w:t>
      </w: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（一）年度生态环境行政许可变更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表1-1年度生态环境行政许可变更情况汇总表</w:t>
      </w: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变更情况</w:t>
            </w: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项目名称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目前进度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审批部门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批复文号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批复日期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新增</w:t>
            </w: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变更</w:t>
            </w: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延续</w:t>
            </w: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撤销</w:t>
            </w: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82" w:type="dxa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正在申请</w:t>
            </w: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（二）年度主要污染物排放和碳排放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表1-2年度生态环境行政许可变更情况汇总表</w:t>
      </w:r>
    </w:p>
    <w:tbl>
      <w:tblPr>
        <w:tblStyle w:val="10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932"/>
        <w:gridCol w:w="960"/>
        <w:gridCol w:w="1788"/>
        <w:gridCol w:w="857"/>
        <w:gridCol w:w="847"/>
        <w:gridCol w:w="846"/>
        <w:gridCol w:w="847"/>
        <w:gridCol w:w="112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排放口类型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排放口编码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排放口名称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污染物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实际排放量（吨）</w:t>
            </w:r>
          </w:p>
        </w:tc>
        <w:tc>
          <w:tcPr>
            <w:tcW w:w="763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1季度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2季度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3季度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4季度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年度合计</w:t>
            </w:r>
          </w:p>
        </w:tc>
        <w:tc>
          <w:tcPr>
            <w:tcW w:w="763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废水循环利用无外排，矿山及选矿厂用能采用国家电网无碳排放。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废气</w:t>
            </w: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NOx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hint="default" w:cs="Times New Roman"/>
                <w:sz w:val="21"/>
                <w:szCs w:val="21"/>
                <w:lang w:val="en-US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VOCs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DA001</w:t>
            </w:r>
          </w:p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除尘器01、除尘器02、除尘器03、除尘器04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颗粒物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2.98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SO2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废水</w:t>
            </w: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无外排水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无外排水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COD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无外排水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无外排水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NH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cs="Times New Roman"/>
                <w:sz w:val="21"/>
                <w:szCs w:val="21"/>
              </w:rPr>
              <w:t>-N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无外排水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无外排水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TN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无外排水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无外排水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TP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hint="default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hint="default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hint="default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hint="default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hint="default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一般固废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127530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危险废物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有毒有害物质</w:t>
            </w: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碳</w:t>
            </w:r>
          </w:p>
        </w:tc>
        <w:tc>
          <w:tcPr>
            <w:tcW w:w="932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restart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全厂合计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NOx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VOCs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颗粒物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hint="default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2.98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SO2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COD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NH</w:t>
            </w:r>
            <w:r>
              <w:rPr>
                <w:rFonts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cs="Times New Roman"/>
                <w:sz w:val="21"/>
                <w:szCs w:val="21"/>
              </w:rPr>
              <w:t>-N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TN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TP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一般固废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>127530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危险废物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tabs>
                <w:tab w:val="left" w:pos="237"/>
              </w:tabs>
              <w:jc w:val="left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tabs>
                <w:tab w:val="left" w:pos="237"/>
              </w:tabs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tabs>
                <w:tab w:val="left" w:pos="237"/>
              </w:tabs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tabs>
                <w:tab w:val="left" w:pos="237"/>
              </w:tabs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ab/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tabs>
                <w:tab w:val="left" w:pos="237"/>
              </w:tabs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有毒有害物质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7" w:type="dxa"/>
            <w:gridSpan w:val="3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碳</w:t>
            </w:r>
          </w:p>
        </w:tc>
        <w:tc>
          <w:tcPr>
            <w:tcW w:w="85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3" w:type="dxa"/>
            <w:vMerge w:val="continue"/>
            <w:vAlign w:val="center"/>
          </w:tcPr>
          <w:p>
            <w:pPr>
              <w:pStyle w:val="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>
      <w:pPr>
        <w:pStyle w:val="8"/>
        <w:shd w:val="clear" w:color="auto" w:fill="FFFFFF"/>
        <w:adjustRightInd w:val="0"/>
        <w:snapToGrid w:val="0"/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*固（危）废指产生量</w:t>
      </w:r>
      <w:r>
        <w:rPr>
          <w:rFonts w:hint="eastAsia" w:ascii="Times New Roman" w:hAnsi="Times New Roman" w:cs="Times New Roman"/>
          <w:b/>
          <w:lang w:eastAsia="zh-CN"/>
        </w:rPr>
        <w:t>及利用处置量</w:t>
      </w: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（三）生态环境行政处罚、司法判决等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表1-3生态环境行政处罚、司法判决情况汇总表</w:t>
      </w: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事由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文号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行政处罚</w:t>
            </w: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司法判决</w:t>
            </w: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</w:tbl>
    <w:p>
      <w:pPr>
        <w:pStyle w:val="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二、企业基本信息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表2-1企业基本信息表</w:t>
      </w:r>
    </w:p>
    <w:tbl>
      <w:tblPr>
        <w:tblStyle w:val="9"/>
        <w:tblW w:w="84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2341"/>
        <w:gridCol w:w="3180"/>
        <w:gridCol w:w="1157"/>
        <w:gridCol w:w="9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项目</w:t>
            </w:r>
          </w:p>
        </w:tc>
        <w:tc>
          <w:tcPr>
            <w:tcW w:w="5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内容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执行情况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（一）排污单位基本信息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单位名称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兴海县鹏飞有色金属采选有限公司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注册地址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</w:rPr>
              <w:t>青海省兴海县子科滩镇长江西路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邮政编码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813399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生产经营场所地址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</w:rPr>
              <w:t>青海省兴海县子科滩镇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行业类别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有色金属采选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生产经营场所中心经度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</w:rPr>
              <w:t xml:space="preserve">度 </w:t>
            </w:r>
            <w:r>
              <w:rPr>
                <w:rFonts w:hint="eastAsia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</w:rPr>
              <w:t>分</w:t>
            </w:r>
            <w:r>
              <w:rPr>
                <w:rFonts w:hint="eastAsia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  <w:lang w:val="en-US" w:eastAsia="zh-CN"/>
              </w:rPr>
              <w:t>50.54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</w:rPr>
              <w:t>秒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生产经营场所中心纬度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</w:rPr>
              <w:t>35度</w:t>
            </w:r>
            <w:r>
              <w:rPr>
                <w:rFonts w:hint="eastAsia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</w:rPr>
              <w:t xml:space="preserve">分 </w:t>
            </w:r>
            <w:r>
              <w:rPr>
                <w:rFonts w:hint="eastAsia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  <w:lang w:val="en-US" w:eastAsia="zh-CN"/>
              </w:rPr>
              <w:t>30.56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</w:rPr>
              <w:t>秒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统一社会信用代码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916325247814237693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技术负责人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唐金文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联系电话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18"/>
                <w:szCs w:val="18"/>
                <w:shd w:val="clear" w:fill="FFFFFF"/>
              </w:rPr>
              <w:t>15000666677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（二）企业属性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企业性质*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民营企业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是否属于重点排污单位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是否属于实施强制性清洁生产审核的企业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（三）主要产品及服务**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铅精矿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4t/a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锌精矿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7t/a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（三）主要生产工艺名称</w:t>
            </w: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矿山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地下开采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选矿厂</w:t>
            </w: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浮选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cs="Times New Roman"/>
                <w:sz w:val="21"/>
                <w:szCs w:val="21"/>
              </w:rPr>
            </w:pPr>
          </w:p>
        </w:tc>
      </w:tr>
    </w:tbl>
    <w:p>
      <w:pPr>
        <w:pStyle w:val="41"/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注：1*指</w:t>
      </w:r>
      <w:r>
        <w:rPr>
          <w:rFonts w:ascii="Times New Roman" w:hAnsi="Times New Roman" w:cs="Times New Roman"/>
          <w:sz w:val="23"/>
          <w:szCs w:val="23"/>
        </w:rPr>
        <w:t>属于国有企业、民营企业、外资企业、集体企业、上市公司、发债企业等企业性质。2**属于国家、地方等公布的鼓励类、限制类或淘汰类目录（名录）3</w:t>
      </w:r>
      <w:r>
        <w:rPr>
          <w:rFonts w:ascii="Times New Roman" w:hAnsi="Times New Roman" w:cs="Times New Roman"/>
          <w:sz w:val="21"/>
          <w:szCs w:val="21"/>
        </w:rPr>
        <w:t>对于选择“变化”的，应在“原因分析”中详细说明。</w:t>
      </w:r>
    </w:p>
    <w:p>
      <w:pPr>
        <w:pStyle w:val="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三、企业环境管理信息</w:t>
      </w: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（一）生态环境行政许可信息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表3-1企业环境管理信息汇总表</w:t>
      </w:r>
    </w:p>
    <w:tbl>
      <w:tblPr>
        <w:tblStyle w:val="10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92"/>
        <w:gridCol w:w="1192"/>
        <w:gridCol w:w="1192"/>
        <w:gridCol w:w="1192"/>
        <w:gridCol w:w="1192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许可名称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编号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审批文件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核发机关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获取时间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有效期限</w:t>
            </w:r>
          </w:p>
        </w:tc>
        <w:tc>
          <w:tcPr>
            <w:tcW w:w="17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主要许可事项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固定污染源排污登记回执 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916325247814237693001W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兴海县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生态环境局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2018年10月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8日 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2018年10月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8日至2023年10月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7日</w:t>
            </w: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hint="eastAsia"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（二）环境保护税缴纳信息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表3-2 环境保护税缴纳信息表</w:t>
      </w:r>
    </w:p>
    <w:tbl>
      <w:tblPr>
        <w:tblStyle w:val="9"/>
        <w:tblW w:w="86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1752"/>
        <w:gridCol w:w="2091"/>
        <w:gridCol w:w="1980"/>
        <w:gridCol w:w="1067"/>
        <w:gridCol w:w="9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税目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污染物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缴纳额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实际缴纳额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减免情况</w:t>
            </w: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（一）废气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NOx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</w:p>
        </w:tc>
        <w:tc>
          <w:tcPr>
            <w:tcW w:w="9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废水循环利用无外排，矿山及选矿厂用能采用国家电网无碳排放。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VOCs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7800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7800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SO2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否</w:t>
            </w: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（二）废水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COD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NH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-N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TN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TP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（三）固体废物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一般固废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危险废物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（四）噪声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7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合计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7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减征或免征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情况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57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减免后合计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hint="eastAsia"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（三）投保环境污染责任保险信息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表3-3投保环境污染责任保险信息汇总表</w:t>
      </w:r>
    </w:p>
    <w:tbl>
      <w:tblPr>
        <w:tblStyle w:val="10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512"/>
        <w:gridCol w:w="1039"/>
        <w:gridCol w:w="1701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类型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投保保额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是否当年新增投保</w:t>
            </w:r>
          </w:p>
        </w:tc>
        <w:tc>
          <w:tcPr>
            <w:tcW w:w="151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投保时间</w:t>
            </w:r>
          </w:p>
        </w:tc>
        <w:tc>
          <w:tcPr>
            <w:tcW w:w="1039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投保截止日期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承保公司</w:t>
            </w:r>
          </w:p>
        </w:tc>
        <w:tc>
          <w:tcPr>
            <w:tcW w:w="788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（四）环保信用评价等级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表3-4环保信用评价等级汇总表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0"/>
        <w:gridCol w:w="1430"/>
        <w:gridCol w:w="1430"/>
        <w:gridCol w:w="143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类型</w:t>
            </w:r>
          </w:p>
        </w:tc>
        <w:tc>
          <w:tcPr>
            <w:tcW w:w="1430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评价机构</w:t>
            </w:r>
          </w:p>
        </w:tc>
        <w:tc>
          <w:tcPr>
            <w:tcW w:w="1430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前一年等级</w:t>
            </w:r>
          </w:p>
        </w:tc>
        <w:tc>
          <w:tcPr>
            <w:tcW w:w="1430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当年等级</w:t>
            </w:r>
          </w:p>
        </w:tc>
        <w:tc>
          <w:tcPr>
            <w:tcW w:w="1430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变化原因</w:t>
            </w:r>
          </w:p>
        </w:tc>
        <w:tc>
          <w:tcPr>
            <w:tcW w:w="1372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0" w:type="dxa"/>
          </w:tcPr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430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430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430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430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372" w:type="dxa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2022年因新冠疫情导致矿山和选矿厂无法持续生产。故无法开展环保信用评价工作</w:t>
            </w:r>
          </w:p>
        </w:tc>
      </w:tr>
    </w:tbl>
    <w:p>
      <w:pPr>
        <w:pStyle w:val="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四、污染物产生、治理与排放信息</w:t>
      </w: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（一）污染防治设施信息</w:t>
      </w:r>
    </w:p>
    <w:p>
      <w:pPr>
        <w:pStyle w:val="4"/>
        <w:shd w:val="clear" w:color="auto" w:fill="FFFFFF"/>
        <w:rPr>
          <w:rFonts w:hint="eastAsia"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1.污染防治设施正常运行信息表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表4-1-1污染防治设施信息表</w:t>
      </w:r>
    </w:p>
    <w:tbl>
      <w:tblPr>
        <w:tblStyle w:val="10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92"/>
        <w:gridCol w:w="1100"/>
        <w:gridCol w:w="1104"/>
        <w:gridCol w:w="1104"/>
        <w:gridCol w:w="743"/>
        <w:gridCol w:w="1019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设施名称</w:t>
            </w:r>
          </w:p>
        </w:tc>
        <w:tc>
          <w:tcPr>
            <w:tcW w:w="1192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产污环节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处理的污染物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排放口名称</w:t>
            </w:r>
          </w:p>
        </w:tc>
        <w:tc>
          <w:tcPr>
            <w:tcW w:w="1104" w:type="dxa"/>
            <w:vMerge w:val="restart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排放口编号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第三方运维单位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92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04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4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名称</w:t>
            </w:r>
          </w:p>
        </w:tc>
        <w:tc>
          <w:tcPr>
            <w:tcW w:w="1019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联系人</w:t>
            </w:r>
          </w:p>
        </w:tc>
        <w:tc>
          <w:tcPr>
            <w:tcW w:w="1246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除尘器</w:t>
            </w:r>
          </w:p>
        </w:tc>
        <w:tc>
          <w:tcPr>
            <w:tcW w:w="1192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破碎</w:t>
            </w:r>
          </w:p>
        </w:tc>
        <w:tc>
          <w:tcPr>
            <w:tcW w:w="110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粉尘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除尘器01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DA001</w:t>
            </w:r>
          </w:p>
        </w:tc>
        <w:tc>
          <w:tcPr>
            <w:tcW w:w="74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除尘器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破碎</w:t>
            </w:r>
          </w:p>
        </w:tc>
        <w:tc>
          <w:tcPr>
            <w:tcW w:w="110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粉尘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除尘器02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除尘器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破碎</w:t>
            </w:r>
          </w:p>
        </w:tc>
        <w:tc>
          <w:tcPr>
            <w:tcW w:w="110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粉尘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除尘器03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除尘器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破碎</w:t>
            </w:r>
          </w:p>
        </w:tc>
        <w:tc>
          <w:tcPr>
            <w:tcW w:w="1100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粉尘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除尘器04</w:t>
            </w:r>
          </w:p>
        </w:tc>
        <w:tc>
          <w:tcPr>
            <w:tcW w:w="1104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3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2.污染防治设施非正常运行信息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表4-1-2污染防治设施非正常运行信息表</w:t>
      </w:r>
    </w:p>
    <w:tbl>
      <w:tblPr>
        <w:tblStyle w:val="10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98"/>
        <w:gridCol w:w="914"/>
        <w:gridCol w:w="882"/>
        <w:gridCol w:w="905"/>
        <w:gridCol w:w="166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设施名称</w:t>
            </w:r>
          </w:p>
        </w:tc>
        <w:tc>
          <w:tcPr>
            <w:tcW w:w="1698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处理的污染物</w:t>
            </w:r>
          </w:p>
        </w:tc>
        <w:tc>
          <w:tcPr>
            <w:tcW w:w="91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次数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日期</w:t>
            </w:r>
          </w:p>
        </w:tc>
        <w:tc>
          <w:tcPr>
            <w:tcW w:w="905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时长</w:t>
            </w:r>
          </w:p>
        </w:tc>
        <w:tc>
          <w:tcPr>
            <w:tcW w:w="1660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主要原因</w:t>
            </w:r>
          </w:p>
        </w:tc>
        <w:tc>
          <w:tcPr>
            <w:tcW w:w="159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698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91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905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660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59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698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91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905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660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59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698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91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905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660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59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698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91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882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905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660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594" w:type="dxa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（二）主要水污染物、大气污染物排放相关信息</w:t>
      </w: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1.水污染物和有组织大气污染物排放相关信息</w:t>
      </w:r>
    </w:p>
    <w:p>
      <w:pPr>
        <w:pStyle w:val="8"/>
        <w:rPr>
          <w:rFonts w:ascii="Times New Roman" w:hAnsi="Times New Roman" w:cs="Times New Roman"/>
          <w:b/>
          <w:bCs/>
        </w:rPr>
      </w:pP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表4-2-1水污染物和有组织大气污染物排放信息表</w:t>
      </w:r>
    </w:p>
    <w:tbl>
      <w:tblPr>
        <w:tblStyle w:val="9"/>
        <w:tblW w:w="94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890"/>
        <w:gridCol w:w="999"/>
        <w:gridCol w:w="997"/>
        <w:gridCol w:w="999"/>
        <w:gridCol w:w="1716"/>
        <w:gridCol w:w="1142"/>
        <w:gridCol w:w="997"/>
        <w:gridCol w:w="8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  <w:jc w:val="center"/>
        </w:trPr>
        <w:tc>
          <w:tcPr>
            <w:tcW w:w="81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排放口类型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排放口编号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排放口名称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污染物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实际排放总量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排放浓度年均值（大气/小时、水/日均）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是否安装在线监测设备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在线监测设备名称和型号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是否与环境部门联网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废气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DA001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除尘器01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0.675mg/m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DA002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除尘器02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0.638mg/m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DA003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除尘器03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0.74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0.662mg/m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DA004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除尘器04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0.74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0.570mg/m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废水</w:t>
            </w: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DA010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COD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1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DA010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NH3-N</w:t>
            </w:r>
          </w:p>
        </w:tc>
        <w:tc>
          <w:tcPr>
            <w:tcW w:w="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2.无组织大气污染物排放相关信息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表4-2-2无组织排放污染物排放信息表</w:t>
      </w:r>
    </w:p>
    <w:tbl>
      <w:tblPr>
        <w:tblStyle w:val="9"/>
        <w:tblW w:w="83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681"/>
        <w:gridCol w:w="1957"/>
        <w:gridCol w:w="3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监测点位名称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污染物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实际排放总量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实际排放浓度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COD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NH3-N</w:t>
            </w:r>
          </w:p>
        </w:tc>
        <w:tc>
          <w:tcPr>
            <w:tcW w:w="19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3.自行监测相关信息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表4-2-2自行监测相关信息表</w:t>
      </w:r>
    </w:p>
    <w:tbl>
      <w:tblPr>
        <w:tblStyle w:val="9"/>
        <w:tblW w:w="87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854"/>
        <w:gridCol w:w="904"/>
        <w:gridCol w:w="1377"/>
        <w:gridCol w:w="714"/>
        <w:gridCol w:w="711"/>
        <w:gridCol w:w="2028"/>
        <w:gridCol w:w="13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5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全年生产天数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排放口名称</w:t>
            </w:r>
          </w:p>
        </w:tc>
        <w:tc>
          <w:tcPr>
            <w:tcW w:w="90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污染物</w:t>
            </w:r>
          </w:p>
        </w:tc>
        <w:tc>
          <w:tcPr>
            <w:tcW w:w="137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自行监测天数（次数）</w:t>
            </w:r>
          </w:p>
        </w:tc>
        <w:tc>
          <w:tcPr>
            <w:tcW w:w="71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达标次数</w:t>
            </w:r>
          </w:p>
        </w:tc>
        <w:tc>
          <w:tcPr>
            <w:tcW w:w="71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超标次数</w:t>
            </w:r>
          </w:p>
        </w:tc>
        <w:tc>
          <w:tcPr>
            <w:tcW w:w="33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第三方检测机构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5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1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1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名称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pStyle w:val="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资质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除尘器01、除尘器02、除尘器03、除尘器04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60/次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浙江中通检测科技有限公司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除尘器01、除尘器02、除尘器03、除尘器04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粉尘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60/次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浙江中通检测科技有限公司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除尘器01、除尘器02、除尘器03、除尘器04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COD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60/次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浙江中通检测科技有限公司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除尘器01、除尘器02、除尘器03、除尘器04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NH3-N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60/次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浙江中通检测科技有限公司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（三）工业固体废物的产生、贮存、流向和利用处置信息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表4-3-1固体废物信息表</w:t>
      </w:r>
    </w:p>
    <w:tbl>
      <w:tblPr>
        <w:tblStyle w:val="9"/>
        <w:tblW w:w="85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720"/>
        <w:gridCol w:w="911"/>
        <w:gridCol w:w="812"/>
        <w:gridCol w:w="862"/>
        <w:gridCol w:w="1149"/>
        <w:gridCol w:w="2041"/>
        <w:gridCol w:w="13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名称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种类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成分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等级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产生量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贮存量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利用处置方式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尾矿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尾矿</w:t>
            </w:r>
          </w:p>
        </w:tc>
        <w:tc>
          <w:tcPr>
            <w:tcW w:w="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颗粒物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127530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127530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贮存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表4-3-2一般工业固体废物贮存或自行利用处置信息表</w:t>
      </w:r>
    </w:p>
    <w:tbl>
      <w:tblPr>
        <w:tblStyle w:val="9"/>
        <w:tblW w:w="84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945"/>
        <w:gridCol w:w="500"/>
        <w:gridCol w:w="989"/>
        <w:gridCol w:w="714"/>
        <w:gridCol w:w="712"/>
        <w:gridCol w:w="1425"/>
        <w:gridCol w:w="490"/>
        <w:gridCol w:w="1005"/>
        <w:gridCol w:w="10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31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贮存</w:t>
            </w:r>
          </w:p>
        </w:tc>
        <w:tc>
          <w:tcPr>
            <w:tcW w:w="46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场所或设施的类型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库容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累计贮存量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经纬度坐标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利用处置方式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利用处置场所或设施的类型</w:t>
            </w: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面积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累计利用处置量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兴海县什多龙铅锌矿选矿厂二期尾矿库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尾矿库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16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18"/>
              </w:rPr>
              <w:t>244.2</w:t>
            </w:r>
            <w:r>
              <w:rPr>
                <w:rFonts w:hint="eastAsia" w:ascii="宋体" w:hAnsi="宋体"/>
                <w:sz w:val="20"/>
                <w:szCs w:val="16"/>
              </w:rPr>
              <w:t>万m</w:t>
            </w:r>
            <w:r>
              <w:rPr>
                <w:rFonts w:hint="eastAsia" w:ascii="宋体" w:hAnsi="宋体"/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19.22</w:t>
            </w:r>
            <w:r>
              <w:rPr>
                <w:rFonts w:hint="eastAsia" w:ascii="宋体" w:hAnsi="宋体"/>
                <w:szCs w:val="21"/>
              </w:rPr>
              <w:t>万m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" w:beforeAutospacing="0" w:after="24" w:afterAutospacing="0" w:line="480" w:lineRule="atLeast"/>
              <w:ind w:left="0" w:right="0" w:firstLine="0"/>
              <w:jc w:val="left"/>
              <w:textAlignment w:val="top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东经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99.565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°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5"/>
                <w:szCs w:val="15"/>
                <w:shd w:val="clear" w:fill="F5F5F5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北纬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35.803055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°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5" w:hRule="atLeast"/>
          <w:jc w:val="center"/>
        </w:trPr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5"/>
                <w:u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兴海县什多龙铅锌矿吉祥滩选矿厂尾矿库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尾矿库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16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296.64</w:t>
            </w:r>
            <w:r>
              <w:rPr>
                <w:rFonts w:hint="eastAsia" w:ascii="宋体" w:hAnsi="宋体"/>
                <w:sz w:val="20"/>
                <w:szCs w:val="16"/>
              </w:rPr>
              <w:t>万m</w:t>
            </w:r>
            <w:r>
              <w:rPr>
                <w:rFonts w:hint="eastAsia" w:ascii="宋体" w:hAnsi="宋体"/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192.19</w:t>
            </w:r>
            <w:r>
              <w:rPr>
                <w:rFonts w:hint="eastAsia" w:ascii="宋体" w:hAnsi="宋体"/>
                <w:szCs w:val="21"/>
              </w:rPr>
              <w:t>万m</w:t>
            </w:r>
            <w:r>
              <w:rPr>
                <w:rFonts w:hint="eastAsia" w:ascii="宋体" w:hAnsi="宋体"/>
                <w:szCs w:val="21"/>
                <w:vertAlign w:val="superscript"/>
              </w:rPr>
              <w:t>3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" w:beforeAutospacing="0" w:after="24" w:afterAutospacing="0" w:line="480" w:lineRule="atLeast"/>
              <w:ind w:left="0" w:right="0" w:firstLine="0"/>
              <w:jc w:val="left"/>
              <w:textAlignment w:val="top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东经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99.565°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" w:beforeAutospacing="0" w:after="24" w:afterAutospacing="0" w:line="4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93939"/>
                <w:spacing w:val="0"/>
                <w:sz w:val="15"/>
                <w:szCs w:val="15"/>
                <w:shd w:val="clear" w:fill="F5F5F5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北纬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16"/>
                <w:szCs w:val="16"/>
                <w:shd w:val="clear" w:fill="FFFFFF"/>
                <w:lang w:val="en-US" w:eastAsia="zh-CN" w:bidi="ar"/>
              </w:rPr>
              <w:t>35.803055°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8"/>
        <w:jc w:val="center"/>
        <w:rPr>
          <w:rFonts w:ascii="Times New Roman" w:hAnsi="Times New Roman" w:cs="Times New Roman"/>
          <w:b/>
          <w:bCs/>
        </w:rPr>
      </w:pP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表4-3-3一般工业固体废物委外利用处置信息表</w:t>
      </w:r>
    </w:p>
    <w:tbl>
      <w:tblPr>
        <w:tblStyle w:val="9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1419"/>
        <w:gridCol w:w="1309"/>
        <w:gridCol w:w="925"/>
        <w:gridCol w:w="1072"/>
        <w:gridCol w:w="1069"/>
        <w:gridCol w:w="17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名称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利用处置方式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受托方名称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资格</w: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技术能力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运输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累计利用处置量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表4-3-4危险废物信息表</w:t>
      </w:r>
    </w:p>
    <w:tbl>
      <w:tblPr>
        <w:tblStyle w:val="9"/>
        <w:tblW w:w="9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997"/>
        <w:gridCol w:w="695"/>
        <w:gridCol w:w="990"/>
        <w:gridCol w:w="846"/>
        <w:gridCol w:w="1045"/>
        <w:gridCol w:w="1424"/>
        <w:gridCol w:w="1139"/>
        <w:gridCol w:w="11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jc w:val="center"/>
        </w:trPr>
        <w:tc>
          <w:tcPr>
            <w:tcW w:w="8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名称</w:t>
            </w:r>
          </w:p>
        </w:tc>
        <w:tc>
          <w:tcPr>
            <w:tcW w:w="99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废物代码</w:t>
            </w:r>
          </w:p>
        </w:tc>
        <w:tc>
          <w:tcPr>
            <w:tcW w:w="69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成分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有害成分</w:t>
            </w:r>
          </w:p>
        </w:tc>
        <w:tc>
          <w:tcPr>
            <w:tcW w:w="84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产生量</w:t>
            </w:r>
          </w:p>
        </w:tc>
        <w:tc>
          <w:tcPr>
            <w:tcW w:w="104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贮存量</w:t>
            </w:r>
          </w:p>
        </w:tc>
        <w:tc>
          <w:tcPr>
            <w:tcW w:w="25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利用处置</w:t>
            </w:r>
          </w:p>
        </w:tc>
        <w:tc>
          <w:tcPr>
            <w:tcW w:w="113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累计贮存量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8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9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13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表4-3-5危险废物贮存或自行利用处置信息表</w:t>
      </w:r>
    </w:p>
    <w:tbl>
      <w:tblPr>
        <w:tblStyle w:val="9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945"/>
        <w:gridCol w:w="500"/>
        <w:gridCol w:w="989"/>
        <w:gridCol w:w="714"/>
        <w:gridCol w:w="712"/>
        <w:gridCol w:w="1425"/>
        <w:gridCol w:w="490"/>
        <w:gridCol w:w="1005"/>
        <w:gridCol w:w="10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  <w:jc w:val="center"/>
        </w:trPr>
        <w:tc>
          <w:tcPr>
            <w:tcW w:w="5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名称</w:t>
            </w:r>
          </w:p>
        </w:tc>
        <w:tc>
          <w:tcPr>
            <w:tcW w:w="31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贮存</w:t>
            </w:r>
          </w:p>
        </w:tc>
        <w:tc>
          <w:tcPr>
            <w:tcW w:w="463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自行利用处置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场所或设施的类型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面积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累计贮存量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经纬度坐标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利用处置方式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利用处置场所或设施的类型</w:t>
            </w: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面积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累计利用处置量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经纬度坐标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表4-3-6危险废物委外利用处置信息表</w:t>
      </w:r>
    </w:p>
    <w:tbl>
      <w:tblPr>
        <w:tblStyle w:val="9"/>
        <w:tblW w:w="85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1418"/>
        <w:gridCol w:w="1309"/>
        <w:gridCol w:w="924"/>
        <w:gridCol w:w="1071"/>
        <w:gridCol w:w="1070"/>
        <w:gridCol w:w="19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利用处置方式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受托方名称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资质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运输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累计利用处置量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危险废物转移联单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（四）排放的有毒有害物质信息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表4-4排放的有毒有害物质信息表</w:t>
      </w:r>
    </w:p>
    <w:tbl>
      <w:tblPr>
        <w:tblStyle w:val="9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2"/>
        <w:gridCol w:w="1569"/>
        <w:gridCol w:w="855"/>
        <w:gridCol w:w="925"/>
        <w:gridCol w:w="1072"/>
        <w:gridCol w:w="1069"/>
        <w:gridCol w:w="17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3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排放口编号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排放口名称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名称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形态</w: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毒性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排放浓度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排放总量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（五）噪声排放信息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表4-5噪声排放信息表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1320"/>
        <w:gridCol w:w="950"/>
        <w:gridCol w:w="758"/>
        <w:gridCol w:w="1085"/>
        <w:gridCol w:w="1262"/>
        <w:gridCol w:w="854"/>
        <w:gridCol w:w="682"/>
        <w:gridCol w:w="10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测点位置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 xml:space="preserve">昼间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Leq (dB (A) J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 xml:space="preserve">夜间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Leq (dB (A)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测量时间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测量值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标准 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声源类型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测量时间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测量 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标准 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噪声类型</w:t>
            </w:r>
          </w:p>
        </w:tc>
      </w:tr>
      <w:tr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Z1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厂界东 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54.1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工业噪声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44.1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工业噪声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厂界南 侧</w:t>
            </w:r>
          </w:p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14:39-15:11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533</w:t>
            </w:r>
          </w:p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工业噪声</w:t>
            </w:r>
          </w:p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22:17-23:20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45.4</w:t>
            </w:r>
          </w:p>
        </w:tc>
        <w:tc>
          <w:tcPr>
            <w:vMerge w:val="restart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工业噪声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Z3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厂界西 侧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55.1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工业噪声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43.4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工业噪声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Z4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厂界北 侧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52.3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工业噪声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43.3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</w:rPr>
              <w:t>工业噪声</w:t>
            </w:r>
          </w:p>
        </w:tc>
      </w:tr>
    </w:tbl>
    <w:p>
      <w:pPr>
        <w:pStyle w:val="4"/>
        <w:shd w:val="clear" w:color="auto" w:fill="FFFFFF"/>
        <w:ind w:firstLine="540" w:firstLineChars="2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厂界噪声</w:t>
      </w:r>
      <w:r>
        <w:rPr>
          <w:rFonts w:hint="eastAsia" w:cs="宋体"/>
          <w:b w:val="0"/>
          <w:bCs w:val="0"/>
          <w:lang w:val="en-US" w:eastAsia="zh-CN"/>
        </w:rPr>
        <w:t>执行</w:t>
      </w:r>
      <w:r>
        <w:rPr>
          <w:rFonts w:hint="eastAsia" w:ascii="宋体" w:hAnsi="宋体" w:eastAsia="宋体" w:cs="宋体"/>
          <w:b w:val="0"/>
          <w:bCs w:val="0"/>
        </w:rPr>
        <w:t>《工业企业厂界环境噪声排放标准》</w:t>
      </w:r>
      <w:r>
        <w:rPr>
          <w:rFonts w:hint="eastAsia" w:cs="宋体"/>
          <w:b w:val="0"/>
          <w:bCs w:val="0"/>
          <w:lang w:eastAsia="zh-CN"/>
        </w:rPr>
        <w:t>（GB12348</w:t>
      </w:r>
      <w:r>
        <w:rPr>
          <w:rFonts w:hint="eastAsia" w:cs="宋体"/>
          <w:b w:val="0"/>
          <w:bCs w:val="0"/>
          <w:lang w:val="en-US" w:eastAsia="zh-CN"/>
        </w:rPr>
        <w:t>-</w:t>
      </w:r>
      <w:r>
        <w:rPr>
          <w:rFonts w:hint="eastAsia" w:cs="宋体"/>
          <w:b w:val="0"/>
          <w:bCs w:val="0"/>
          <w:lang w:eastAsia="zh-CN"/>
        </w:rPr>
        <w:t>2008）</w:t>
      </w:r>
      <w:r>
        <w:rPr>
          <w:rFonts w:hint="eastAsia" w:ascii="宋体" w:hAnsi="宋体" w:eastAsia="宋体" w:cs="宋体"/>
          <w:b w:val="0"/>
          <w:bCs w:val="0"/>
        </w:rPr>
        <w:t>3类标准</w:t>
      </w: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（六）施工扬尘信息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表4-6施工扬尘信息表</w:t>
      </w:r>
    </w:p>
    <w:tbl>
      <w:tblPr>
        <w:tblStyle w:val="9"/>
        <w:tblW w:w="83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2939"/>
        <w:gridCol w:w="1602"/>
        <w:gridCol w:w="17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点位编号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点位名称</w:t>
            </w:r>
          </w:p>
        </w:tc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位置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防治措施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（七）排污许可管理信息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表4-7排污许可管理信息表</w:t>
      </w:r>
    </w:p>
    <w:tbl>
      <w:tblPr>
        <w:tblStyle w:val="9"/>
        <w:tblW w:w="83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4"/>
        <w:gridCol w:w="2939"/>
        <w:gridCol w:w="1602"/>
        <w:gridCol w:w="17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2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执行报告类型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应公开次数</w:t>
            </w:r>
          </w:p>
        </w:tc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实际公开次数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公开的网址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环境影响评价报告</w:t>
            </w:r>
          </w:p>
        </w:tc>
        <w:tc>
          <w:tcPr>
            <w:tcW w:w="2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http://permit.mee.gov.cn/permitExt/defaults/default-index!getInformation.action</w:t>
            </w:r>
          </w:p>
        </w:tc>
      </w:tr>
    </w:tbl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</w:p>
    <w:p>
      <w:pPr>
        <w:pStyle w:val="4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（八）小结</w:t>
      </w:r>
    </w:p>
    <w:p>
      <w:pPr>
        <w:shd w:val="clear" w:color="auto" w:fill="FFFFFF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2022年因新冠疫情导致矿山和选矿厂无法持续生产；故无法开展环保信用评价工作。废水循环利用无外排，矿山及选矿厂用能采用国家电网无碳排放。</w:t>
      </w:r>
    </w:p>
    <w:p>
      <w:pPr>
        <w:pStyle w:val="3"/>
        <w:rPr>
          <w:rFonts w:ascii="Times New Roman" w:hAnsi="Times New Roman" w:eastAsia="宋体" w:cs="Times New Roman"/>
        </w:rPr>
      </w:pPr>
    </w:p>
    <w:p>
      <w:pPr>
        <w:pStyle w:val="3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五、碳排放信息</w:t>
      </w:r>
    </w:p>
    <w:p>
      <w:pPr>
        <w:pStyle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(一)信息披露情况报表 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表5碳排放信息表</w:t>
      </w:r>
    </w:p>
    <w:tbl>
      <w:tblPr>
        <w:tblStyle w:val="9"/>
        <w:tblW w:w="83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2178"/>
        <w:gridCol w:w="2178"/>
        <w:gridCol w:w="23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排放设施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核算方法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年度碳实际排放量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上一年度实际排放量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7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汇总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7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配额清缴情况</w:t>
            </w:r>
          </w:p>
        </w:tc>
        <w:tc>
          <w:tcPr>
            <w:tcW w:w="2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4"/>
        <w:rPr>
          <w:rFonts w:ascii="Times New Roman" w:hAnsi="Times New Roman" w:cs="Times New Roman"/>
          <w:b/>
          <w:bCs/>
        </w:rPr>
      </w:pPr>
    </w:p>
    <w:p>
      <w:pPr>
        <w:pStyle w:val="4"/>
        <w:rPr>
          <w:rFonts w:ascii="Times New Roman" w:hAnsi="Times New Roman" w:cs="Times New Roman"/>
          <w:b/>
          <w:bCs/>
        </w:rPr>
      </w:pPr>
    </w:p>
    <w:p>
      <w:pPr>
        <w:pStyle w:val="4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(二)小结</w:t>
      </w:r>
    </w:p>
    <w:p>
      <w:pPr>
        <w:shd w:val="clear" w:color="auto" w:fill="FFFFFF"/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2022年因新冠疫情导致矿山和选矿厂无法持续生产；故无法开展环保信用评价工作。废水循环利用无外排，矿山及选矿厂用能采用国家电网无碳排放。</w:t>
      </w:r>
    </w:p>
    <w:p>
      <w:pPr>
        <w:pStyle w:val="3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六、强制性清洁生产审核信息</w:t>
      </w:r>
    </w:p>
    <w:p>
      <w:pPr>
        <w:pStyle w:val="4"/>
        <w:rPr>
          <w:b/>
          <w:bCs/>
          <w:sz w:val="21"/>
          <w:szCs w:val="21"/>
        </w:rPr>
      </w:pPr>
      <w:r>
        <w:rPr>
          <w:b/>
          <w:bCs/>
        </w:rPr>
        <w:t>(一)信息</w:t>
      </w:r>
      <w:r>
        <w:rPr>
          <w:rFonts w:hint="eastAsia"/>
          <w:b/>
          <w:bCs/>
        </w:rPr>
        <w:t>披露</w:t>
      </w:r>
      <w:r>
        <w:rPr>
          <w:b/>
          <w:bCs/>
        </w:rPr>
        <w:t xml:space="preserve">情况报表 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表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hint="eastAsia" w:ascii="Times New Roman" w:hAnsi="Times New Roman" w:cs="Times New Roman"/>
          <w:b/>
          <w:bCs/>
        </w:rPr>
        <w:t>强制性清洁生产审核信息表</w:t>
      </w:r>
    </w:p>
    <w:tbl>
      <w:tblPr>
        <w:tblStyle w:val="9"/>
        <w:tblW w:w="83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1"/>
        <w:gridCol w:w="1435"/>
        <w:gridCol w:w="1148"/>
        <w:gridCol w:w="1148"/>
        <w:gridCol w:w="15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实施强制性清洁生产审核的原因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审核咨询公司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审核时间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评估情况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验收情况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1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4"/>
        <w:rPr>
          <w:b/>
          <w:bCs/>
        </w:rPr>
      </w:pPr>
    </w:p>
    <w:p>
      <w:pPr>
        <w:pStyle w:val="4"/>
        <w:rPr>
          <w:b/>
          <w:bCs/>
          <w:sz w:val="21"/>
          <w:szCs w:val="21"/>
        </w:rPr>
      </w:pPr>
      <w:r>
        <w:rPr>
          <w:b/>
          <w:bCs/>
        </w:rPr>
        <w:t>(二)小结</w:t>
      </w:r>
    </w:p>
    <w:p>
      <w:pPr>
        <w:pStyle w:val="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2022年因新冠疫情导致矿山和选矿厂无法持续生产；故无法开展环保信用评价工作。废水循环利用无外排，矿山及选矿厂用能采用国家电网无碳排放。</w:t>
      </w:r>
    </w:p>
    <w:p>
      <w:pPr>
        <w:pStyle w:val="3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七</w:t>
      </w:r>
      <w:r>
        <w:rPr>
          <w:rFonts w:ascii="Times New Roman" w:hAnsi="Times New Roman" w:eastAsia="宋体" w:cs="Times New Roman"/>
        </w:rPr>
        <w:t>、生态环境应急信息</w:t>
      </w:r>
    </w:p>
    <w:p>
      <w:pPr>
        <w:pStyle w:val="4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(一)信息披露情况报表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表6-1生态环境应急信息表</w:t>
      </w:r>
    </w:p>
    <w:tbl>
      <w:tblPr>
        <w:tblStyle w:val="9"/>
        <w:tblW w:w="83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1355"/>
        <w:gridCol w:w="1207"/>
        <w:gridCol w:w="1755"/>
        <w:gridCol w:w="1118"/>
        <w:gridCol w:w="1053"/>
        <w:gridCol w:w="10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  <w:jc w:val="center"/>
        </w:trPr>
        <w:tc>
          <w:tcPr>
            <w:tcW w:w="341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应急预案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pict>
                <v:shape id="_x0000_i1025" o:spt="75" type="#_x0000_t75" style="height:18pt;width:72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pict>
                <v:shape id="_x0000_i1026" o:spt="75" type="#_x0000_t75" style="height:18pt;width:72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5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现有生态环境应急资源</w:t>
            </w:r>
          </w:p>
        </w:tc>
        <w:tc>
          <w:tcPr>
            <w:tcW w:w="3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突发环境事件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名称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备案机关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备案编号</w:t>
            </w:r>
          </w:p>
        </w:tc>
        <w:tc>
          <w:tcPr>
            <w:tcW w:w="17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发生时间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发生原因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处置情况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表6-2重污染天气应急响应信息表</w:t>
      </w:r>
    </w:p>
    <w:tbl>
      <w:tblPr>
        <w:tblStyle w:val="9"/>
        <w:tblW w:w="83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1288"/>
        <w:gridCol w:w="1604"/>
        <w:gridCol w:w="1573"/>
        <w:gridCol w:w="26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响应时段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预警等级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绩效分级结果</w:t>
            </w:r>
            <w:r>
              <w:rPr>
                <w:rFonts w:ascii="Times New Roman" w:hAnsi="Times New Roman" w:cs="Times New Roman"/>
                <w:szCs w:val="21"/>
              </w:rPr>
              <w:pict>
                <v:shape id="_x0000_i1027" o:spt="75" type="#_x0000_t75" style="height:18pt;width:72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  <w:szCs w:val="21"/>
              </w:rPr>
              <w:pict>
                <v:shape id="_x0000_i1028" o:spt="75" type="#_x0000_t75" style="height:18pt;width:72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预警措施要求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措施实际执行情况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4"/>
        <w:rPr>
          <w:rFonts w:ascii="Times New Roman" w:hAnsi="Times New Roman" w:cs="Times New Roman"/>
          <w:b/>
          <w:bCs/>
        </w:rPr>
      </w:pPr>
    </w:p>
    <w:p>
      <w:pPr>
        <w:pStyle w:val="4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(二)小结</w:t>
      </w:r>
    </w:p>
    <w:p>
      <w:pPr>
        <w:pStyle w:val="3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2022年因新冠疫情导致矿山和选矿厂无法持续生产；故无法开展环保信用评价工作。废水循环利用无外排，矿山及选矿厂用能采用国家电网无碳排放。</w:t>
      </w:r>
    </w:p>
    <w:p>
      <w:pPr>
        <w:pStyle w:val="3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八</w:t>
      </w:r>
      <w:r>
        <w:rPr>
          <w:rFonts w:ascii="Times New Roman" w:hAnsi="Times New Roman" w:eastAsia="宋体" w:cs="Times New Roman"/>
        </w:rPr>
        <w:t>、生态环境违法信息</w:t>
      </w:r>
    </w:p>
    <w:p>
      <w:pPr>
        <w:pStyle w:val="4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(一)信息披露情况报表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表7-1生态环境行政处罚信息表</w:t>
      </w:r>
    </w:p>
    <w:tbl>
      <w:tblPr>
        <w:tblStyle w:val="9"/>
        <w:tblW w:w="82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975"/>
        <w:gridCol w:w="631"/>
        <w:gridCol w:w="518"/>
        <w:gridCol w:w="1516"/>
        <w:gridCol w:w="1425"/>
        <w:gridCol w:w="1994"/>
        <w:gridCol w:w="1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4" w:type="dxa"/>
          <w:trHeight w:val="283" w:hRule="atLeast"/>
          <w:jc w:val="center"/>
        </w:trPr>
        <w:tc>
          <w:tcPr>
            <w:tcW w:w="31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行政处罚决定书</w:t>
            </w:r>
          </w:p>
        </w:tc>
        <w:tc>
          <w:tcPr>
            <w:tcW w:w="151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处罚事由</w:t>
            </w:r>
          </w:p>
        </w:tc>
        <w:tc>
          <w:tcPr>
            <w:tcW w:w="3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整改事项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下达时间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处罚部门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文号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原文</w:t>
            </w:r>
          </w:p>
        </w:tc>
        <w:tc>
          <w:tcPr>
            <w:tcW w:w="15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整改完成时间</w:t>
            </w:r>
          </w:p>
        </w:tc>
        <w:tc>
          <w:tcPr>
            <w:tcW w:w="1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整改措施</w:t>
            </w:r>
          </w:p>
        </w:tc>
        <w:tc>
          <w:tcPr>
            <w:tcW w:w="124" w:type="dxa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4" w:type="dxa"/>
          <w:trHeight w:val="283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表7-2生态环境司法判决信息表</w:t>
      </w:r>
    </w:p>
    <w:tbl>
      <w:tblPr>
        <w:tblStyle w:val="9"/>
        <w:tblW w:w="83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1204"/>
        <w:gridCol w:w="735"/>
        <w:gridCol w:w="624"/>
        <w:gridCol w:w="1976"/>
        <w:gridCol w:w="1489"/>
        <w:gridCol w:w="10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84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判决书</w:t>
            </w:r>
          </w:p>
        </w:tc>
        <w:tc>
          <w:tcPr>
            <w:tcW w:w="19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判决事由</w:t>
            </w:r>
          </w:p>
        </w:tc>
        <w:tc>
          <w:tcPr>
            <w:tcW w:w="25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整改事项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下达时间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判决机关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文号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原文</w:t>
            </w:r>
          </w:p>
        </w:tc>
        <w:tc>
          <w:tcPr>
            <w:tcW w:w="19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整改完成时间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整改措施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4"/>
        <w:rPr>
          <w:rFonts w:ascii="Times New Roman" w:hAnsi="Times New Roman" w:cs="Times New Roman"/>
          <w:b/>
          <w:bCs/>
        </w:rPr>
      </w:pPr>
    </w:p>
    <w:p>
      <w:pPr>
        <w:pStyle w:val="4"/>
        <w:rPr>
          <w:rFonts w:ascii="Times New Roman" w:hAnsi="Times New Roman" w:cs="Times New Roman"/>
          <w:b/>
          <w:bCs/>
        </w:rPr>
      </w:pPr>
    </w:p>
    <w:p>
      <w:pPr>
        <w:pStyle w:val="4"/>
        <w:rPr>
          <w:rFonts w:ascii="Times New Roman" w:hAnsi="Times New Roman" w:cs="Times New Roman"/>
          <w:b/>
          <w:bCs/>
        </w:rPr>
      </w:pPr>
    </w:p>
    <w:p>
      <w:pPr>
        <w:pStyle w:val="4"/>
        <w:rPr>
          <w:rFonts w:ascii="Times New Roman" w:hAnsi="Times New Roman" w:cs="Times New Roman"/>
          <w:b/>
          <w:bCs/>
        </w:rPr>
      </w:pPr>
    </w:p>
    <w:p>
      <w:pPr>
        <w:pStyle w:val="4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(二)小结</w:t>
      </w:r>
    </w:p>
    <w:p>
      <w:pPr>
        <w:shd w:val="clear" w:color="auto" w:fill="FFFFFF"/>
        <w:spacing w:line="360" w:lineRule="auto"/>
        <w:ind w:firstLine="56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  <w:sz w:val="28"/>
          <w:szCs w:val="28"/>
        </w:rPr>
        <w:t>2022年因新冠疫情导致矿山和选矿厂无法持续生产；故无法开展环保信用评价工作。废水循环利用无外排，矿山及选矿厂用能采用国家电网无碳排放。</w:t>
      </w:r>
    </w:p>
    <w:p>
      <w:pPr>
        <w:pStyle w:val="3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九</w:t>
      </w:r>
      <w:r>
        <w:rPr>
          <w:rFonts w:ascii="Times New Roman" w:hAnsi="Times New Roman" w:eastAsia="宋体" w:cs="Times New Roman"/>
        </w:rPr>
        <w:t>、临时报告情况</w:t>
      </w:r>
    </w:p>
    <w:p>
      <w:pPr>
        <w:pStyle w:val="4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>(一)信息披露情况报表</w:t>
      </w:r>
    </w:p>
    <w:p>
      <w:pPr>
        <w:pStyle w:val="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表8临时报告信息表</w:t>
      </w:r>
    </w:p>
    <w:tbl>
      <w:tblPr>
        <w:tblStyle w:val="9"/>
        <w:tblW w:w="83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1892"/>
        <w:gridCol w:w="2312"/>
        <w:gridCol w:w="23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报告名称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报告时间</w:t>
            </w:r>
          </w:p>
        </w:tc>
        <w:tc>
          <w:tcPr>
            <w:tcW w:w="2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报告事由</w:t>
            </w:r>
          </w:p>
        </w:tc>
        <w:tc>
          <w:tcPr>
            <w:tcW w:w="2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主要情况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pStyle w:val="4"/>
        <w:rPr>
          <w:rFonts w:ascii="Times New Roman" w:hAnsi="Times New Roman" w:cs="Times New Roman"/>
          <w:b/>
          <w:bCs/>
        </w:rPr>
      </w:pPr>
    </w:p>
    <w:p>
      <w:pPr>
        <w:pStyle w:val="4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t xml:space="preserve"> (二)小结</w:t>
      </w:r>
    </w:p>
    <w:p>
      <w:pPr>
        <w:shd w:val="clear" w:color="auto" w:fill="FFFFFF"/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2022年因新冠疫情导致矿山和选矿厂无法持续生产；故无法开展环保信用评价工作。废水循环利用无外排，矿山及选矿厂用能采用国家电网无碳排放。</w:t>
      </w:r>
    </w:p>
    <w:sectPr>
      <w:headerReference r:id="rId11" w:type="first"/>
      <w:headerReference r:id="rId9" w:type="default"/>
      <w:headerReference r:id="rId10" w:type="even"/>
      <w:pgSz w:w="11906" w:h="16838"/>
      <w:pgMar w:top="1440" w:right="1800" w:bottom="1440" w:left="1800" w:header="851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294597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72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720"/>
      <w:rPr>
        <w:rFonts w:hint="eastAsi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1ZGEzNWY4N2NmNDZjZDkzOGMxYWRmYTY4MjNhMjAifQ=="/>
  </w:docVars>
  <w:rsids>
    <w:rsidRoot w:val="004168AC"/>
    <w:rsid w:val="00026A4B"/>
    <w:rsid w:val="000425A0"/>
    <w:rsid w:val="0008310C"/>
    <w:rsid w:val="000F14A4"/>
    <w:rsid w:val="00102C6F"/>
    <w:rsid w:val="001A5B6E"/>
    <w:rsid w:val="001B0008"/>
    <w:rsid w:val="0021553E"/>
    <w:rsid w:val="00227B16"/>
    <w:rsid w:val="0026536E"/>
    <w:rsid w:val="002916A8"/>
    <w:rsid w:val="002B6B03"/>
    <w:rsid w:val="002E3487"/>
    <w:rsid w:val="003105BD"/>
    <w:rsid w:val="003210FC"/>
    <w:rsid w:val="003401C8"/>
    <w:rsid w:val="00354122"/>
    <w:rsid w:val="00367B35"/>
    <w:rsid w:val="003D01F6"/>
    <w:rsid w:val="004168AC"/>
    <w:rsid w:val="00416D0E"/>
    <w:rsid w:val="004611B0"/>
    <w:rsid w:val="004A67BB"/>
    <w:rsid w:val="004A7703"/>
    <w:rsid w:val="004B5A6F"/>
    <w:rsid w:val="004C1387"/>
    <w:rsid w:val="004C5787"/>
    <w:rsid w:val="004D52E2"/>
    <w:rsid w:val="005026DC"/>
    <w:rsid w:val="00522FAD"/>
    <w:rsid w:val="005412FD"/>
    <w:rsid w:val="005636FF"/>
    <w:rsid w:val="00620205"/>
    <w:rsid w:val="00687AFD"/>
    <w:rsid w:val="006A62DB"/>
    <w:rsid w:val="00720C48"/>
    <w:rsid w:val="007D28D6"/>
    <w:rsid w:val="007F01AC"/>
    <w:rsid w:val="0081030C"/>
    <w:rsid w:val="008C26B0"/>
    <w:rsid w:val="008E0017"/>
    <w:rsid w:val="0094699B"/>
    <w:rsid w:val="00956041"/>
    <w:rsid w:val="00970375"/>
    <w:rsid w:val="009B38F7"/>
    <w:rsid w:val="009C7070"/>
    <w:rsid w:val="009F1E80"/>
    <w:rsid w:val="009F2753"/>
    <w:rsid w:val="00AC7734"/>
    <w:rsid w:val="00AC7B2F"/>
    <w:rsid w:val="00B0553B"/>
    <w:rsid w:val="00B5268B"/>
    <w:rsid w:val="00B93E37"/>
    <w:rsid w:val="00C369A0"/>
    <w:rsid w:val="00C63387"/>
    <w:rsid w:val="00C67642"/>
    <w:rsid w:val="00C81EE8"/>
    <w:rsid w:val="00CB22F7"/>
    <w:rsid w:val="00D475C8"/>
    <w:rsid w:val="00DC1917"/>
    <w:rsid w:val="00E00959"/>
    <w:rsid w:val="00E0717C"/>
    <w:rsid w:val="00E66198"/>
    <w:rsid w:val="00E73EA7"/>
    <w:rsid w:val="00E93DFD"/>
    <w:rsid w:val="00EA2588"/>
    <w:rsid w:val="00EF08D5"/>
    <w:rsid w:val="00F01AD4"/>
    <w:rsid w:val="00F21BA2"/>
    <w:rsid w:val="00F64CE2"/>
    <w:rsid w:val="00F752CC"/>
    <w:rsid w:val="00F93B50"/>
    <w:rsid w:val="1CEB0031"/>
    <w:rsid w:val="27C51F4C"/>
    <w:rsid w:val="2A832FD4"/>
    <w:rsid w:val="5C637CA0"/>
    <w:rsid w:val="7FB7D80F"/>
    <w:rsid w:val="BF6C8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outlineLvl w:val="0"/>
    </w:pPr>
    <w:rPr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"/>
    <w:pPr>
      <w:spacing w:before="100" w:beforeAutospacing="1" w:after="100" w:afterAutospacing="1"/>
      <w:outlineLvl w:val="1"/>
    </w:pPr>
    <w:rPr>
      <w:rFonts w:ascii="黑体" w:hAnsi="黑体" w:eastAsia="黑体"/>
      <w:b/>
      <w:bCs/>
      <w:sz w:val="30"/>
      <w:szCs w:val="30"/>
    </w:rPr>
  </w:style>
  <w:style w:type="paragraph" w:styleId="4">
    <w:name w:val="heading 3"/>
    <w:basedOn w:val="1"/>
    <w:next w:val="1"/>
    <w:link w:val="14"/>
    <w:qFormat/>
    <w:uiPriority w:val="9"/>
    <w:pPr>
      <w:outlineLvl w:val="2"/>
    </w:pPr>
    <w:rPr>
      <w:sz w:val="27"/>
      <w:szCs w:val="27"/>
    </w:rPr>
  </w:style>
  <w:style w:type="paragraph" w:styleId="5">
    <w:name w:val="heading 4"/>
    <w:basedOn w:val="1"/>
    <w:next w:val="1"/>
    <w:link w:val="15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0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0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3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11"/>
    <w:link w:val="4"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15">
    <w:name w:val="标题 4 字符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16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main-wrap"/>
    <w:basedOn w:val="1"/>
    <w:qFormat/>
    <w:uiPriority w:val="0"/>
    <w:pPr>
      <w:shd w:val="clear" w:color="auto" w:fill="FFFFFF"/>
    </w:pPr>
    <w:rPr>
      <w:sz w:val="21"/>
      <w:szCs w:val="21"/>
    </w:rPr>
  </w:style>
  <w:style w:type="paragraph" w:customStyle="1" w:styleId="18">
    <w:name w:val="page-home2-wrap"/>
    <w:basedOn w:val="1"/>
    <w:qFormat/>
    <w:uiPriority w:val="0"/>
    <w:pPr>
      <w:spacing w:before="300" w:after="300"/>
      <w:ind w:left="300" w:right="300"/>
    </w:pPr>
    <w:rPr>
      <w:sz w:val="30"/>
      <w:szCs w:val="30"/>
    </w:rPr>
  </w:style>
  <w:style w:type="paragraph" w:customStyle="1" w:styleId="19">
    <w:name w:val="t1"/>
    <w:basedOn w:val="1"/>
    <w:qFormat/>
    <w:uiPriority w:val="0"/>
  </w:style>
  <w:style w:type="paragraph" w:customStyle="1" w:styleId="20">
    <w:name w:val="t2"/>
    <w:basedOn w:val="1"/>
    <w:qFormat/>
    <w:uiPriority w:val="0"/>
  </w:style>
  <w:style w:type="paragraph" w:customStyle="1" w:styleId="21">
    <w:name w:val="t4"/>
    <w:basedOn w:val="1"/>
    <w:qFormat/>
    <w:uiPriority w:val="0"/>
  </w:style>
  <w:style w:type="paragraph" w:customStyle="1" w:styleId="22">
    <w:name w:val="t5"/>
    <w:basedOn w:val="1"/>
    <w:qFormat/>
    <w:uiPriority w:val="0"/>
  </w:style>
  <w:style w:type="paragraph" w:customStyle="1" w:styleId="23">
    <w:name w:val="t6"/>
    <w:basedOn w:val="1"/>
    <w:qFormat/>
    <w:uiPriority w:val="0"/>
  </w:style>
  <w:style w:type="paragraph" w:customStyle="1" w:styleId="24">
    <w:name w:val="t3"/>
    <w:basedOn w:val="1"/>
    <w:qFormat/>
    <w:uiPriority w:val="0"/>
  </w:style>
  <w:style w:type="paragraph" w:customStyle="1" w:styleId="25">
    <w:name w:val="t11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26">
    <w:name w:val="t2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27">
    <w:name w:val="t41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28">
    <w:name w:val="t5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29">
    <w:name w:val="t61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0">
    <w:name w:val="t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31">
    <w:name w:val="t22"/>
    <w:basedOn w:val="1"/>
    <w:qFormat/>
    <w:uiPriority w:val="0"/>
    <w:pPr>
      <w:spacing w:before="750" w:after="100" w:afterAutospacing="1"/>
    </w:pPr>
  </w:style>
  <w:style w:type="paragraph" w:customStyle="1" w:styleId="32">
    <w:name w:val="t31"/>
    <w:basedOn w:val="1"/>
    <w:qFormat/>
    <w:uiPriority w:val="0"/>
    <w:pPr>
      <w:spacing w:before="300" w:after="300"/>
      <w:ind w:firstLine="480"/>
    </w:pPr>
  </w:style>
  <w:style w:type="paragraph" w:customStyle="1" w:styleId="33">
    <w:name w:val="t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34">
    <w:name w:val="t2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35">
    <w:name w:val="t42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36">
    <w:name w:val="t5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7">
    <w:name w:val="t62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38">
    <w:name w:val="t14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39">
    <w:name w:val="t24"/>
    <w:basedOn w:val="1"/>
    <w:qFormat/>
    <w:uiPriority w:val="0"/>
    <w:pPr>
      <w:spacing w:before="750" w:after="100" w:afterAutospacing="1"/>
    </w:pPr>
  </w:style>
  <w:style w:type="paragraph" w:customStyle="1" w:styleId="40">
    <w:name w:val="t32"/>
    <w:basedOn w:val="1"/>
    <w:qFormat/>
    <w:uiPriority w:val="0"/>
    <w:pPr>
      <w:spacing w:before="300" w:after="300"/>
      <w:ind w:firstLine="480"/>
    </w:pPr>
  </w:style>
  <w:style w:type="paragraph" w:customStyle="1" w:styleId="41">
    <w:name w:val="notes"/>
    <w:basedOn w:val="1"/>
    <w:qFormat/>
    <w:uiPriority w:val="0"/>
    <w:pPr>
      <w:spacing w:before="100" w:beforeAutospacing="1" w:after="100" w:afterAutospacing="1"/>
    </w:pPr>
  </w:style>
  <w:style w:type="paragraph" w:customStyle="1" w:styleId="42">
    <w:name w:val="t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43">
    <w:name w:val="t2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44">
    <w:name w:val="t43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45">
    <w:name w:val="t5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6">
    <w:name w:val="t63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47">
    <w:name w:val="t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48">
    <w:name w:val="t26"/>
    <w:basedOn w:val="1"/>
    <w:qFormat/>
    <w:uiPriority w:val="0"/>
    <w:pPr>
      <w:spacing w:before="750" w:after="100" w:afterAutospacing="1"/>
    </w:pPr>
  </w:style>
  <w:style w:type="paragraph" w:customStyle="1" w:styleId="49">
    <w:name w:val="t33"/>
    <w:basedOn w:val="1"/>
    <w:qFormat/>
    <w:uiPriority w:val="0"/>
    <w:pPr>
      <w:spacing w:before="300" w:after="300"/>
      <w:ind w:firstLine="480"/>
    </w:pPr>
  </w:style>
  <w:style w:type="paragraph" w:customStyle="1" w:styleId="50">
    <w:name w:val="center-title"/>
    <w:basedOn w:val="1"/>
    <w:qFormat/>
    <w:uiPriority w:val="0"/>
    <w:pPr>
      <w:spacing w:before="100" w:beforeAutospacing="1" w:after="100" w:afterAutospacing="1"/>
    </w:pPr>
  </w:style>
  <w:style w:type="paragraph" w:customStyle="1" w:styleId="51">
    <w:name w:val="t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52">
    <w:name w:val="t2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53">
    <w:name w:val="t44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54">
    <w:name w:val="t5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5">
    <w:name w:val="t64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56">
    <w:name w:val="t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57">
    <w:name w:val="t28"/>
    <w:basedOn w:val="1"/>
    <w:qFormat/>
    <w:uiPriority w:val="0"/>
    <w:pPr>
      <w:spacing w:before="750" w:after="100" w:afterAutospacing="1"/>
    </w:pPr>
  </w:style>
  <w:style w:type="paragraph" w:customStyle="1" w:styleId="58">
    <w:name w:val="t34"/>
    <w:basedOn w:val="1"/>
    <w:qFormat/>
    <w:uiPriority w:val="0"/>
    <w:pPr>
      <w:spacing w:before="300" w:after="300"/>
      <w:ind w:firstLine="480"/>
    </w:pPr>
  </w:style>
  <w:style w:type="paragraph" w:customStyle="1" w:styleId="59">
    <w:name w:val="t19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0">
    <w:name w:val="t29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61">
    <w:name w:val="t45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62">
    <w:name w:val="t5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3">
    <w:name w:val="t65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64">
    <w:name w:val="t110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65">
    <w:name w:val="t210"/>
    <w:basedOn w:val="1"/>
    <w:qFormat/>
    <w:uiPriority w:val="0"/>
    <w:pPr>
      <w:spacing w:before="750" w:after="100" w:afterAutospacing="1"/>
    </w:pPr>
  </w:style>
  <w:style w:type="paragraph" w:customStyle="1" w:styleId="66">
    <w:name w:val="t35"/>
    <w:basedOn w:val="1"/>
    <w:qFormat/>
    <w:uiPriority w:val="0"/>
    <w:pPr>
      <w:spacing w:before="300" w:after="300"/>
      <w:ind w:firstLine="480"/>
    </w:pPr>
  </w:style>
  <w:style w:type="paragraph" w:customStyle="1" w:styleId="67">
    <w:name w:val="t111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68">
    <w:name w:val="t211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69">
    <w:name w:val="t46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0">
    <w:name w:val="t5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1">
    <w:name w:val="t66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2">
    <w:name w:val="t112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73">
    <w:name w:val="t212"/>
    <w:basedOn w:val="1"/>
    <w:qFormat/>
    <w:uiPriority w:val="0"/>
    <w:pPr>
      <w:spacing w:before="750" w:after="100" w:afterAutospacing="1"/>
    </w:pPr>
  </w:style>
  <w:style w:type="paragraph" w:customStyle="1" w:styleId="74">
    <w:name w:val="t36"/>
    <w:basedOn w:val="1"/>
    <w:qFormat/>
    <w:uiPriority w:val="0"/>
    <w:pPr>
      <w:spacing w:before="300" w:after="300"/>
      <w:ind w:firstLine="480"/>
    </w:pPr>
  </w:style>
  <w:style w:type="paragraph" w:customStyle="1" w:styleId="75">
    <w:name w:val="t113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76">
    <w:name w:val="t213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77">
    <w:name w:val="t47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78">
    <w:name w:val="t5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79">
    <w:name w:val="t67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0">
    <w:name w:val="t114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81">
    <w:name w:val="t214"/>
    <w:basedOn w:val="1"/>
    <w:qFormat/>
    <w:uiPriority w:val="0"/>
    <w:pPr>
      <w:spacing w:before="750" w:after="100" w:afterAutospacing="1"/>
    </w:pPr>
  </w:style>
  <w:style w:type="paragraph" w:customStyle="1" w:styleId="82">
    <w:name w:val="t37"/>
    <w:basedOn w:val="1"/>
    <w:qFormat/>
    <w:uiPriority w:val="0"/>
    <w:pPr>
      <w:spacing w:before="300" w:after="300"/>
      <w:ind w:firstLine="480"/>
    </w:pPr>
  </w:style>
  <w:style w:type="paragraph" w:customStyle="1" w:styleId="83">
    <w:name w:val="t115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84">
    <w:name w:val="t215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85">
    <w:name w:val="t48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86">
    <w:name w:val="t5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7">
    <w:name w:val="t68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88">
    <w:name w:val="t116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89">
    <w:name w:val="t216"/>
    <w:basedOn w:val="1"/>
    <w:qFormat/>
    <w:uiPriority w:val="0"/>
    <w:pPr>
      <w:spacing w:before="750" w:after="100" w:afterAutospacing="1"/>
    </w:pPr>
  </w:style>
  <w:style w:type="paragraph" w:customStyle="1" w:styleId="90">
    <w:name w:val="t38"/>
    <w:basedOn w:val="1"/>
    <w:qFormat/>
    <w:uiPriority w:val="0"/>
    <w:pPr>
      <w:spacing w:before="300" w:after="300"/>
      <w:ind w:firstLine="480"/>
    </w:pPr>
  </w:style>
  <w:style w:type="paragraph" w:customStyle="1" w:styleId="91">
    <w:name w:val="t117"/>
    <w:basedOn w:val="1"/>
    <w:qFormat/>
    <w:uiPriority w:val="0"/>
    <w:pPr>
      <w:spacing w:before="300" w:after="300"/>
      <w:jc w:val="center"/>
    </w:pPr>
    <w:rPr>
      <w:sz w:val="40"/>
      <w:szCs w:val="40"/>
    </w:rPr>
  </w:style>
  <w:style w:type="paragraph" w:customStyle="1" w:styleId="92">
    <w:name w:val="t217"/>
    <w:basedOn w:val="1"/>
    <w:qFormat/>
    <w:uiPriority w:val="0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93">
    <w:name w:val="t49"/>
    <w:basedOn w:val="1"/>
    <w:qFormat/>
    <w:uiPriority w:val="0"/>
    <w:pPr>
      <w:spacing w:before="600" w:after="600"/>
      <w:ind w:left="600"/>
    </w:pPr>
    <w:rPr>
      <w:sz w:val="30"/>
      <w:szCs w:val="30"/>
    </w:rPr>
  </w:style>
  <w:style w:type="paragraph" w:customStyle="1" w:styleId="94">
    <w:name w:val="t5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5">
    <w:name w:val="t69"/>
    <w:basedOn w:val="1"/>
    <w:qFormat/>
    <w:uiPriority w:val="0"/>
    <w:pPr>
      <w:ind w:left="300" w:right="300"/>
      <w:jc w:val="right"/>
    </w:pPr>
    <w:rPr>
      <w:sz w:val="30"/>
      <w:szCs w:val="30"/>
    </w:rPr>
  </w:style>
  <w:style w:type="paragraph" w:customStyle="1" w:styleId="96">
    <w:name w:val="t118"/>
    <w:basedOn w:val="1"/>
    <w:qFormat/>
    <w:uiPriority w:val="0"/>
    <w:pPr>
      <w:spacing w:before="100" w:beforeAutospacing="1" w:after="100" w:afterAutospacing="1" w:line="360" w:lineRule="auto"/>
      <w:jc w:val="center"/>
    </w:pPr>
    <w:rPr>
      <w:sz w:val="40"/>
      <w:szCs w:val="40"/>
    </w:rPr>
  </w:style>
  <w:style w:type="paragraph" w:customStyle="1" w:styleId="97">
    <w:name w:val="t218"/>
    <w:basedOn w:val="1"/>
    <w:qFormat/>
    <w:uiPriority w:val="0"/>
    <w:pPr>
      <w:spacing w:before="750" w:after="100" w:afterAutospacing="1"/>
    </w:pPr>
  </w:style>
  <w:style w:type="paragraph" w:customStyle="1" w:styleId="98">
    <w:name w:val="t39"/>
    <w:basedOn w:val="1"/>
    <w:qFormat/>
    <w:uiPriority w:val="0"/>
    <w:pPr>
      <w:spacing w:before="300" w:after="300"/>
      <w:ind w:firstLine="480"/>
    </w:pPr>
  </w:style>
  <w:style w:type="paragraph" w:customStyle="1" w:styleId="9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0">
    <w:name w:val="页眉 字符"/>
    <w:basedOn w:val="11"/>
    <w:link w:val="7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01">
    <w:name w:val="页脚 字符"/>
    <w:basedOn w:val="11"/>
    <w:link w:val="6"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102">
    <w:name w:val="Other|1"/>
    <w:basedOn w:val="1"/>
    <w:qFormat/>
    <w:uiPriority w:val="0"/>
    <w:pPr>
      <w:widowControl w:val="0"/>
      <w:shd w:val="clear" w:color="auto" w:fill="auto"/>
      <w:jc w:val="center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wmf"/><Relationship Id="rId13" Type="http://schemas.openxmlformats.org/officeDocument/2006/relationships/image" Target="media/image1.wmf"/><Relationship Id="rId12" Type="http://schemas.openxmlformats.org/officeDocument/2006/relationships/theme" Target="theme/theme1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3748</Words>
  <Characters>4214</Characters>
  <Lines>1462</Lines>
  <Paragraphs>514</Paragraphs>
  <TotalTime>1</TotalTime>
  <ScaleCrop>false</ScaleCrop>
  <LinksUpToDate>false</LinksUpToDate>
  <CharactersWithSpaces>4245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2022-02-15T19:26:00Z</dcterms:created>
  <dc:creator>Administrator</dc:creator>
  <cp:keywords>Public</cp:keywords>
  <cp:lastModifiedBy>笙箫何故默</cp:lastModifiedBy>
  <dcterms:modified xsi:type="dcterms:W3CDTF">2023-03-15T14:40:15Z</dcterms:modified>
  <dc:title>首页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9ccf7716-35c2-4276-ab9f-9fcbb0edb8b1</vt:lpwstr>
  </property>
  <property fmtid="{D5CDD505-2E9C-101B-9397-08002B2CF9AE}" pid="3" name="RGECLASSIFICATION">
    <vt:lpwstr>Public</vt:lpwstr>
  </property>
  <property fmtid="{D5CDD505-2E9C-101B-9397-08002B2CF9AE}" pid="4" name="ORIGCLASSIFIER">
    <vt:lpwstr>liangguo_chen</vt:lpwstr>
  </property>
  <property fmtid="{D5CDD505-2E9C-101B-9397-08002B2CF9AE}" pid="5" name="RGERule">
    <vt:lpwstr/>
  </property>
  <property fmtid="{D5CDD505-2E9C-101B-9397-08002B2CF9AE}" pid="6" name="KSOProductBuildVer">
    <vt:lpwstr>2052-11.1.0.12980</vt:lpwstr>
  </property>
  <property fmtid="{D5CDD505-2E9C-101B-9397-08002B2CF9AE}" pid="7" name="ICV">
    <vt:lpwstr>1CC965D015284666BCBBC0CD560DA958</vt:lpwstr>
  </property>
</Properties>
</file>