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sz w:val="36"/>
          <w:szCs w:val="36"/>
        </w:rPr>
      </w:pPr>
      <w:bookmarkStart w:id="0" w:name="_Hlk57883707"/>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bookmarkEnd w:id="0"/>
    <w:p>
      <w:pPr>
        <w:adjustRightInd w:val="0"/>
        <w:snapToGrid w:val="0"/>
        <w:jc w:val="center"/>
        <w:outlineLvl w:val="0"/>
        <w:rPr>
          <w:rFonts w:ascii="方正小标宋_GBK" w:eastAsia="方正小标宋_GBK"/>
          <w:bCs/>
          <w:sz w:val="72"/>
          <w:szCs w:val="72"/>
        </w:rPr>
      </w:pPr>
      <w:r>
        <w:rPr>
          <w:rFonts w:hint="eastAsia" w:ascii="方正小标宋_GBK" w:eastAsia="方正小标宋_GBK"/>
          <w:bCs/>
          <w:sz w:val="72"/>
          <w:szCs w:val="72"/>
        </w:rPr>
        <w:t>建设项目环境影响报告表</w:t>
      </w:r>
    </w:p>
    <w:p>
      <w:pPr>
        <w:adjustRightInd w:val="0"/>
        <w:snapToGrid w:val="0"/>
        <w:spacing w:beforeLines="80"/>
        <w:jc w:val="center"/>
        <w:rPr>
          <w:rFonts w:ascii="楷体_GB2312" w:eastAsia="楷体_GB2312"/>
          <w:bCs/>
          <w:sz w:val="48"/>
          <w:szCs w:val="48"/>
        </w:rPr>
      </w:pPr>
      <w:r>
        <w:rPr>
          <w:rFonts w:hint="eastAsia" w:ascii="楷体_GB2312" w:eastAsia="楷体_GB2312"/>
          <w:bCs/>
          <w:sz w:val="48"/>
          <w:szCs w:val="48"/>
        </w:rPr>
        <w:t>（生态影响类）</w:t>
      </w:r>
    </w:p>
    <w:p>
      <w:bookmarkStart w:id="1" w:name="_Hlk57883728"/>
    </w:p>
    <w:p>
      <w:pPr>
        <w:rPr>
          <w:rFonts w:eastAsia="仿宋"/>
          <w:sz w:val="44"/>
          <w:szCs w:val="44"/>
        </w:rPr>
      </w:pPr>
    </w:p>
    <w:p>
      <w:pPr>
        <w:ind w:firstLine="1040"/>
        <w:rPr>
          <w:rFonts w:eastAsia="仿宋"/>
          <w:sz w:val="44"/>
          <w:szCs w:val="44"/>
        </w:rPr>
      </w:pPr>
    </w:p>
    <w:p/>
    <w:p>
      <w:pPr>
        <w:ind w:firstLine="1040"/>
        <w:rPr>
          <w:rFonts w:eastAsia="仿宋"/>
          <w:sz w:val="44"/>
          <w:szCs w:val="44"/>
        </w:rPr>
      </w:pPr>
    </w:p>
    <w:bookmarkEnd w:id="1"/>
    <w:p>
      <w:pPr>
        <w:adjustRightInd w:val="0"/>
        <w:snapToGrid w:val="0"/>
        <w:spacing w:line="288" w:lineRule="auto"/>
        <w:ind w:firstLine="420"/>
        <w:jc w:val="left"/>
        <w:rPr>
          <w:rFonts w:ascii="仿宋_GB2312" w:eastAsia="仿宋_GB2312"/>
          <w:sz w:val="36"/>
          <w:szCs w:val="36"/>
          <w:u w:val="single"/>
        </w:rPr>
      </w:pPr>
      <w:r>
        <w:rPr>
          <w:rFonts w:hint="eastAsia" w:ascii="仿宋_GB2312" w:eastAsia="仿宋_GB2312"/>
          <w:sz w:val="36"/>
          <w:szCs w:val="36"/>
        </w:rPr>
        <w:t>项目名称：</w:t>
      </w:r>
      <w:r>
        <w:rPr>
          <w:rFonts w:hint="eastAsia" w:ascii="仿宋_GB2312" w:eastAsia="仿宋_GB2312"/>
          <w:sz w:val="36"/>
          <w:szCs w:val="36"/>
          <w:u w:val="single"/>
        </w:rPr>
        <w:t xml:space="preserve">贵南县茫拉乡却旦塘灌区维修改造工程 </w:t>
      </w:r>
    </w:p>
    <w:p>
      <w:pPr>
        <w:adjustRightInd w:val="0"/>
        <w:snapToGrid w:val="0"/>
        <w:spacing w:line="288" w:lineRule="auto"/>
        <w:ind w:firstLine="420"/>
        <w:jc w:val="left"/>
        <w:rPr>
          <w:rFonts w:ascii="仿宋_GB2312" w:eastAsia="仿宋_GB2312"/>
          <w:sz w:val="36"/>
          <w:szCs w:val="36"/>
          <w:u w:val="single"/>
        </w:rPr>
      </w:pPr>
      <w:r>
        <w:rPr>
          <w:rFonts w:hint="eastAsia" w:ascii="仿宋_GB2312" w:eastAsia="仿宋_GB2312"/>
          <w:sz w:val="36"/>
          <w:szCs w:val="36"/>
        </w:rPr>
        <w:t>建设单位（盖章）：</w:t>
      </w:r>
      <w:r>
        <w:rPr>
          <w:rFonts w:hint="eastAsia" w:ascii="仿宋_GB2312" w:eastAsia="仿宋_GB2312"/>
          <w:sz w:val="36"/>
          <w:szCs w:val="36"/>
          <w:u w:val="single"/>
        </w:rPr>
        <w:t xml:space="preserve"> 贵南县农牧和水利局        </w:t>
      </w:r>
    </w:p>
    <w:p>
      <w:pPr>
        <w:adjustRightInd w:val="0"/>
        <w:snapToGrid w:val="0"/>
        <w:spacing w:line="288" w:lineRule="auto"/>
        <w:ind w:firstLine="420"/>
        <w:jc w:val="left"/>
        <w:rPr>
          <w:rFonts w:ascii="仿宋_GB2312" w:eastAsia="仿宋_GB2312"/>
          <w:sz w:val="36"/>
          <w:szCs w:val="36"/>
          <w:u w:val="single"/>
        </w:rPr>
      </w:pPr>
      <w:r>
        <w:rPr>
          <w:rFonts w:hint="eastAsia" w:ascii="仿宋_GB2312" w:eastAsia="仿宋_GB2312"/>
          <w:sz w:val="36"/>
          <w:szCs w:val="36"/>
        </w:rPr>
        <w:t>编制日期：</w:t>
      </w:r>
      <w:r>
        <w:rPr>
          <w:rFonts w:hint="eastAsia" w:ascii="仿宋_GB2312" w:eastAsia="仿宋_GB2312"/>
          <w:sz w:val="36"/>
          <w:szCs w:val="36"/>
          <w:u w:val="single"/>
        </w:rPr>
        <w:t xml:space="preserve">          2022年3月        </w:t>
      </w:r>
    </w:p>
    <w:p>
      <w:pPr>
        <w:adjustRightInd w:val="0"/>
        <w:snapToGrid w:val="0"/>
        <w:spacing w:line="288" w:lineRule="auto"/>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p>
      <w:pPr>
        <w:adjustRightInd w:val="0"/>
        <w:snapToGrid w:val="0"/>
        <w:spacing w:line="288" w:lineRule="auto"/>
        <w:jc w:val="center"/>
        <w:rPr>
          <w:rFonts w:ascii="楷体_GB2312" w:eastAsia="楷体_GB2312"/>
          <w:sz w:val="36"/>
          <w:szCs w:val="36"/>
        </w:rPr>
      </w:pPr>
      <w:r>
        <w:rPr>
          <w:rFonts w:hint="eastAsia" w:ascii="楷体_GB2312" w:eastAsia="楷体_GB2312"/>
          <w:sz w:val="36"/>
          <w:szCs w:val="36"/>
        </w:rPr>
        <w:t>中华人民共和国生态环境部制</w:t>
      </w:r>
    </w:p>
    <w:p>
      <w:pPr>
        <w:rPr>
          <w:rFonts w:ascii="仿宋_GB2312" w:eastAsia="仿宋_GB2312"/>
          <w:sz w:val="36"/>
          <w:szCs w:val="36"/>
        </w:rPr>
      </w:pPr>
      <w:r>
        <w:rPr>
          <w:rFonts w:ascii="仿宋_GB2312" w:eastAsia="仿宋_GB2312"/>
          <w:sz w:val="36"/>
          <w:szCs w:val="36"/>
        </w:rPr>
        <w:br w:type="page"/>
      </w:r>
    </w:p>
    <w:p>
      <w:pPr>
        <w:pStyle w:val="3"/>
        <w:sectPr>
          <w:footerReference r:id="rId5" w:type="default"/>
          <w:footerReference r:id="rId6" w:type="even"/>
          <w:pgSz w:w="11906" w:h="16838"/>
          <w:pgMar w:top="1701" w:right="1531" w:bottom="1701" w:left="1531" w:header="851" w:footer="597" w:gutter="0"/>
          <w:pgBorders>
            <w:top w:val="none" w:sz="0" w:space="0"/>
            <w:left w:val="none" w:sz="0" w:space="0"/>
            <w:bottom w:val="none" w:sz="0" w:space="0"/>
            <w:right w:val="none" w:sz="0" w:space="0"/>
          </w:pgBorders>
          <w:pgNumType w:start="21"/>
          <w:cols w:space="720" w:num="1"/>
          <w:docGrid w:linePitch="312" w:charSpace="0"/>
        </w:sectPr>
      </w:pPr>
    </w:p>
    <w:p>
      <w:pPr>
        <w:pStyle w:val="2"/>
        <w:rPr>
          <w:color w:val="auto"/>
        </w:rPr>
      </w:pPr>
      <w:r>
        <w:rPr>
          <w:rFonts w:hint="eastAsia"/>
          <w:color w:val="auto"/>
        </w:rPr>
        <w:t>一、建设项目基本情况</w:t>
      </w:r>
    </w:p>
    <w:tbl>
      <w:tblPr>
        <w:tblStyle w:val="14"/>
        <w:tblW w:w="4996"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200"/>
        <w:gridCol w:w="2524"/>
        <w:gridCol w:w="2511"/>
        <w:gridCol w:w="8"/>
        <w:gridCol w:w="352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614" w:type="pct"/>
            <w:tcMar>
              <w:top w:w="16" w:type="dxa"/>
              <w:left w:w="16" w:type="dxa"/>
              <w:right w:w="16" w:type="dxa"/>
            </w:tcMar>
            <w:vAlign w:val="center"/>
          </w:tcPr>
          <w:p>
            <w:pPr>
              <w:spacing w:line="240" w:lineRule="auto"/>
              <w:jc w:val="center"/>
            </w:pPr>
            <w:r>
              <w:rPr>
                <w:rFonts w:hint="eastAsia"/>
              </w:rPr>
              <w:t>建设项目名称</w:t>
            </w:r>
          </w:p>
        </w:tc>
        <w:tc>
          <w:tcPr>
            <w:tcW w:w="4385" w:type="pct"/>
            <w:gridSpan w:val="4"/>
            <w:vAlign w:val="center"/>
          </w:tcPr>
          <w:p>
            <w:pPr>
              <w:spacing w:line="240" w:lineRule="auto"/>
              <w:jc w:val="center"/>
            </w:pPr>
            <w:r>
              <w:rPr>
                <w:rFonts w:hint="eastAsia"/>
              </w:rPr>
              <w:t>贵南县茫拉乡却旦塘灌区维修改造工程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614" w:type="pct"/>
            <w:tcMar>
              <w:top w:w="16" w:type="dxa"/>
              <w:left w:w="16" w:type="dxa"/>
              <w:right w:w="16" w:type="dxa"/>
            </w:tcMar>
            <w:vAlign w:val="center"/>
          </w:tcPr>
          <w:p>
            <w:pPr>
              <w:spacing w:line="240" w:lineRule="auto"/>
              <w:jc w:val="center"/>
            </w:pPr>
            <w:r>
              <w:rPr>
                <w:rFonts w:hint="eastAsia"/>
              </w:rPr>
              <w:t>项目代码</w:t>
            </w:r>
          </w:p>
        </w:tc>
        <w:tc>
          <w:tcPr>
            <w:tcW w:w="4385" w:type="pct"/>
            <w:gridSpan w:val="4"/>
            <w:vAlign w:val="center"/>
          </w:tcPr>
          <w:p>
            <w:pPr>
              <w:spacing w:line="240" w:lineRule="auto"/>
              <w:jc w:val="center"/>
            </w:pPr>
            <w:r>
              <w:rPr>
                <w:rFonts w:hint="eastAsia"/>
              </w:rPr>
              <w:t>2020-632525-76-01-003244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614" w:type="pct"/>
            <w:tcMar>
              <w:top w:w="16" w:type="dxa"/>
              <w:left w:w="16" w:type="dxa"/>
              <w:right w:w="16" w:type="dxa"/>
            </w:tcMar>
            <w:vAlign w:val="center"/>
          </w:tcPr>
          <w:p>
            <w:pPr>
              <w:spacing w:line="240" w:lineRule="auto"/>
              <w:jc w:val="center"/>
            </w:pPr>
            <w:r>
              <w:rPr>
                <w:rFonts w:hint="eastAsia"/>
              </w:rPr>
              <w:t>建设单位联系人</w:t>
            </w:r>
          </w:p>
        </w:tc>
        <w:tc>
          <w:tcPr>
            <w:tcW w:w="1292" w:type="pct"/>
            <w:vAlign w:val="center"/>
          </w:tcPr>
          <w:p>
            <w:pPr>
              <w:spacing w:line="240" w:lineRule="auto"/>
              <w:jc w:val="center"/>
            </w:pPr>
            <w:r>
              <w:rPr>
                <w:rFonts w:hint="eastAsia"/>
              </w:rPr>
              <w:t>白铭</w:t>
            </w:r>
          </w:p>
        </w:tc>
        <w:tc>
          <w:tcPr>
            <w:tcW w:w="1290" w:type="pct"/>
            <w:gridSpan w:val="2"/>
            <w:vAlign w:val="center"/>
          </w:tcPr>
          <w:p>
            <w:pPr>
              <w:spacing w:line="240" w:lineRule="auto"/>
              <w:jc w:val="center"/>
            </w:pPr>
            <w:r>
              <w:rPr>
                <w:rFonts w:hint="eastAsia"/>
              </w:rPr>
              <w:t>联系方式</w:t>
            </w:r>
          </w:p>
        </w:tc>
        <w:tc>
          <w:tcPr>
            <w:tcW w:w="1802" w:type="pct"/>
            <w:vAlign w:val="center"/>
          </w:tcPr>
          <w:p>
            <w:pPr>
              <w:spacing w:line="240" w:lineRule="auto"/>
              <w:jc w:val="center"/>
            </w:pPr>
            <w:r>
              <w:rPr>
                <w:rFonts w:hint="eastAsia"/>
              </w:rPr>
              <w:t>15509747380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614" w:type="pct"/>
            <w:tcMar>
              <w:top w:w="16" w:type="dxa"/>
              <w:left w:w="16" w:type="dxa"/>
              <w:right w:w="16" w:type="dxa"/>
            </w:tcMar>
            <w:vAlign w:val="center"/>
          </w:tcPr>
          <w:p>
            <w:pPr>
              <w:spacing w:line="240" w:lineRule="auto"/>
              <w:jc w:val="center"/>
            </w:pPr>
            <w:r>
              <w:rPr>
                <w:rFonts w:hint="eastAsia"/>
              </w:rPr>
              <w:t>建设地点</w:t>
            </w:r>
          </w:p>
        </w:tc>
        <w:tc>
          <w:tcPr>
            <w:tcW w:w="4385" w:type="pct"/>
            <w:gridSpan w:val="4"/>
            <w:vAlign w:val="center"/>
          </w:tcPr>
          <w:p>
            <w:pPr>
              <w:spacing w:line="240" w:lineRule="auto"/>
              <w:jc w:val="center"/>
            </w:pPr>
            <w:r>
              <w:rPr>
                <w:rFonts w:hint="eastAsia"/>
              </w:rPr>
              <w:t>青海省海南州贵南县茫拉乡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614" w:type="pct"/>
            <w:tcMar>
              <w:top w:w="16" w:type="dxa"/>
              <w:left w:w="16" w:type="dxa"/>
              <w:right w:w="16" w:type="dxa"/>
            </w:tcMar>
            <w:vAlign w:val="center"/>
          </w:tcPr>
          <w:p>
            <w:pPr>
              <w:spacing w:line="240" w:lineRule="auto"/>
              <w:jc w:val="center"/>
            </w:pPr>
            <w:r>
              <w:rPr>
                <w:rFonts w:hint="eastAsia"/>
              </w:rPr>
              <w:t>地理坐标</w:t>
            </w:r>
          </w:p>
        </w:tc>
        <w:tc>
          <w:tcPr>
            <w:tcW w:w="4385" w:type="pct"/>
            <w:gridSpan w:val="4"/>
            <w:vAlign w:val="center"/>
          </w:tcPr>
          <w:p>
            <w:pPr>
              <w:pStyle w:val="13"/>
              <w:spacing w:line="240" w:lineRule="auto"/>
              <w:ind w:firstLine="480"/>
            </w:pPr>
            <w:r>
              <w:rPr>
                <w:rFonts w:hint="eastAsia"/>
              </w:rPr>
              <w:t>却旦塘灌区：</w:t>
            </w:r>
          </w:p>
          <w:p>
            <w:pPr>
              <w:pStyle w:val="13"/>
              <w:spacing w:line="240" w:lineRule="auto"/>
              <w:ind w:firstLine="480"/>
            </w:pPr>
            <w:r>
              <w:rPr>
                <w:rFonts w:hint="eastAsia"/>
              </w:rPr>
              <w:t>起点：（E100度36分17.781秒，N35度37分31.796秒）</w:t>
            </w:r>
          </w:p>
          <w:p>
            <w:pPr>
              <w:pStyle w:val="13"/>
              <w:spacing w:line="240" w:lineRule="auto"/>
              <w:ind w:firstLine="480"/>
            </w:pPr>
            <w:r>
              <w:rPr>
                <w:rFonts w:hint="eastAsia"/>
              </w:rPr>
              <w:t>终点：（E100度36分35.046秒，N35度38分44.061秒）</w:t>
            </w:r>
          </w:p>
          <w:p>
            <w:pPr>
              <w:pStyle w:val="13"/>
              <w:spacing w:line="240" w:lineRule="auto"/>
              <w:ind w:firstLine="480"/>
            </w:pPr>
            <w:r>
              <w:rPr>
                <w:rFonts w:hint="eastAsia"/>
              </w:rPr>
              <w:t>下洛哇灌区：</w:t>
            </w:r>
          </w:p>
          <w:p>
            <w:pPr>
              <w:pStyle w:val="13"/>
              <w:spacing w:line="240" w:lineRule="auto"/>
              <w:ind w:firstLine="480"/>
            </w:pPr>
            <w:r>
              <w:rPr>
                <w:rFonts w:hint="eastAsia"/>
              </w:rPr>
              <w:t>起点：（E100度38分11.280秒，N35度38分30.951秒）</w:t>
            </w:r>
          </w:p>
          <w:p>
            <w:pPr>
              <w:pStyle w:val="13"/>
              <w:spacing w:line="240" w:lineRule="auto"/>
              <w:ind w:firstLine="480"/>
            </w:pPr>
            <w:r>
              <w:rPr>
                <w:rFonts w:hint="eastAsia"/>
              </w:rPr>
              <w:t>终点：（E100度37分58.467秒，N35度38分55.747秒）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27" w:hRule="atLeast"/>
        </w:trPr>
        <w:tc>
          <w:tcPr>
            <w:tcW w:w="614" w:type="pct"/>
            <w:tcMar>
              <w:top w:w="16" w:type="dxa"/>
              <w:left w:w="16" w:type="dxa"/>
              <w:right w:w="16" w:type="dxa"/>
            </w:tcMar>
            <w:vAlign w:val="center"/>
          </w:tcPr>
          <w:p>
            <w:pPr>
              <w:spacing w:line="240" w:lineRule="auto"/>
              <w:jc w:val="center"/>
            </w:pPr>
            <w:r>
              <w:rPr>
                <w:rFonts w:hint="eastAsia"/>
              </w:rPr>
              <w:t>建设项目</w:t>
            </w:r>
          </w:p>
          <w:p>
            <w:pPr>
              <w:spacing w:line="240" w:lineRule="auto"/>
              <w:jc w:val="center"/>
            </w:pPr>
            <w:r>
              <w:rPr>
                <w:rFonts w:hint="eastAsia"/>
              </w:rPr>
              <w:t>行业类别</w:t>
            </w:r>
          </w:p>
        </w:tc>
        <w:tc>
          <w:tcPr>
            <w:tcW w:w="1292" w:type="pct"/>
            <w:vAlign w:val="center"/>
          </w:tcPr>
          <w:p>
            <w:pPr>
              <w:spacing w:line="240" w:lineRule="auto"/>
              <w:jc w:val="center"/>
            </w:pPr>
            <w:r>
              <w:rPr>
                <w:rFonts w:hint="eastAsia"/>
              </w:rPr>
              <w:t>五十一、水利-125－灌区工程不含水源工程）</w:t>
            </w:r>
          </w:p>
        </w:tc>
        <w:tc>
          <w:tcPr>
            <w:tcW w:w="1286" w:type="pct"/>
            <w:vAlign w:val="center"/>
          </w:tcPr>
          <w:p>
            <w:pPr>
              <w:spacing w:line="240" w:lineRule="auto"/>
              <w:jc w:val="center"/>
            </w:pPr>
            <w:r>
              <w:rPr>
                <w:rFonts w:hint="eastAsia"/>
              </w:rPr>
              <w:t>用地（用海）面积（</w:t>
            </w:r>
            <w:r>
              <w:t>m</w:t>
            </w:r>
            <w:r>
              <w:rPr>
                <w:vertAlign w:val="superscript"/>
              </w:rPr>
              <w:t>2</w:t>
            </w:r>
            <w:r>
              <w:rPr>
                <w:rFonts w:hint="eastAsia"/>
              </w:rPr>
              <w:t>）</w:t>
            </w:r>
            <w:r>
              <w:t>/</w:t>
            </w:r>
            <w:r>
              <w:rPr>
                <w:rFonts w:hint="eastAsia"/>
              </w:rPr>
              <w:t>长度（</w:t>
            </w:r>
            <w:r>
              <w:t>km</w:t>
            </w:r>
            <w:r>
              <w:rPr>
                <w:rFonts w:hint="eastAsia"/>
              </w:rPr>
              <w:t>）</w:t>
            </w:r>
          </w:p>
        </w:tc>
        <w:tc>
          <w:tcPr>
            <w:tcW w:w="1806" w:type="pct"/>
            <w:gridSpan w:val="2"/>
            <w:vAlign w:val="center"/>
          </w:tcPr>
          <w:p>
            <w:pPr>
              <w:spacing w:line="240" w:lineRule="auto"/>
              <w:jc w:val="center"/>
            </w:pPr>
            <w:r>
              <w:rPr>
                <w:rFonts w:hint="eastAsia"/>
              </w:rPr>
              <w:t>临时用地0.2hm</w:t>
            </w:r>
            <w:r>
              <w:rPr>
                <w:rFonts w:hint="eastAsia"/>
                <w:vertAlign w:val="superscript"/>
              </w:rPr>
              <w:t>2</w:t>
            </w:r>
          </w:p>
          <w:p>
            <w:pPr>
              <w:spacing w:line="240" w:lineRule="auto"/>
              <w:jc w:val="center"/>
            </w:pPr>
            <w:r>
              <w:rPr>
                <w:rFonts w:hint="eastAsia"/>
              </w:rPr>
              <w:t>永久用地0.02hm</w:t>
            </w:r>
            <w:r>
              <w:rPr>
                <w:rFonts w:hint="eastAsia"/>
                <w:vertAlign w:val="superscript"/>
              </w:rPr>
              <w:t>2</w:t>
            </w:r>
          </w:p>
          <w:p>
            <w:pPr>
              <w:spacing w:line="240" w:lineRule="auto"/>
              <w:jc w:val="center"/>
            </w:pPr>
            <w:r>
              <w:rPr>
                <w:rFonts w:hint="eastAsia"/>
              </w:rPr>
              <w:t>工程长度4.914km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614" w:type="pct"/>
            <w:tcMar>
              <w:top w:w="16" w:type="dxa"/>
              <w:left w:w="16" w:type="dxa"/>
              <w:right w:w="16" w:type="dxa"/>
            </w:tcMar>
            <w:vAlign w:val="center"/>
          </w:tcPr>
          <w:p>
            <w:pPr>
              <w:spacing w:line="240" w:lineRule="auto"/>
              <w:jc w:val="center"/>
            </w:pPr>
            <w:r>
              <w:rPr>
                <w:rFonts w:hint="eastAsia"/>
              </w:rPr>
              <w:t>建设性质</w:t>
            </w:r>
          </w:p>
        </w:tc>
        <w:tc>
          <w:tcPr>
            <w:tcW w:w="1292" w:type="pct"/>
            <w:vAlign w:val="center"/>
          </w:tcPr>
          <w:p>
            <w:pPr>
              <w:spacing w:line="240" w:lineRule="auto"/>
              <w:ind w:firstLine="480" w:firstLineChars="200"/>
            </w:pPr>
            <w:r>
              <w:rPr>
                <w:rFonts w:hint="eastAsia"/>
              </w:rPr>
              <w:t>☑新建（迁建）</w:t>
            </w:r>
          </w:p>
          <w:p>
            <w:pPr>
              <w:spacing w:line="240" w:lineRule="auto"/>
              <w:ind w:firstLine="480" w:firstLineChars="200"/>
            </w:pPr>
            <w:r>
              <w:rPr>
                <w:rFonts w:hint="eastAsia"/>
              </w:rPr>
              <w:t>□改建</w:t>
            </w:r>
          </w:p>
          <w:p>
            <w:pPr>
              <w:spacing w:line="240" w:lineRule="auto"/>
              <w:ind w:firstLine="480" w:firstLineChars="200"/>
            </w:pPr>
            <w:r>
              <w:rPr>
                <w:rFonts w:hint="eastAsia"/>
              </w:rPr>
              <w:t>□扩建</w:t>
            </w:r>
          </w:p>
          <w:p>
            <w:pPr>
              <w:spacing w:line="240" w:lineRule="auto"/>
              <w:ind w:firstLine="480" w:firstLineChars="200"/>
            </w:pPr>
            <w:r>
              <w:rPr>
                <w:rFonts w:hint="eastAsia"/>
              </w:rPr>
              <w:t>□技术改造</w:t>
            </w:r>
          </w:p>
        </w:tc>
        <w:tc>
          <w:tcPr>
            <w:tcW w:w="1286" w:type="pct"/>
            <w:vAlign w:val="center"/>
          </w:tcPr>
          <w:p>
            <w:pPr>
              <w:spacing w:line="240" w:lineRule="auto"/>
              <w:jc w:val="center"/>
            </w:pPr>
            <w:r>
              <w:rPr>
                <w:rFonts w:hint="eastAsia"/>
              </w:rPr>
              <w:t>建设项目</w:t>
            </w:r>
          </w:p>
          <w:p>
            <w:pPr>
              <w:spacing w:line="240" w:lineRule="auto"/>
              <w:jc w:val="center"/>
            </w:pPr>
            <w:r>
              <w:rPr>
                <w:rFonts w:hint="eastAsia"/>
              </w:rPr>
              <w:t>申报情形</w:t>
            </w:r>
          </w:p>
        </w:tc>
        <w:tc>
          <w:tcPr>
            <w:tcW w:w="1806" w:type="pct"/>
            <w:gridSpan w:val="2"/>
            <w:vAlign w:val="center"/>
          </w:tcPr>
          <w:p>
            <w:pPr>
              <w:spacing w:line="240" w:lineRule="auto"/>
            </w:pPr>
            <w:r>
              <w:rPr>
                <w:rFonts w:hint="eastAsia"/>
              </w:rPr>
              <w:t>☑首次申报项目</w:t>
            </w:r>
          </w:p>
          <w:p>
            <w:pPr>
              <w:spacing w:line="240" w:lineRule="auto"/>
            </w:pPr>
            <w:r>
              <w:rPr>
                <w:rFonts w:hint="eastAsia"/>
              </w:rPr>
              <w:t>□不予批准后再次申报项目</w:t>
            </w:r>
          </w:p>
          <w:p>
            <w:pPr>
              <w:spacing w:line="240" w:lineRule="auto"/>
            </w:pPr>
            <w:r>
              <w:rPr>
                <w:rFonts w:hint="eastAsia"/>
              </w:rPr>
              <w:t>□超五年重新审核项目</w:t>
            </w:r>
          </w:p>
          <w:p>
            <w:pPr>
              <w:spacing w:line="240" w:lineRule="auto"/>
            </w:pPr>
            <w:r>
              <w:rPr>
                <w:rFonts w:hint="eastAsia"/>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614" w:type="pct"/>
            <w:tcMar>
              <w:top w:w="16" w:type="dxa"/>
              <w:left w:w="16" w:type="dxa"/>
              <w:right w:w="16" w:type="dxa"/>
            </w:tcMar>
            <w:vAlign w:val="center"/>
          </w:tcPr>
          <w:p>
            <w:pPr>
              <w:spacing w:line="240" w:lineRule="auto"/>
              <w:jc w:val="center"/>
            </w:pPr>
            <w:r>
              <w:rPr>
                <w:rFonts w:hint="eastAsia"/>
              </w:rPr>
              <w:t>项目审批</w:t>
            </w:r>
          </w:p>
          <w:p>
            <w:pPr>
              <w:spacing w:line="240" w:lineRule="auto"/>
              <w:jc w:val="center"/>
            </w:pPr>
            <w:r>
              <w:rPr>
                <w:rFonts w:hint="eastAsia"/>
              </w:rPr>
              <w:t>（核准</w:t>
            </w:r>
            <w:r>
              <w:t>/</w:t>
            </w:r>
            <w:r>
              <w:rPr>
                <w:rFonts w:hint="eastAsia"/>
              </w:rPr>
              <w:t>备案）</w:t>
            </w:r>
          </w:p>
          <w:p>
            <w:pPr>
              <w:spacing w:line="240" w:lineRule="auto"/>
              <w:jc w:val="center"/>
            </w:pPr>
            <w:r>
              <w:rPr>
                <w:rFonts w:hint="eastAsia"/>
              </w:rPr>
              <w:t>部门（选填）</w:t>
            </w:r>
          </w:p>
        </w:tc>
        <w:tc>
          <w:tcPr>
            <w:tcW w:w="1292" w:type="pct"/>
            <w:vAlign w:val="center"/>
          </w:tcPr>
          <w:p>
            <w:pPr>
              <w:spacing w:line="240" w:lineRule="auto"/>
              <w:jc w:val="center"/>
            </w:pPr>
            <w:r>
              <w:rPr>
                <w:rFonts w:hint="eastAsia"/>
              </w:rPr>
              <w:t>贵南县发展和改革局</w:t>
            </w:r>
          </w:p>
        </w:tc>
        <w:tc>
          <w:tcPr>
            <w:tcW w:w="1286" w:type="pct"/>
            <w:vAlign w:val="center"/>
          </w:tcPr>
          <w:p>
            <w:pPr>
              <w:spacing w:line="240" w:lineRule="auto"/>
              <w:jc w:val="center"/>
            </w:pPr>
            <w:r>
              <w:rPr>
                <w:rFonts w:hint="eastAsia"/>
              </w:rPr>
              <w:t>项目审批</w:t>
            </w:r>
          </w:p>
          <w:p>
            <w:pPr>
              <w:spacing w:line="240" w:lineRule="auto"/>
              <w:jc w:val="center"/>
            </w:pPr>
            <w:r>
              <w:rPr>
                <w:rFonts w:hint="eastAsia"/>
              </w:rPr>
              <w:t>（核准</w:t>
            </w:r>
            <w:r>
              <w:t>/</w:t>
            </w:r>
            <w:r>
              <w:rPr>
                <w:rFonts w:hint="eastAsia"/>
              </w:rPr>
              <w:t>备案）</w:t>
            </w:r>
          </w:p>
          <w:p>
            <w:pPr>
              <w:spacing w:line="240" w:lineRule="auto"/>
              <w:jc w:val="center"/>
            </w:pPr>
            <w:r>
              <w:rPr>
                <w:rFonts w:hint="eastAsia"/>
              </w:rPr>
              <w:t>文号（选填）</w:t>
            </w:r>
          </w:p>
        </w:tc>
        <w:tc>
          <w:tcPr>
            <w:tcW w:w="1806" w:type="pct"/>
            <w:gridSpan w:val="2"/>
            <w:vAlign w:val="center"/>
          </w:tcPr>
          <w:p>
            <w:pPr>
              <w:spacing w:line="240" w:lineRule="auto"/>
              <w:jc w:val="center"/>
            </w:pPr>
            <w:r>
              <w:rPr>
                <w:rFonts w:hint="eastAsia"/>
              </w:rPr>
              <w:t>南发改项目[2020]49号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614" w:type="pct"/>
            <w:tcMar>
              <w:top w:w="16" w:type="dxa"/>
              <w:left w:w="16" w:type="dxa"/>
              <w:right w:w="16" w:type="dxa"/>
            </w:tcMar>
            <w:vAlign w:val="center"/>
          </w:tcPr>
          <w:p>
            <w:pPr>
              <w:spacing w:line="240" w:lineRule="auto"/>
              <w:jc w:val="center"/>
            </w:pPr>
            <w:r>
              <w:rPr>
                <w:rFonts w:hint="eastAsia"/>
              </w:rPr>
              <w:t>总投资（万元）</w:t>
            </w:r>
          </w:p>
        </w:tc>
        <w:tc>
          <w:tcPr>
            <w:tcW w:w="1292" w:type="pct"/>
            <w:vAlign w:val="center"/>
          </w:tcPr>
          <w:p>
            <w:pPr>
              <w:spacing w:line="240" w:lineRule="auto"/>
              <w:jc w:val="center"/>
            </w:pPr>
            <w:r>
              <w:rPr>
                <w:rFonts w:hint="eastAsia"/>
              </w:rPr>
              <w:t>490</w:t>
            </w:r>
          </w:p>
        </w:tc>
        <w:tc>
          <w:tcPr>
            <w:tcW w:w="1286" w:type="pct"/>
            <w:tcMar>
              <w:top w:w="16" w:type="dxa"/>
              <w:left w:w="16" w:type="dxa"/>
              <w:right w:w="16" w:type="dxa"/>
            </w:tcMar>
            <w:vAlign w:val="center"/>
          </w:tcPr>
          <w:p>
            <w:pPr>
              <w:spacing w:line="240" w:lineRule="auto"/>
              <w:jc w:val="center"/>
            </w:pPr>
            <w:r>
              <w:rPr>
                <w:rFonts w:hint="eastAsia"/>
              </w:rPr>
              <w:t>环保投资（万元）</w:t>
            </w:r>
          </w:p>
        </w:tc>
        <w:tc>
          <w:tcPr>
            <w:tcW w:w="1806" w:type="pct"/>
            <w:gridSpan w:val="2"/>
            <w:vAlign w:val="center"/>
          </w:tcPr>
          <w:p>
            <w:pPr>
              <w:spacing w:line="240" w:lineRule="auto"/>
              <w:jc w:val="center"/>
            </w:pPr>
            <w:r>
              <w:rPr>
                <w:rFonts w:hint="eastAsia"/>
              </w:rPr>
              <w:t>23.7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614" w:type="pct"/>
            <w:tcMar>
              <w:top w:w="16" w:type="dxa"/>
              <w:left w:w="16" w:type="dxa"/>
              <w:right w:w="16" w:type="dxa"/>
            </w:tcMar>
            <w:vAlign w:val="center"/>
          </w:tcPr>
          <w:p>
            <w:pPr>
              <w:spacing w:line="240" w:lineRule="auto"/>
              <w:jc w:val="center"/>
            </w:pPr>
            <w:r>
              <w:rPr>
                <w:rFonts w:hint="eastAsia"/>
              </w:rPr>
              <w:t>环保投资</w:t>
            </w:r>
          </w:p>
          <w:p>
            <w:pPr>
              <w:spacing w:line="240" w:lineRule="auto"/>
              <w:jc w:val="center"/>
            </w:pPr>
            <w:r>
              <w:rPr>
                <w:rFonts w:hint="eastAsia"/>
              </w:rPr>
              <w:t>占比（</w:t>
            </w:r>
            <w:r>
              <w:t>%</w:t>
            </w:r>
            <w:r>
              <w:rPr>
                <w:rFonts w:hint="eastAsia"/>
              </w:rPr>
              <w:t>）</w:t>
            </w:r>
          </w:p>
        </w:tc>
        <w:tc>
          <w:tcPr>
            <w:tcW w:w="1292" w:type="pct"/>
            <w:vAlign w:val="center"/>
          </w:tcPr>
          <w:p>
            <w:pPr>
              <w:spacing w:line="240" w:lineRule="auto"/>
              <w:jc w:val="center"/>
            </w:pPr>
            <w:r>
              <w:rPr>
                <w:rFonts w:hint="eastAsia"/>
              </w:rPr>
              <w:t>4.84</w:t>
            </w:r>
          </w:p>
        </w:tc>
        <w:tc>
          <w:tcPr>
            <w:tcW w:w="1286" w:type="pct"/>
            <w:tcMar>
              <w:top w:w="16" w:type="dxa"/>
              <w:left w:w="16" w:type="dxa"/>
              <w:right w:w="16" w:type="dxa"/>
            </w:tcMar>
            <w:vAlign w:val="center"/>
          </w:tcPr>
          <w:p>
            <w:pPr>
              <w:spacing w:line="240" w:lineRule="auto"/>
              <w:jc w:val="center"/>
            </w:pPr>
            <w:r>
              <w:rPr>
                <w:rFonts w:hint="eastAsia"/>
              </w:rPr>
              <w:t>施工工期</w:t>
            </w:r>
          </w:p>
        </w:tc>
        <w:tc>
          <w:tcPr>
            <w:tcW w:w="1806" w:type="pct"/>
            <w:gridSpan w:val="2"/>
            <w:vAlign w:val="center"/>
          </w:tcPr>
          <w:p>
            <w:pPr>
              <w:spacing w:line="240" w:lineRule="auto"/>
              <w:jc w:val="center"/>
            </w:pPr>
            <w:r>
              <w:rPr>
                <w:rFonts w:hint="eastAsia"/>
              </w:rPr>
              <w:t>4个月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614" w:type="pct"/>
            <w:tcMar>
              <w:top w:w="16" w:type="dxa"/>
              <w:left w:w="16" w:type="dxa"/>
              <w:right w:w="16" w:type="dxa"/>
            </w:tcMar>
            <w:vAlign w:val="center"/>
          </w:tcPr>
          <w:p>
            <w:pPr>
              <w:spacing w:line="240" w:lineRule="auto"/>
              <w:jc w:val="center"/>
            </w:pPr>
            <w:r>
              <w:rPr>
                <w:rFonts w:hint="eastAsia"/>
              </w:rPr>
              <w:t>是否开工建设</w:t>
            </w:r>
          </w:p>
        </w:tc>
        <w:tc>
          <w:tcPr>
            <w:tcW w:w="4385" w:type="pct"/>
            <w:gridSpan w:val="4"/>
            <w:vAlign w:val="center"/>
          </w:tcPr>
          <w:p>
            <w:pPr>
              <w:pStyle w:val="13"/>
              <w:spacing w:line="240" w:lineRule="auto"/>
              <w:ind w:firstLine="480"/>
            </w:pPr>
            <w:r>
              <w:rPr>
                <w:rFonts w:hint="eastAsia"/>
              </w:rPr>
              <w:t>☑否</w:t>
            </w:r>
          </w:p>
          <w:p>
            <w:pPr>
              <w:pStyle w:val="13"/>
              <w:spacing w:line="240" w:lineRule="auto"/>
              <w:ind w:firstLine="480"/>
            </w:pPr>
            <w:r>
              <w:rPr>
                <w:rFonts w:hint="eastAsia"/>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614" w:type="pct"/>
            <w:tcMar>
              <w:top w:w="16" w:type="dxa"/>
              <w:left w:w="16" w:type="dxa"/>
              <w:right w:w="16" w:type="dxa"/>
            </w:tcMar>
            <w:vAlign w:val="center"/>
          </w:tcPr>
          <w:p>
            <w:pPr>
              <w:spacing w:line="240" w:lineRule="auto"/>
              <w:jc w:val="center"/>
            </w:pPr>
            <w:r>
              <w:rPr>
                <w:rFonts w:hint="eastAsia"/>
              </w:rPr>
              <w:t>专项评价</w:t>
            </w:r>
          </w:p>
          <w:p>
            <w:pPr>
              <w:spacing w:line="240" w:lineRule="auto"/>
              <w:jc w:val="center"/>
            </w:pPr>
            <w:r>
              <w:rPr>
                <w:rFonts w:hint="eastAsia"/>
              </w:rPr>
              <w:t>设置情况</w:t>
            </w:r>
          </w:p>
        </w:tc>
        <w:tc>
          <w:tcPr>
            <w:tcW w:w="4385" w:type="pct"/>
            <w:gridSpan w:val="4"/>
            <w:tcMar>
              <w:top w:w="16" w:type="dxa"/>
              <w:left w:w="16" w:type="dxa"/>
              <w:right w:w="16" w:type="dxa"/>
            </w:tcMar>
            <w:vAlign w:val="center"/>
          </w:tcPr>
          <w:p>
            <w:pPr>
              <w:pStyle w:val="13"/>
              <w:spacing w:line="240" w:lineRule="auto"/>
              <w:ind w:firstLine="480"/>
              <w:jc w:val="center"/>
            </w:pPr>
            <w:r>
              <w:rPr>
                <w:rFonts w:hint="eastAsia"/>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614" w:type="pct"/>
            <w:tcMar>
              <w:top w:w="16" w:type="dxa"/>
              <w:left w:w="16" w:type="dxa"/>
              <w:right w:w="16" w:type="dxa"/>
            </w:tcMar>
            <w:vAlign w:val="center"/>
          </w:tcPr>
          <w:p>
            <w:pPr>
              <w:spacing w:line="240" w:lineRule="auto"/>
              <w:jc w:val="center"/>
            </w:pPr>
            <w:r>
              <w:rPr>
                <w:rFonts w:hint="eastAsia"/>
              </w:rPr>
              <w:t>规划情况</w:t>
            </w:r>
          </w:p>
        </w:tc>
        <w:tc>
          <w:tcPr>
            <w:tcW w:w="4385" w:type="pct"/>
            <w:gridSpan w:val="4"/>
            <w:tcMar>
              <w:top w:w="16" w:type="dxa"/>
              <w:left w:w="16" w:type="dxa"/>
              <w:right w:w="16" w:type="dxa"/>
            </w:tcMar>
            <w:vAlign w:val="center"/>
          </w:tcPr>
          <w:p>
            <w:pPr>
              <w:pStyle w:val="13"/>
              <w:spacing w:line="240" w:lineRule="auto"/>
              <w:ind w:firstLine="480"/>
              <w:jc w:val="center"/>
            </w:pPr>
            <w:r>
              <w:rPr>
                <w:rFonts w:hint="eastAsia"/>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614" w:type="pct"/>
            <w:tcMar>
              <w:top w:w="16" w:type="dxa"/>
              <w:left w:w="16" w:type="dxa"/>
              <w:right w:w="16" w:type="dxa"/>
            </w:tcMar>
            <w:vAlign w:val="center"/>
          </w:tcPr>
          <w:p>
            <w:pPr>
              <w:spacing w:line="240" w:lineRule="auto"/>
              <w:jc w:val="center"/>
            </w:pPr>
            <w:r>
              <w:rPr>
                <w:rFonts w:hint="eastAsia"/>
              </w:rPr>
              <w:t>规划环境影响</w:t>
            </w:r>
          </w:p>
          <w:p>
            <w:pPr>
              <w:spacing w:line="240" w:lineRule="auto"/>
              <w:jc w:val="center"/>
            </w:pPr>
            <w:r>
              <w:rPr>
                <w:rFonts w:hint="eastAsia"/>
              </w:rPr>
              <w:t>评价情况</w:t>
            </w:r>
          </w:p>
        </w:tc>
        <w:tc>
          <w:tcPr>
            <w:tcW w:w="4385" w:type="pct"/>
            <w:gridSpan w:val="4"/>
            <w:tcMar>
              <w:top w:w="16" w:type="dxa"/>
              <w:left w:w="16" w:type="dxa"/>
              <w:right w:w="16" w:type="dxa"/>
            </w:tcMar>
            <w:vAlign w:val="center"/>
          </w:tcPr>
          <w:p>
            <w:pPr>
              <w:pStyle w:val="13"/>
              <w:spacing w:line="240" w:lineRule="auto"/>
              <w:ind w:firstLine="480"/>
              <w:jc w:val="center"/>
            </w:pPr>
            <w:r>
              <w:rPr>
                <w:rFonts w:hint="eastAsia"/>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614" w:type="pct"/>
            <w:tcMar>
              <w:top w:w="16" w:type="dxa"/>
              <w:left w:w="16" w:type="dxa"/>
              <w:right w:w="16" w:type="dxa"/>
            </w:tcMar>
            <w:vAlign w:val="center"/>
          </w:tcPr>
          <w:p>
            <w:pPr>
              <w:spacing w:line="240" w:lineRule="auto"/>
              <w:jc w:val="center"/>
            </w:pPr>
            <w:r>
              <w:rPr>
                <w:rFonts w:hint="eastAsia"/>
              </w:rPr>
              <w:t>规划及规划环境影响评价符合性分析</w:t>
            </w:r>
          </w:p>
        </w:tc>
        <w:tc>
          <w:tcPr>
            <w:tcW w:w="4385" w:type="pct"/>
            <w:gridSpan w:val="4"/>
            <w:tcMar>
              <w:top w:w="16" w:type="dxa"/>
              <w:left w:w="16" w:type="dxa"/>
              <w:right w:w="16" w:type="dxa"/>
            </w:tcMar>
            <w:vAlign w:val="center"/>
          </w:tcPr>
          <w:p>
            <w:pPr>
              <w:pStyle w:val="13"/>
              <w:spacing w:line="240" w:lineRule="auto"/>
              <w:ind w:firstLine="480"/>
              <w:jc w:val="center"/>
            </w:pPr>
            <w:r>
              <w:rPr>
                <w:rFonts w:hint="eastAsia"/>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614" w:type="pct"/>
            <w:tcMar>
              <w:top w:w="16" w:type="dxa"/>
              <w:left w:w="16" w:type="dxa"/>
              <w:right w:w="16" w:type="dxa"/>
            </w:tcMar>
            <w:vAlign w:val="center"/>
          </w:tcPr>
          <w:p>
            <w:pPr>
              <w:jc w:val="center"/>
            </w:pPr>
            <w:bookmarkStart w:id="2" w:name="_Hlk56690880"/>
            <w:r>
              <w:rPr>
                <w:rFonts w:hint="eastAsia"/>
              </w:rPr>
              <w:t>其他符合性分析</w:t>
            </w:r>
            <w:bookmarkEnd w:id="2"/>
          </w:p>
        </w:tc>
        <w:tc>
          <w:tcPr>
            <w:tcW w:w="4385" w:type="pct"/>
            <w:gridSpan w:val="4"/>
            <w:tcMar>
              <w:top w:w="16" w:type="dxa"/>
              <w:left w:w="16" w:type="dxa"/>
              <w:right w:w="16" w:type="dxa"/>
            </w:tcMar>
            <w:vAlign w:val="center"/>
          </w:tcPr>
          <w:p>
            <w:pPr>
              <w:pStyle w:val="3"/>
            </w:pPr>
            <w:r>
              <w:rPr>
                <w:rFonts w:hint="eastAsia"/>
              </w:rPr>
              <w:t>“三线一单”符合性分析：</w:t>
            </w:r>
          </w:p>
          <w:p>
            <w:pPr>
              <w:pStyle w:val="13"/>
              <w:ind w:firstLine="480"/>
            </w:pPr>
            <w:r>
              <w:t>根据</w:t>
            </w:r>
            <w:r>
              <w:rPr>
                <w:rFonts w:hint="eastAsia"/>
              </w:rPr>
              <w:t>《</w:t>
            </w:r>
            <w:r>
              <w:t>青海省人民政府关于实施“三线一单”生态环境分区管控的通知</w:t>
            </w:r>
            <w:r>
              <w:rPr>
                <w:rFonts w:hint="eastAsia"/>
              </w:rPr>
              <w:t>》</w:t>
            </w:r>
            <w:r>
              <w:t>要求，全面加强环境影响评价管理，落实“生态保护红线、环境质量底线、资源利用上线和环境准入负面清单”约束。本项目与“三线一单”的符合性如下：</w:t>
            </w:r>
          </w:p>
          <w:p>
            <w:pPr>
              <w:pStyle w:val="13"/>
              <w:ind w:firstLine="480"/>
            </w:pPr>
            <w:r>
              <w:t>（1）生态保护红线</w:t>
            </w:r>
          </w:p>
          <w:p>
            <w:pPr>
              <w:pStyle w:val="13"/>
              <w:ind w:firstLine="480"/>
            </w:pPr>
            <w:r>
              <w:t>本项目不在自然保护区、风景名胜区、饮用水水源保护区、森林公园、地质公园等重要生态功能区、生态敏感区和脆弱区以及其他要求禁止建设的环境敏感区内，符合生态保护红线的划定原则。</w:t>
            </w:r>
            <w:r>
              <w:rPr>
                <w:rFonts w:hint="eastAsia"/>
              </w:rPr>
              <w:t>根据《海南州“三线一单”生态环境分区管控实施方案》，本项目位于贵南县生态环境管控一般管控单元内（一般管控单元为除优先保护单元和重点保护单元之外的其他区域，应落实生态保护的要求，保持生态环境质量稳定），如下图所示，“三线一单”管控符合性分析详见表1。</w:t>
            </w:r>
          </w:p>
          <w:p>
            <w:pPr>
              <w:pStyle w:val="21"/>
            </w:pPr>
            <w:r>
              <w:drawing>
                <wp:inline distT="0" distB="0" distL="114300" distR="114300">
                  <wp:extent cx="5882640" cy="3717290"/>
                  <wp:effectExtent l="0" t="0" r="3810" b="1651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9" cstate="print"/>
                          <a:stretch>
                            <a:fillRect/>
                          </a:stretch>
                        </pic:blipFill>
                        <pic:spPr>
                          <a:xfrm>
                            <a:off x="0" y="0"/>
                            <a:ext cx="5882640" cy="3717290"/>
                          </a:xfrm>
                          <a:prstGeom prst="rect">
                            <a:avLst/>
                          </a:prstGeom>
                          <a:noFill/>
                          <a:ln>
                            <a:noFill/>
                          </a:ln>
                        </pic:spPr>
                      </pic:pic>
                    </a:graphicData>
                  </a:graphic>
                </wp:inline>
              </w:drawing>
            </w:r>
          </w:p>
          <w:p>
            <w:pPr>
              <w:pStyle w:val="21"/>
            </w:pPr>
            <w:r>
              <w:rPr>
                <w:rFonts w:hint="eastAsia"/>
              </w:rPr>
              <w:t>图1-1三线一单管控单元图</w:t>
            </w:r>
          </w:p>
          <w:p>
            <w:pPr>
              <w:pStyle w:val="13"/>
              <w:ind w:firstLine="480"/>
            </w:pPr>
            <w:r>
              <w:t>（2）环境质量底线</w:t>
            </w:r>
          </w:p>
          <w:p>
            <w:pPr>
              <w:pStyle w:val="13"/>
              <w:ind w:firstLine="480"/>
            </w:pPr>
            <w:r>
              <w:t>项目所在区域环境空气质量执行《环境空气质量标准》（GB3095-2012）中二类标准，地表水环境质量执行《地表水环境质量标准》（GB3838-2002）中II类水质标准，声环境执行《声环境质量标准》（GB3095-2008）中</w:t>
            </w:r>
            <w:r>
              <w:rPr>
                <w:rFonts w:hint="eastAsia"/>
              </w:rPr>
              <w:t>1</w:t>
            </w:r>
            <w:r>
              <w:t>类区标准。</w:t>
            </w:r>
          </w:p>
          <w:p>
            <w:pPr>
              <w:pStyle w:val="13"/>
              <w:ind w:firstLine="480"/>
            </w:pPr>
            <w:r>
              <w:t>本项目</w:t>
            </w:r>
            <w:r>
              <w:rPr>
                <w:rFonts w:hint="eastAsia"/>
              </w:rPr>
              <w:t>施工期</w:t>
            </w:r>
            <w:r>
              <w:t>污染物产生量较少，</w:t>
            </w:r>
            <w:r>
              <w:rPr>
                <w:rFonts w:hint="eastAsia"/>
              </w:rPr>
              <w:t>采取污染防治措施后对环境影响小，且采取相应的生态环境恢复措施后，对生态环境影响也较小；</w:t>
            </w:r>
          </w:p>
          <w:p>
            <w:pPr>
              <w:pStyle w:val="13"/>
              <w:ind w:firstLine="480"/>
            </w:pPr>
            <w:r>
              <w:rPr>
                <w:rFonts w:hint="eastAsia"/>
              </w:rPr>
              <w:t>项目运营期对周围环境基本无影响。因此本项目建设满足</w:t>
            </w:r>
            <w:r>
              <w:t>符合环境功能区划要求，可以达到环境质量目标，符合环境质量底线的原则。</w:t>
            </w:r>
          </w:p>
          <w:p>
            <w:pPr>
              <w:pStyle w:val="13"/>
              <w:ind w:firstLine="480"/>
            </w:pPr>
            <w:r>
              <w:t>（3）资源利用上线</w:t>
            </w:r>
          </w:p>
          <w:p>
            <w:pPr>
              <w:pStyle w:val="13"/>
              <w:ind w:firstLine="480"/>
            </w:pPr>
            <w:r>
              <w:t>项目属于</w:t>
            </w:r>
            <w:r>
              <w:rPr>
                <w:rFonts w:hint="eastAsia"/>
              </w:rPr>
              <w:t>灌区工程（不含水源工程）</w:t>
            </w:r>
            <w:r>
              <w:t>，</w:t>
            </w:r>
            <w:r>
              <w:rPr>
                <w:rFonts w:hint="eastAsia"/>
              </w:rPr>
              <w:t>项目投入运行后</w:t>
            </w:r>
            <w:r>
              <w:t>，符合资源利用上线不能突破的原则。</w:t>
            </w:r>
          </w:p>
          <w:p>
            <w:pPr>
              <w:pStyle w:val="13"/>
              <w:ind w:firstLine="480"/>
            </w:pPr>
            <w:r>
              <w:t>（4）</w:t>
            </w:r>
            <w:r>
              <w:rPr>
                <w:rFonts w:hint="eastAsia"/>
                <w:lang w:eastAsia="zh-CN"/>
              </w:rPr>
              <w:t>生态</w:t>
            </w:r>
            <w:r>
              <w:t>环境准入清单</w:t>
            </w:r>
          </w:p>
          <w:p>
            <w:pPr>
              <w:pStyle w:val="13"/>
              <w:ind w:firstLine="480"/>
            </w:pPr>
            <w:r>
              <w:t>根据《产业结构调整指导目录（2019年本）》“鼓励发展类”中“第</w:t>
            </w:r>
            <w:r>
              <w:rPr>
                <w:rFonts w:hint="eastAsia"/>
              </w:rPr>
              <w:t>二</w:t>
            </w:r>
            <w:r>
              <w:t>条</w:t>
            </w:r>
            <w:r>
              <w:rPr>
                <w:rFonts w:hint="eastAsia"/>
              </w:rPr>
              <w:t xml:space="preserve"> 水利</w:t>
            </w:r>
            <w:r>
              <w:t>”第</w:t>
            </w:r>
            <w:r>
              <w:rPr>
                <w:rFonts w:hint="eastAsia"/>
              </w:rPr>
              <w:t>14</w:t>
            </w:r>
            <w:r>
              <w:t>项“</w:t>
            </w:r>
            <w:r>
              <w:rPr>
                <w:rFonts w:hint="eastAsia"/>
              </w:rPr>
              <w:t>灌区及其配套设施建设、改造</w:t>
            </w:r>
            <w:r>
              <w:t>”，本项目属国家鼓励类发展项目，符合国家产业政策的相关要求。</w:t>
            </w:r>
            <w:r>
              <w:rPr>
                <w:rFonts w:hint="eastAsia"/>
              </w:rPr>
              <w:t>同时，</w:t>
            </w:r>
            <w:r>
              <w:t>项目已取得</w:t>
            </w:r>
            <w:r>
              <w:rPr>
                <w:rFonts w:hint="eastAsia"/>
              </w:rPr>
              <w:t>贵南县发展和改革局《关于贵南县茫拉乡却旦塘灌区维修改造工程实施方案的批复》（南发改项目[2020]49号）</w:t>
            </w:r>
            <w:r>
              <w:t>，项目符合国家产业政策要求和地方政策要求。</w:t>
            </w:r>
          </w:p>
          <w:p>
            <w:pPr>
              <w:pStyle w:val="20"/>
            </w:pPr>
          </w:p>
          <w:p>
            <w:pPr>
              <w:spacing w:line="240" w:lineRule="auto"/>
              <w:ind w:firstLine="422"/>
              <w:jc w:val="center"/>
              <w:rPr>
                <w:b/>
                <w:bCs/>
              </w:rPr>
            </w:pPr>
            <w:r>
              <w:rPr>
                <w:rFonts w:hint="eastAsia"/>
                <w:b/>
                <w:bCs/>
                <w:sz w:val="21"/>
                <w:szCs w:val="21"/>
              </w:rPr>
              <w:t>表1  项目“三线一单”</w:t>
            </w:r>
            <w:r>
              <w:rPr>
                <w:rFonts w:hint="eastAsia"/>
                <w:b/>
                <w:bCs/>
                <w:sz w:val="21"/>
                <w:szCs w:val="21"/>
                <w:lang w:val="zh-CN"/>
              </w:rPr>
              <w:t>生态环境分区</w:t>
            </w:r>
            <w:r>
              <w:rPr>
                <w:rFonts w:hint="eastAsia"/>
                <w:b/>
                <w:bCs/>
                <w:sz w:val="21"/>
                <w:szCs w:val="21"/>
              </w:rPr>
              <w:t>管控单元要求的符合性分析</w:t>
            </w:r>
          </w:p>
          <w:tbl>
            <w:tblPr>
              <w:tblStyle w:val="14"/>
              <w:tblpPr w:leftFromText="180" w:rightFromText="180" w:vertAnchor="text" w:horzAnchor="page" w:tblpX="178" w:tblpY="116"/>
              <w:tblOverlap w:val="never"/>
              <w:tblW w:w="8699" w:type="dxa"/>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88"/>
              <w:gridCol w:w="2592"/>
              <w:gridCol w:w="2561"/>
              <w:gridCol w:w="958"/>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5180" w:type="dxa"/>
                  <w:gridSpan w:val="2"/>
                  <w:tcBorders>
                    <w:tl2br w:val="nil"/>
                    <w:tr2bl w:val="nil"/>
                  </w:tcBorders>
                  <w:vAlign w:val="center"/>
                </w:tcPr>
                <w:p>
                  <w:pPr>
                    <w:pStyle w:val="20"/>
                    <w:spacing w:before="24" w:after="24"/>
                  </w:pPr>
                  <w:r>
                    <w:rPr>
                      <w:rFonts w:hint="eastAsia"/>
                    </w:rPr>
                    <w:t>管控要求</w:t>
                  </w:r>
                </w:p>
              </w:tc>
              <w:tc>
                <w:tcPr>
                  <w:tcW w:w="2561" w:type="dxa"/>
                  <w:tcBorders>
                    <w:tl2br w:val="nil"/>
                    <w:tr2bl w:val="nil"/>
                  </w:tcBorders>
                  <w:vAlign w:val="center"/>
                </w:tcPr>
                <w:p>
                  <w:pPr>
                    <w:pStyle w:val="20"/>
                    <w:spacing w:before="24" w:after="24"/>
                  </w:pPr>
                  <w:r>
                    <w:rPr>
                      <w:rFonts w:hint="eastAsia"/>
                    </w:rPr>
                    <w:t>项目符合性分析</w:t>
                  </w:r>
                </w:p>
              </w:tc>
              <w:tc>
                <w:tcPr>
                  <w:tcW w:w="958" w:type="dxa"/>
                  <w:tcBorders>
                    <w:tl2br w:val="nil"/>
                    <w:tr2bl w:val="nil"/>
                  </w:tcBorders>
                  <w:vAlign w:val="center"/>
                </w:tcPr>
                <w:p>
                  <w:pPr>
                    <w:pStyle w:val="20"/>
                    <w:spacing w:before="24" w:after="24"/>
                  </w:pPr>
                  <w:r>
                    <w:rPr>
                      <w:rFonts w:hint="eastAsia"/>
                    </w:rPr>
                    <w:t>结论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2588" w:type="dxa"/>
                  <w:vMerge w:val="restart"/>
                  <w:tcBorders>
                    <w:tl2br w:val="nil"/>
                    <w:tr2bl w:val="nil"/>
                  </w:tcBorders>
                  <w:vAlign w:val="center"/>
                </w:tcPr>
                <w:p>
                  <w:pPr>
                    <w:pStyle w:val="20"/>
                    <w:spacing w:before="24" w:after="24"/>
                    <w:rPr>
                      <w:lang w:val="zh-CN"/>
                    </w:rPr>
                  </w:pPr>
                  <w:r>
                    <w:rPr>
                      <w:rFonts w:hint="eastAsia"/>
                    </w:rPr>
                    <w:t>贵南县</w:t>
                  </w:r>
                  <w:r>
                    <w:rPr>
                      <w:rFonts w:hint="eastAsia"/>
                      <w:lang w:val="zh-CN"/>
                    </w:rPr>
                    <w:t>一般管控单元基本农田管控要求</w:t>
                  </w:r>
                </w:p>
                <w:p>
                  <w:pPr>
                    <w:pStyle w:val="20"/>
                    <w:spacing w:before="24" w:after="24"/>
                    <w:rPr>
                      <w:lang w:val="zh-CN"/>
                    </w:rPr>
                  </w:pPr>
                </w:p>
                <w:p>
                  <w:pPr>
                    <w:pStyle w:val="20"/>
                    <w:spacing w:before="24" w:after="24"/>
                    <w:rPr>
                      <w:lang w:val="zh-CN"/>
                    </w:rPr>
                  </w:pPr>
                  <w:r>
                    <w:rPr>
                      <w:rFonts w:hint="eastAsia"/>
                      <w:lang w:val="zh-CN"/>
                    </w:rPr>
                    <w:t>（管控单元编码为ZH63</w:t>
                  </w:r>
                  <w:r>
                    <w:rPr>
                      <w:rFonts w:hint="eastAsia"/>
                    </w:rPr>
                    <w:t>2525300002</w:t>
                  </w:r>
                  <w:r>
                    <w:rPr>
                      <w:rFonts w:hint="eastAsia"/>
                      <w:lang w:val="zh-CN"/>
                    </w:rPr>
                    <w:t>）</w:t>
                  </w:r>
                </w:p>
              </w:tc>
              <w:tc>
                <w:tcPr>
                  <w:tcW w:w="2592" w:type="dxa"/>
                  <w:tcBorders>
                    <w:tl2br w:val="nil"/>
                    <w:tr2bl w:val="nil"/>
                  </w:tcBorders>
                  <w:vAlign w:val="center"/>
                </w:tcPr>
                <w:p>
                  <w:pPr>
                    <w:pStyle w:val="20"/>
                    <w:spacing w:before="24" w:after="24"/>
                    <w:jc w:val="left"/>
                    <w:rPr>
                      <w:lang w:val="zh-CN"/>
                    </w:rPr>
                  </w:pPr>
                  <w:r>
                    <w:rPr>
                      <w:rFonts w:hint="eastAsia"/>
                      <w:lang w:val="zh-CN"/>
                    </w:rPr>
                    <w:t>永久基本农田一经划定，任何个人或单位不得擅自占用或改变用途。</w:t>
                  </w:r>
                </w:p>
              </w:tc>
              <w:tc>
                <w:tcPr>
                  <w:tcW w:w="2561" w:type="dxa"/>
                  <w:tcBorders>
                    <w:tl2br w:val="nil"/>
                    <w:tr2bl w:val="nil"/>
                  </w:tcBorders>
                  <w:vAlign w:val="center"/>
                </w:tcPr>
                <w:p>
                  <w:pPr>
                    <w:pStyle w:val="20"/>
                    <w:spacing w:before="24" w:after="24"/>
                    <w:jc w:val="left"/>
                  </w:pPr>
                  <w:r>
                    <w:rPr>
                      <w:rFonts w:hint="eastAsia"/>
                    </w:rPr>
                    <w:t>本项目为灌区改造项目，不改变基本农田用途。</w:t>
                  </w:r>
                </w:p>
              </w:tc>
              <w:tc>
                <w:tcPr>
                  <w:tcW w:w="958" w:type="dxa"/>
                  <w:tcBorders>
                    <w:tl2br w:val="nil"/>
                    <w:tr2bl w:val="nil"/>
                  </w:tcBorders>
                  <w:vAlign w:val="center"/>
                </w:tcPr>
                <w:p>
                  <w:pPr>
                    <w:pStyle w:val="20"/>
                    <w:spacing w:before="24" w:after="24"/>
                  </w:pPr>
                  <w:r>
                    <w:rPr>
                      <w:rFonts w:hint="eastAsia"/>
                    </w:rPr>
                    <w:t>符合</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82" w:hRule="atLeast"/>
              </w:trPr>
              <w:tc>
                <w:tcPr>
                  <w:tcW w:w="2588" w:type="dxa"/>
                  <w:vMerge w:val="continue"/>
                  <w:tcBorders>
                    <w:tl2br w:val="nil"/>
                    <w:tr2bl w:val="nil"/>
                  </w:tcBorders>
                  <w:vAlign w:val="center"/>
                </w:tcPr>
                <w:p>
                  <w:pPr>
                    <w:pStyle w:val="20"/>
                    <w:spacing w:before="24" w:after="24"/>
                    <w:rPr>
                      <w:lang w:val="zh-CN"/>
                    </w:rPr>
                  </w:pPr>
                </w:p>
              </w:tc>
              <w:tc>
                <w:tcPr>
                  <w:tcW w:w="2592" w:type="dxa"/>
                  <w:tcBorders>
                    <w:tl2br w:val="nil"/>
                    <w:tr2bl w:val="nil"/>
                  </w:tcBorders>
                  <w:vAlign w:val="center"/>
                </w:tcPr>
                <w:p>
                  <w:pPr>
                    <w:pStyle w:val="20"/>
                    <w:spacing w:before="24" w:after="24"/>
                    <w:jc w:val="left"/>
                    <w:rPr>
                      <w:lang w:val="zh-CN"/>
                    </w:rPr>
                  </w:pPr>
                  <w:r>
                    <w:rPr>
                      <w:rFonts w:hint="eastAsia"/>
                      <w:lang w:val="zh-CN"/>
                    </w:rPr>
                    <w:t>禁止在优先保护类耕地集中区新建有色金属冶炼、石油加工、化工、焦化、电镀、制革等涉及有毒有害物质排放的行业企业</w:t>
                  </w:r>
                </w:p>
              </w:tc>
              <w:tc>
                <w:tcPr>
                  <w:tcW w:w="2561" w:type="dxa"/>
                  <w:tcBorders>
                    <w:tl2br w:val="nil"/>
                    <w:tr2bl w:val="nil"/>
                  </w:tcBorders>
                  <w:vAlign w:val="center"/>
                </w:tcPr>
                <w:p>
                  <w:pPr>
                    <w:pStyle w:val="20"/>
                    <w:spacing w:before="24" w:after="24"/>
                    <w:jc w:val="left"/>
                  </w:pPr>
                  <w:r>
                    <w:rPr>
                      <w:rFonts w:hint="eastAsia"/>
                    </w:rPr>
                    <w:t>本项目为灌渠改造工程，不涉及有毒有害物质的排放。</w:t>
                  </w:r>
                </w:p>
              </w:tc>
              <w:tc>
                <w:tcPr>
                  <w:tcW w:w="958" w:type="dxa"/>
                  <w:tcBorders>
                    <w:tl2br w:val="nil"/>
                    <w:tr2bl w:val="nil"/>
                  </w:tcBorders>
                  <w:vAlign w:val="center"/>
                </w:tcPr>
                <w:p>
                  <w:pPr>
                    <w:pStyle w:val="20"/>
                    <w:spacing w:before="24" w:after="24"/>
                  </w:pPr>
                  <w:r>
                    <w:rPr>
                      <w:rFonts w:hint="eastAsia"/>
                    </w:rPr>
                    <w:t>符合</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75" w:hRule="atLeast"/>
              </w:trPr>
              <w:tc>
                <w:tcPr>
                  <w:tcW w:w="2588" w:type="dxa"/>
                  <w:vMerge w:val="continue"/>
                  <w:tcBorders>
                    <w:tl2br w:val="nil"/>
                    <w:tr2bl w:val="nil"/>
                  </w:tcBorders>
                  <w:vAlign w:val="center"/>
                </w:tcPr>
                <w:p>
                  <w:pPr>
                    <w:pStyle w:val="20"/>
                    <w:spacing w:before="24" w:after="24"/>
                    <w:rPr>
                      <w:lang w:val="zh-CN"/>
                    </w:rPr>
                  </w:pPr>
                </w:p>
              </w:tc>
              <w:tc>
                <w:tcPr>
                  <w:tcW w:w="2592" w:type="dxa"/>
                  <w:tcBorders>
                    <w:tl2br w:val="nil"/>
                    <w:tr2bl w:val="nil"/>
                  </w:tcBorders>
                  <w:vAlign w:val="center"/>
                </w:tcPr>
                <w:p>
                  <w:pPr>
                    <w:pStyle w:val="20"/>
                    <w:spacing w:before="24" w:after="24"/>
                    <w:jc w:val="left"/>
                    <w:rPr>
                      <w:lang w:val="zh-CN"/>
                    </w:rPr>
                  </w:pPr>
                  <w:r>
                    <w:rPr>
                      <w:rFonts w:hint="eastAsia"/>
                      <w:lang w:val="zh-CN"/>
                    </w:rPr>
                    <w:t>禁止向农用地排放重金属或者其他有毒有害物质含量超标的污水、污泥，以及可能造成土壤污染的清淤底泥、尾矿、矿渣等。</w:t>
                  </w:r>
                </w:p>
              </w:tc>
              <w:tc>
                <w:tcPr>
                  <w:tcW w:w="2561" w:type="dxa"/>
                  <w:tcBorders>
                    <w:tl2br w:val="nil"/>
                    <w:tr2bl w:val="nil"/>
                  </w:tcBorders>
                  <w:vAlign w:val="center"/>
                </w:tcPr>
                <w:p>
                  <w:pPr>
                    <w:pStyle w:val="20"/>
                    <w:spacing w:before="24" w:after="24"/>
                    <w:jc w:val="left"/>
                  </w:pPr>
                  <w:r>
                    <w:rPr>
                      <w:rFonts w:hint="eastAsia"/>
                    </w:rPr>
                    <w:t>本项目为灌渠改造工程，不涉及有毒有害物质的排放。</w:t>
                  </w:r>
                </w:p>
              </w:tc>
              <w:tc>
                <w:tcPr>
                  <w:tcW w:w="958" w:type="dxa"/>
                  <w:tcBorders>
                    <w:tl2br w:val="nil"/>
                    <w:tr2bl w:val="nil"/>
                  </w:tcBorders>
                  <w:vAlign w:val="center"/>
                </w:tcPr>
                <w:p>
                  <w:pPr>
                    <w:pStyle w:val="20"/>
                    <w:spacing w:before="24" w:after="24"/>
                  </w:pPr>
                  <w:r>
                    <w:rPr>
                      <w:rFonts w:hint="eastAsia"/>
                    </w:rPr>
                    <w:t>符合</w:t>
                  </w:r>
                </w:p>
              </w:tc>
            </w:tr>
          </w:tbl>
          <w:p>
            <w:pPr>
              <w:pStyle w:val="13"/>
              <w:ind w:firstLine="480"/>
            </w:pPr>
            <w:r>
              <w:t>综上</w:t>
            </w:r>
            <w:r>
              <w:rPr>
                <w:rFonts w:hint="eastAsia"/>
              </w:rPr>
              <w:t>所述</w:t>
            </w:r>
            <w:r>
              <w:t>，本项目的建设符合国家“三线一单”的管控原则。</w:t>
            </w:r>
          </w:p>
        </w:tc>
      </w:tr>
    </w:tbl>
    <w:p>
      <w:r>
        <w:br w:type="page"/>
      </w:r>
    </w:p>
    <w:p>
      <w:pPr>
        <w:pStyle w:val="2"/>
        <w:rPr>
          <w:color w:val="auto"/>
        </w:rPr>
      </w:pPr>
      <w:r>
        <w:rPr>
          <w:rFonts w:hint="eastAsia"/>
          <w:color w:val="auto"/>
        </w:rPr>
        <w:t>二、建设内容</w:t>
      </w:r>
    </w:p>
    <w:tbl>
      <w:tblPr>
        <w:tblStyle w:val="14"/>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851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0" w:hRule="atLeast"/>
          <w:jc w:val="center"/>
        </w:trPr>
        <w:tc>
          <w:tcPr>
            <w:tcW w:w="723" w:type="pct"/>
            <w:vAlign w:val="center"/>
          </w:tcPr>
          <w:p>
            <w:pPr>
              <w:pageBreakBefore w:val="0"/>
              <w:kinsoku/>
              <w:wordWrap/>
              <w:topLinePunct w:val="0"/>
              <w:autoSpaceDE/>
              <w:autoSpaceDN/>
              <w:bidi w:val="0"/>
              <w:adjustRightInd w:val="0"/>
              <w:snapToGrid w:val="0"/>
              <w:jc w:val="center"/>
              <w:textAlignment w:val="auto"/>
              <w:rPr>
                <w:rFonts w:ascii="宋体" w:hAnsi="宋体" w:cs="宋体"/>
                <w:kern w:val="0"/>
                <w:szCs w:val="21"/>
              </w:rPr>
            </w:pPr>
            <w:r>
              <w:rPr>
                <w:rFonts w:hint="eastAsia" w:ascii="宋体" w:hAnsi="宋体" w:cs="宋体"/>
                <w:kern w:val="0"/>
                <w:szCs w:val="21"/>
              </w:rPr>
              <w:t>地理位置</w:t>
            </w:r>
          </w:p>
        </w:tc>
        <w:tc>
          <w:tcPr>
            <w:tcW w:w="4276" w:type="pct"/>
            <w:vAlign w:val="center"/>
          </w:tcPr>
          <w:p>
            <w:pPr>
              <w:pStyle w:val="3"/>
              <w:pageBreakBefore w:val="0"/>
              <w:kinsoku/>
              <w:wordWrap/>
              <w:topLinePunct w:val="0"/>
              <w:autoSpaceDE/>
              <w:autoSpaceDN/>
              <w:bidi w:val="0"/>
              <w:textAlignment w:val="auto"/>
            </w:pPr>
            <w:r>
              <w:rPr>
                <w:rFonts w:hint="eastAsia"/>
              </w:rPr>
              <w:t>1.项目地理位置</w:t>
            </w:r>
          </w:p>
          <w:p>
            <w:pPr>
              <w:pStyle w:val="13"/>
              <w:pageBreakBefore w:val="0"/>
              <w:kinsoku/>
              <w:wordWrap/>
              <w:topLinePunct w:val="0"/>
              <w:autoSpaceDE/>
              <w:autoSpaceDN/>
              <w:bidi w:val="0"/>
              <w:ind w:firstLine="480"/>
              <w:textAlignment w:val="auto"/>
            </w:pPr>
            <w:r>
              <w:rPr>
                <w:rFonts w:hint="eastAsia"/>
              </w:rPr>
              <w:t>项目位于青海省海南州贵南县茫拉乡，项目工程包括却旦塘灌区工程和下洛哇灌区工程两部分，其中却旦塘灌区工程位于茫拉乡却旦塘村南侧，下洛哇灌区工程位于上洛哇村和下洛哇村之间。项目地理位置图见附图1，工程起点和终点坐标具体如下：</w:t>
            </w:r>
          </w:p>
          <w:p>
            <w:pPr>
              <w:pStyle w:val="13"/>
              <w:pageBreakBefore w:val="0"/>
              <w:kinsoku/>
              <w:wordWrap/>
              <w:topLinePunct w:val="0"/>
              <w:autoSpaceDE/>
              <w:autoSpaceDN/>
              <w:bidi w:val="0"/>
              <w:ind w:firstLine="480"/>
              <w:textAlignment w:val="auto"/>
            </w:pPr>
            <w:r>
              <w:rPr>
                <w:rFonts w:hint="eastAsia"/>
              </w:rPr>
              <w:t>（1）却旦塘灌区</w:t>
            </w:r>
          </w:p>
          <w:p>
            <w:pPr>
              <w:pStyle w:val="13"/>
              <w:pageBreakBefore w:val="0"/>
              <w:kinsoku/>
              <w:wordWrap/>
              <w:topLinePunct w:val="0"/>
              <w:autoSpaceDE/>
              <w:autoSpaceDN/>
              <w:bidi w:val="0"/>
              <w:ind w:firstLine="480"/>
              <w:textAlignment w:val="auto"/>
            </w:pPr>
            <w:r>
              <w:rPr>
                <w:rFonts w:hint="eastAsia"/>
              </w:rPr>
              <w:t>起点：（E100度36分17.781秒，N35度37分31.796秒）</w:t>
            </w:r>
          </w:p>
          <w:p>
            <w:pPr>
              <w:pStyle w:val="13"/>
              <w:pageBreakBefore w:val="0"/>
              <w:kinsoku/>
              <w:wordWrap/>
              <w:topLinePunct w:val="0"/>
              <w:autoSpaceDE/>
              <w:autoSpaceDN/>
              <w:bidi w:val="0"/>
              <w:ind w:firstLine="480"/>
              <w:textAlignment w:val="auto"/>
            </w:pPr>
            <w:r>
              <w:rPr>
                <w:rFonts w:hint="eastAsia"/>
              </w:rPr>
              <w:t>终点：（E100度36分35.046秒，N35度38分44.061秒）</w:t>
            </w:r>
          </w:p>
          <w:p>
            <w:pPr>
              <w:pStyle w:val="13"/>
              <w:pageBreakBefore w:val="0"/>
              <w:kinsoku/>
              <w:wordWrap/>
              <w:topLinePunct w:val="0"/>
              <w:autoSpaceDE/>
              <w:autoSpaceDN/>
              <w:bidi w:val="0"/>
              <w:ind w:firstLine="480"/>
              <w:textAlignment w:val="auto"/>
            </w:pPr>
            <w:r>
              <w:rPr>
                <w:rFonts w:hint="eastAsia"/>
              </w:rPr>
              <w:t>（2）下洛哇灌区</w:t>
            </w:r>
          </w:p>
          <w:p>
            <w:pPr>
              <w:pStyle w:val="13"/>
              <w:pageBreakBefore w:val="0"/>
              <w:kinsoku/>
              <w:wordWrap/>
              <w:topLinePunct w:val="0"/>
              <w:autoSpaceDE/>
              <w:autoSpaceDN/>
              <w:bidi w:val="0"/>
              <w:ind w:firstLine="480"/>
              <w:textAlignment w:val="auto"/>
            </w:pPr>
            <w:r>
              <w:rPr>
                <w:rFonts w:hint="eastAsia"/>
              </w:rPr>
              <w:t>起点：（E100度38分11.280秒，N35度38分30.951秒）</w:t>
            </w:r>
          </w:p>
          <w:p>
            <w:pPr>
              <w:pStyle w:val="13"/>
              <w:pageBreakBefore w:val="0"/>
              <w:kinsoku/>
              <w:wordWrap/>
              <w:topLinePunct w:val="0"/>
              <w:autoSpaceDE/>
              <w:autoSpaceDN/>
              <w:bidi w:val="0"/>
              <w:ind w:firstLine="480"/>
              <w:textAlignment w:val="auto"/>
            </w:pPr>
            <w:r>
              <w:rPr>
                <w:rFonts w:hint="eastAsia"/>
              </w:rPr>
              <w:t>终点：（E100度37分58.467秒，N35度38分55.747秒）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3" w:type="pct"/>
            <w:vAlign w:val="center"/>
          </w:tcPr>
          <w:p>
            <w:pPr>
              <w:pageBreakBefore w:val="0"/>
              <w:kinsoku/>
              <w:wordWrap/>
              <w:topLinePunct w:val="0"/>
              <w:autoSpaceDE/>
              <w:autoSpaceDN/>
              <w:bidi w:val="0"/>
              <w:adjustRightInd w:val="0"/>
              <w:snapToGrid w:val="0"/>
              <w:jc w:val="center"/>
              <w:textAlignment w:val="auto"/>
              <w:rPr>
                <w:rFonts w:ascii="宋体" w:hAnsi="宋体" w:cs="宋体"/>
                <w:kern w:val="0"/>
                <w:szCs w:val="21"/>
              </w:rPr>
            </w:pPr>
            <w:r>
              <w:rPr>
                <w:rFonts w:hint="eastAsia" w:ascii="宋体" w:hAnsi="宋体" w:cs="宋体"/>
                <w:kern w:val="0"/>
                <w:szCs w:val="21"/>
              </w:rPr>
              <w:t>项目组成及规模</w:t>
            </w:r>
          </w:p>
        </w:tc>
        <w:tc>
          <w:tcPr>
            <w:tcW w:w="4276" w:type="pct"/>
            <w:vAlign w:val="center"/>
          </w:tcPr>
          <w:p>
            <w:pPr>
              <w:pStyle w:val="3"/>
              <w:pageBreakBefore w:val="0"/>
              <w:kinsoku/>
              <w:wordWrap/>
              <w:topLinePunct w:val="0"/>
              <w:autoSpaceDE/>
              <w:autoSpaceDN/>
              <w:bidi w:val="0"/>
              <w:textAlignment w:val="auto"/>
            </w:pPr>
            <w:r>
              <w:rPr>
                <w:rFonts w:hint="eastAsia"/>
              </w:rPr>
              <w:t>2、</w:t>
            </w:r>
            <w:r>
              <w:t>项目建设规模</w:t>
            </w:r>
          </w:p>
          <w:p>
            <w:pPr>
              <w:pStyle w:val="13"/>
              <w:keepNext w:val="0"/>
              <w:keepLines w:val="0"/>
              <w:pageBreakBefore w:val="0"/>
              <w:widowControl w:val="0"/>
              <w:kinsoku/>
              <w:wordWrap/>
              <w:overflowPunct/>
              <w:topLinePunct w:val="0"/>
              <w:autoSpaceDE/>
              <w:autoSpaceDN/>
              <w:bidi w:val="0"/>
              <w:adjustRightInd/>
              <w:snapToGrid/>
              <w:ind w:firstLine="480"/>
              <w:textAlignment w:val="auto"/>
            </w:pPr>
            <w:r>
              <w:rPr>
                <w:rFonts w:hint="eastAsia"/>
              </w:rPr>
              <w:t>本项目中却旦塘灌区从角乎拉沟进行引水，在2004年改造完成后运营期间管道严重损坏、常年漏水，项目区渡槽等辅助工程已损坏，故本次工程在原址原线的基础上进行重建。</w:t>
            </w:r>
          </w:p>
          <w:p>
            <w:pPr>
              <w:pStyle w:val="13"/>
              <w:keepNext w:val="0"/>
              <w:keepLines w:val="0"/>
              <w:pageBreakBefore w:val="0"/>
              <w:widowControl w:val="0"/>
              <w:kinsoku/>
              <w:wordWrap/>
              <w:overflowPunct/>
              <w:topLinePunct w:val="0"/>
              <w:autoSpaceDE/>
              <w:autoSpaceDN/>
              <w:bidi w:val="0"/>
              <w:adjustRightInd/>
              <w:snapToGrid/>
              <w:ind w:firstLine="480"/>
              <w:textAlignment w:val="auto"/>
            </w:pPr>
            <w:r>
              <w:rPr>
                <w:rFonts w:hint="eastAsia"/>
              </w:rPr>
              <w:t>下洛哇灌区灌溉水源从西龙曲引水，引水口和部分渠系建筑已在2004年的《贵南县西龙沟治理工程（一期）工程》中已完成，灌区渠道基本配套完善，运行良好，但干渠上游794m目前仍然为土渠未衬砌，故本次工程对未衬砌的794m的干渠进行新建，新建干渠与已建干渠连接。</w:t>
            </w:r>
          </w:p>
          <w:p>
            <w:pPr>
              <w:pStyle w:val="13"/>
              <w:keepNext w:val="0"/>
              <w:keepLines w:val="0"/>
              <w:pageBreakBefore w:val="0"/>
              <w:widowControl w:val="0"/>
              <w:kinsoku/>
              <w:wordWrap/>
              <w:overflowPunct/>
              <w:topLinePunct w:val="0"/>
              <w:autoSpaceDE/>
              <w:autoSpaceDN/>
              <w:bidi w:val="0"/>
              <w:adjustRightInd/>
              <w:snapToGrid/>
              <w:ind w:firstLine="480"/>
              <w:textAlignment w:val="auto"/>
            </w:pPr>
            <w:r>
              <w:rPr>
                <w:rFonts w:hint="eastAsia"/>
              </w:rPr>
              <w:t>鉴于此，本项目主要建设内容如下：</w:t>
            </w:r>
          </w:p>
          <w:p>
            <w:pPr>
              <w:pStyle w:val="13"/>
              <w:keepNext w:val="0"/>
              <w:keepLines w:val="0"/>
              <w:pageBreakBefore w:val="0"/>
              <w:widowControl w:val="0"/>
              <w:kinsoku/>
              <w:wordWrap/>
              <w:overflowPunct/>
              <w:topLinePunct w:val="0"/>
              <w:autoSpaceDE/>
              <w:autoSpaceDN/>
              <w:bidi w:val="0"/>
              <w:adjustRightInd/>
              <w:snapToGrid/>
              <w:ind w:firstLine="480"/>
              <w:textAlignment w:val="auto"/>
            </w:pPr>
            <w:r>
              <w:t>项目区共涉及灌溉面积为2000亩，其中</w:t>
            </w:r>
            <w:r>
              <w:rPr>
                <w:rFonts w:hint="eastAsia"/>
              </w:rPr>
              <w:t>，</w:t>
            </w:r>
            <w:r>
              <w:t>却旦塘灌区灌溉面积为1200亩，下洛哇灌区灌溉面积为800亩</w:t>
            </w:r>
            <w:r>
              <w:rPr>
                <w:rFonts w:hint="eastAsia"/>
              </w:rPr>
              <w:t>。本工程的主要建设内容为：铺设管网及相关配套设施。即修建Φ400PE输水干管2条共4914m，Φ280PE支管578m，矩形断面现浇钢筋砼退水渠541m，引水口1座，渡槽3座，检查井15座，分水井7座、出水池14座、退水井2座、谷坊2座，防冲坝7座长163m。</w:t>
            </w:r>
          </w:p>
          <w:p>
            <w:pPr>
              <w:pStyle w:val="13"/>
              <w:keepNext w:val="0"/>
              <w:keepLines w:val="0"/>
              <w:pageBreakBefore w:val="0"/>
              <w:widowControl w:val="0"/>
              <w:kinsoku/>
              <w:wordWrap/>
              <w:overflowPunct/>
              <w:topLinePunct w:val="0"/>
              <w:autoSpaceDE/>
              <w:autoSpaceDN/>
              <w:bidi w:val="0"/>
              <w:adjustRightInd/>
              <w:snapToGrid/>
              <w:ind w:firstLine="480"/>
              <w:textAlignment w:val="auto"/>
            </w:pPr>
            <w:r>
              <w:rPr>
                <w:rFonts w:hint="eastAsia"/>
              </w:rPr>
              <w:t>其中，却旦塘灌区建设内容为：新建Φ400PE输水干管4120m，Φ280支管578m，矩形断面现浇钢筋砼退水渠541m，引水口1座，渡槽3座、检查井15座，分水井4座、出水池10座、退水井2座、谷坊2座，防冲坝7座长163m。</w:t>
            </w:r>
            <w:r>
              <w:t>下洛哇灌区建设内容为：新建Φ400PE输水干管794m，分水井3座，出水池4</w:t>
            </w:r>
            <w:r>
              <w:rPr>
                <w:rFonts w:hint="eastAsia"/>
              </w:rPr>
              <w:t>座。项目工程规模见表2-1。</w:t>
            </w:r>
          </w:p>
          <w:p>
            <w:pPr>
              <w:pStyle w:val="21"/>
              <w:pageBreakBefore w:val="0"/>
              <w:kinsoku/>
              <w:wordWrap/>
              <w:topLinePunct w:val="0"/>
              <w:autoSpaceDE/>
              <w:autoSpaceDN/>
              <w:bidi w:val="0"/>
              <w:textAlignment w:val="auto"/>
            </w:pPr>
            <w:r>
              <w:rPr>
                <w:rFonts w:hint="eastAsia"/>
              </w:rPr>
              <w:t>表2-1  项目工程规模一览表</w:t>
            </w:r>
          </w:p>
          <w:tbl>
            <w:tblPr>
              <w:tblStyle w:val="14"/>
              <w:tblW w:w="4998" w:type="pct"/>
              <w:tblInd w:w="0" w:type="dxa"/>
              <w:tblLayout w:type="fixed"/>
              <w:tblCellMar>
                <w:top w:w="0" w:type="dxa"/>
                <w:left w:w="108" w:type="dxa"/>
                <w:bottom w:w="0" w:type="dxa"/>
                <w:right w:w="108" w:type="dxa"/>
              </w:tblCellMar>
            </w:tblPr>
            <w:tblGrid>
              <w:gridCol w:w="925"/>
              <w:gridCol w:w="1797"/>
              <w:gridCol w:w="1304"/>
              <w:gridCol w:w="910"/>
              <w:gridCol w:w="973"/>
              <w:gridCol w:w="2388"/>
            </w:tblGrid>
            <w:tr>
              <w:tblPrEx>
                <w:tblCellMar>
                  <w:top w:w="0" w:type="dxa"/>
                  <w:left w:w="108" w:type="dxa"/>
                  <w:bottom w:w="0" w:type="dxa"/>
                  <w:right w:w="108" w:type="dxa"/>
                </w:tblCellMar>
              </w:tblPrEx>
              <w:tc>
                <w:tcPr>
                  <w:tcW w:w="557"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类别</w:t>
                  </w:r>
                </w:p>
              </w:tc>
              <w:tc>
                <w:tcPr>
                  <w:tcW w:w="1082"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项目名称</w:t>
                  </w:r>
                </w:p>
              </w:tc>
              <w:tc>
                <w:tcPr>
                  <w:tcW w:w="785"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工程名称</w:t>
                  </w:r>
                </w:p>
              </w:tc>
              <w:tc>
                <w:tcPr>
                  <w:tcW w:w="54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单位</w:t>
                  </w:r>
                </w:p>
              </w:tc>
              <w:tc>
                <w:tcPr>
                  <w:tcW w:w="58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数量</w:t>
                  </w:r>
                </w:p>
              </w:tc>
              <w:tc>
                <w:tcPr>
                  <w:tcW w:w="143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备注</w:t>
                  </w:r>
                </w:p>
              </w:tc>
            </w:tr>
            <w:tr>
              <w:tblPrEx>
                <w:tblCellMar>
                  <w:top w:w="0" w:type="dxa"/>
                  <w:left w:w="108" w:type="dxa"/>
                  <w:bottom w:w="0" w:type="dxa"/>
                  <w:right w:w="108" w:type="dxa"/>
                </w:tblCellMar>
              </w:tblPrEx>
              <w:tc>
                <w:tcPr>
                  <w:tcW w:w="557" w:type="pct"/>
                  <w:vMerge w:val="restart"/>
                  <w:tcBorders>
                    <w:top w:val="single" w:color="000000" w:sz="4" w:space="0"/>
                    <w:left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水源</w:t>
                  </w:r>
                </w:p>
                <w:p>
                  <w:pPr>
                    <w:pStyle w:val="20"/>
                    <w:pageBreakBefore w:val="0"/>
                    <w:kinsoku/>
                    <w:wordWrap/>
                    <w:topLinePunct w:val="0"/>
                    <w:autoSpaceDE/>
                    <w:autoSpaceDN/>
                    <w:bidi w:val="0"/>
                    <w:textAlignment w:val="auto"/>
                  </w:pPr>
                  <w:r>
                    <w:rPr>
                      <w:rFonts w:hint="eastAsia"/>
                    </w:rPr>
                    <w:t>情况</w:t>
                  </w:r>
                </w:p>
              </w:tc>
              <w:tc>
                <w:tcPr>
                  <w:tcW w:w="1082" w:type="pct"/>
                  <w:vMerge w:val="restart"/>
                  <w:tcBorders>
                    <w:top w:val="single" w:color="000000" w:sz="4" w:space="0"/>
                    <w:left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水源类别</w:t>
                  </w:r>
                </w:p>
              </w:tc>
              <w:tc>
                <w:tcPr>
                  <w:tcW w:w="785"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却旦塘灌区</w:t>
                  </w:r>
                </w:p>
              </w:tc>
              <w:tc>
                <w:tcPr>
                  <w:tcW w:w="54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m</w:t>
                  </w:r>
                  <w:r>
                    <w:rPr>
                      <w:rFonts w:hint="eastAsia"/>
                      <w:vertAlign w:val="superscript"/>
                    </w:rPr>
                    <w:t>3</w:t>
                  </w:r>
                  <w:r>
                    <w:rPr>
                      <w:rFonts w:hint="eastAsia"/>
                    </w:rPr>
                    <w:t>/s</w:t>
                  </w:r>
                </w:p>
              </w:tc>
              <w:tc>
                <w:tcPr>
                  <w:tcW w:w="58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0.071</w:t>
                  </w:r>
                </w:p>
              </w:tc>
              <w:tc>
                <w:tcPr>
                  <w:tcW w:w="143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角乎拉沟泉水</w:t>
                  </w:r>
                </w:p>
              </w:tc>
            </w:tr>
            <w:tr>
              <w:tblPrEx>
                <w:tblCellMar>
                  <w:top w:w="0" w:type="dxa"/>
                  <w:left w:w="108" w:type="dxa"/>
                  <w:bottom w:w="0" w:type="dxa"/>
                  <w:right w:w="108" w:type="dxa"/>
                </w:tblCellMar>
              </w:tblPrEx>
              <w:tc>
                <w:tcPr>
                  <w:tcW w:w="557" w:type="pct"/>
                  <w:vMerge w:val="continue"/>
                  <w:tcBorders>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c>
                <w:tcPr>
                  <w:tcW w:w="1082" w:type="pct"/>
                  <w:vMerge w:val="continue"/>
                  <w:tcBorders>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c>
                <w:tcPr>
                  <w:tcW w:w="785"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下洛哇灌区</w:t>
                  </w:r>
                </w:p>
              </w:tc>
              <w:tc>
                <w:tcPr>
                  <w:tcW w:w="54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m</w:t>
                  </w:r>
                  <w:r>
                    <w:rPr>
                      <w:rFonts w:hint="eastAsia"/>
                      <w:vertAlign w:val="superscript"/>
                    </w:rPr>
                    <w:t>3</w:t>
                  </w:r>
                  <w:r>
                    <w:rPr>
                      <w:rFonts w:hint="eastAsia"/>
                    </w:rPr>
                    <w:t>/s</w:t>
                  </w:r>
                </w:p>
              </w:tc>
              <w:tc>
                <w:tcPr>
                  <w:tcW w:w="58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0.047</w:t>
                  </w:r>
                </w:p>
              </w:tc>
              <w:tc>
                <w:tcPr>
                  <w:tcW w:w="143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西龙曲河水</w:t>
                  </w:r>
                </w:p>
              </w:tc>
            </w:tr>
            <w:tr>
              <w:tc>
                <w:tcPr>
                  <w:tcW w:w="557" w:type="pct"/>
                  <w:vMerge w:val="restart"/>
                  <w:tcBorders>
                    <w:top w:val="single" w:color="000000" w:sz="4" w:space="0"/>
                    <w:left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工程类别及设计标准</w:t>
                  </w:r>
                </w:p>
              </w:tc>
              <w:tc>
                <w:tcPr>
                  <w:tcW w:w="1082"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工程类别</w:t>
                  </w:r>
                </w:p>
              </w:tc>
              <w:tc>
                <w:tcPr>
                  <w:tcW w:w="785"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c>
                <w:tcPr>
                  <w:tcW w:w="54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c>
                <w:tcPr>
                  <w:tcW w:w="58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c>
                <w:tcPr>
                  <w:tcW w:w="143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灌溉工程</w:t>
                  </w:r>
                </w:p>
              </w:tc>
            </w:tr>
            <w:tr>
              <w:tblPrEx>
                <w:tblCellMar>
                  <w:top w:w="0" w:type="dxa"/>
                  <w:left w:w="108" w:type="dxa"/>
                  <w:bottom w:w="0" w:type="dxa"/>
                  <w:right w:w="108" w:type="dxa"/>
                </w:tblCellMar>
              </w:tblPrEx>
              <w:tc>
                <w:tcPr>
                  <w:tcW w:w="557" w:type="pct"/>
                  <w:vMerge w:val="continue"/>
                  <w:tcBorders>
                    <w:left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c>
                <w:tcPr>
                  <w:tcW w:w="1082"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工程等级</w:t>
                  </w:r>
                </w:p>
              </w:tc>
              <w:tc>
                <w:tcPr>
                  <w:tcW w:w="785"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c>
                <w:tcPr>
                  <w:tcW w:w="54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c>
                <w:tcPr>
                  <w:tcW w:w="58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c>
                <w:tcPr>
                  <w:tcW w:w="143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fldChar w:fldCharType="begin"/>
                  </w:r>
                  <w:r>
                    <w:rPr>
                      <w:rFonts w:hint="eastAsia"/>
                    </w:rPr>
                    <w:instrText xml:space="preserve"> = 5 \* ROMAN \* MERGEFORMAT </w:instrText>
                  </w:r>
                  <w:r>
                    <w:rPr>
                      <w:rFonts w:hint="eastAsia"/>
                    </w:rPr>
                    <w:fldChar w:fldCharType="separate"/>
                  </w:r>
                  <w:r>
                    <w:t>V</w:t>
                  </w:r>
                  <w:r>
                    <w:rPr>
                      <w:rFonts w:hint="eastAsia"/>
                    </w:rPr>
                    <w:fldChar w:fldCharType="end"/>
                  </w:r>
                  <w:r>
                    <w:rPr>
                      <w:rFonts w:hint="eastAsia"/>
                    </w:rPr>
                    <w:t>等小（2）型</w:t>
                  </w:r>
                </w:p>
              </w:tc>
            </w:tr>
            <w:tr>
              <w:tblPrEx>
                <w:tblCellMar>
                  <w:top w:w="0" w:type="dxa"/>
                  <w:left w:w="108" w:type="dxa"/>
                  <w:bottom w:w="0" w:type="dxa"/>
                  <w:right w:w="108" w:type="dxa"/>
                </w:tblCellMar>
              </w:tblPrEx>
              <w:tc>
                <w:tcPr>
                  <w:tcW w:w="557" w:type="pct"/>
                  <w:vMerge w:val="continue"/>
                  <w:tcBorders>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c>
                <w:tcPr>
                  <w:tcW w:w="1082"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设计供水保证率</w:t>
                  </w:r>
                </w:p>
              </w:tc>
              <w:tc>
                <w:tcPr>
                  <w:tcW w:w="785"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c>
                <w:tcPr>
                  <w:tcW w:w="54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c>
                <w:tcPr>
                  <w:tcW w:w="58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c>
                <w:tcPr>
                  <w:tcW w:w="143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P=75%</w:t>
                  </w:r>
                </w:p>
              </w:tc>
            </w:tr>
            <w:tr>
              <w:tblPrEx>
                <w:tblCellMar>
                  <w:top w:w="0" w:type="dxa"/>
                  <w:left w:w="108" w:type="dxa"/>
                  <w:bottom w:w="0" w:type="dxa"/>
                  <w:right w:w="108" w:type="dxa"/>
                </w:tblCellMar>
              </w:tblPrEx>
              <w:tc>
                <w:tcPr>
                  <w:tcW w:w="557" w:type="pct"/>
                  <w:vMerge w:val="restart"/>
                  <w:tcBorders>
                    <w:top w:val="single" w:color="000000" w:sz="4" w:space="0"/>
                    <w:left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供水</w:t>
                  </w:r>
                </w:p>
                <w:p>
                  <w:pPr>
                    <w:pStyle w:val="20"/>
                    <w:pageBreakBefore w:val="0"/>
                    <w:kinsoku/>
                    <w:wordWrap/>
                    <w:topLinePunct w:val="0"/>
                    <w:autoSpaceDE/>
                    <w:autoSpaceDN/>
                    <w:bidi w:val="0"/>
                    <w:textAlignment w:val="auto"/>
                  </w:pPr>
                  <w:r>
                    <w:rPr>
                      <w:rFonts w:hint="eastAsia"/>
                    </w:rPr>
                    <w:t>规模</w:t>
                  </w:r>
                </w:p>
              </w:tc>
              <w:tc>
                <w:tcPr>
                  <w:tcW w:w="1082" w:type="pct"/>
                  <w:vMerge w:val="restart"/>
                  <w:tcBorders>
                    <w:top w:val="single" w:color="000000" w:sz="4" w:space="0"/>
                    <w:left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灌溉面积2000亩</w:t>
                  </w:r>
                </w:p>
              </w:tc>
              <w:tc>
                <w:tcPr>
                  <w:tcW w:w="785"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却旦塘灌区</w:t>
                  </w:r>
                </w:p>
              </w:tc>
              <w:tc>
                <w:tcPr>
                  <w:tcW w:w="54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亩</w:t>
                  </w:r>
                </w:p>
              </w:tc>
              <w:tc>
                <w:tcPr>
                  <w:tcW w:w="58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1200</w:t>
                  </w:r>
                </w:p>
              </w:tc>
              <w:tc>
                <w:tcPr>
                  <w:tcW w:w="143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r>
            <w:tr>
              <w:tc>
                <w:tcPr>
                  <w:tcW w:w="557" w:type="pct"/>
                  <w:vMerge w:val="continue"/>
                  <w:tcBorders>
                    <w:left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c>
                <w:tcPr>
                  <w:tcW w:w="1082" w:type="pct"/>
                  <w:vMerge w:val="continue"/>
                  <w:tcBorders>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c>
                <w:tcPr>
                  <w:tcW w:w="785"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下洛哇灌区</w:t>
                  </w:r>
                </w:p>
              </w:tc>
              <w:tc>
                <w:tcPr>
                  <w:tcW w:w="54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亩</w:t>
                  </w:r>
                </w:p>
              </w:tc>
              <w:tc>
                <w:tcPr>
                  <w:tcW w:w="58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800</w:t>
                  </w:r>
                </w:p>
              </w:tc>
              <w:tc>
                <w:tcPr>
                  <w:tcW w:w="143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r>
            <w:tr>
              <w:tblPrEx>
                <w:tblCellMar>
                  <w:top w:w="0" w:type="dxa"/>
                  <w:left w:w="108" w:type="dxa"/>
                  <w:bottom w:w="0" w:type="dxa"/>
                  <w:right w:w="108" w:type="dxa"/>
                </w:tblCellMar>
              </w:tblPrEx>
              <w:tc>
                <w:tcPr>
                  <w:tcW w:w="557" w:type="pct"/>
                  <w:vMerge w:val="continue"/>
                  <w:tcBorders>
                    <w:left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c>
                <w:tcPr>
                  <w:tcW w:w="1082"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灌溉水利用系数</w:t>
                  </w:r>
                </w:p>
              </w:tc>
              <w:tc>
                <w:tcPr>
                  <w:tcW w:w="785"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c>
                <w:tcPr>
                  <w:tcW w:w="54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c>
                <w:tcPr>
                  <w:tcW w:w="58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0.64</w:t>
                  </w:r>
                </w:p>
              </w:tc>
              <w:tc>
                <w:tcPr>
                  <w:tcW w:w="143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r>
            <w:tr>
              <w:tblPrEx>
                <w:tblCellMar>
                  <w:top w:w="0" w:type="dxa"/>
                  <w:left w:w="108" w:type="dxa"/>
                  <w:bottom w:w="0" w:type="dxa"/>
                  <w:right w:w="108" w:type="dxa"/>
                </w:tblCellMar>
              </w:tblPrEx>
              <w:tc>
                <w:tcPr>
                  <w:tcW w:w="557" w:type="pct"/>
                  <w:vMerge w:val="continue"/>
                  <w:tcBorders>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c>
                <w:tcPr>
                  <w:tcW w:w="1082"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灌水定额</w:t>
                  </w:r>
                </w:p>
              </w:tc>
              <w:tc>
                <w:tcPr>
                  <w:tcW w:w="785"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c>
                <w:tcPr>
                  <w:tcW w:w="54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m</w:t>
                  </w:r>
                  <w:r>
                    <w:rPr>
                      <w:rFonts w:hint="eastAsia"/>
                      <w:vertAlign w:val="superscript"/>
                    </w:rPr>
                    <w:t>3</w:t>
                  </w:r>
                  <w:r>
                    <w:rPr>
                      <w:rFonts w:hint="eastAsia"/>
                    </w:rPr>
                    <w:t>/亩</w:t>
                  </w:r>
                </w:p>
              </w:tc>
              <w:tc>
                <w:tcPr>
                  <w:tcW w:w="58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45~70</w:t>
                  </w:r>
                </w:p>
              </w:tc>
              <w:tc>
                <w:tcPr>
                  <w:tcW w:w="143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r>
            <w:tr>
              <w:tblPrEx>
                <w:tblCellMar>
                  <w:top w:w="0" w:type="dxa"/>
                  <w:left w:w="108" w:type="dxa"/>
                  <w:bottom w:w="0" w:type="dxa"/>
                  <w:right w:w="108" w:type="dxa"/>
                </w:tblCellMar>
              </w:tblPrEx>
              <w:tc>
                <w:tcPr>
                  <w:tcW w:w="557" w:type="pct"/>
                  <w:vMerge w:val="restart"/>
                  <w:tcBorders>
                    <w:top w:val="single" w:color="000000" w:sz="4" w:space="0"/>
                    <w:left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工程</w:t>
                  </w:r>
                </w:p>
                <w:p>
                  <w:pPr>
                    <w:pStyle w:val="20"/>
                    <w:pageBreakBefore w:val="0"/>
                    <w:kinsoku/>
                    <w:wordWrap/>
                    <w:topLinePunct w:val="0"/>
                    <w:autoSpaceDE/>
                    <w:autoSpaceDN/>
                    <w:bidi w:val="0"/>
                    <w:textAlignment w:val="auto"/>
                  </w:pPr>
                  <w:r>
                    <w:rPr>
                      <w:rFonts w:hint="eastAsia"/>
                    </w:rPr>
                    <w:t>建设</w:t>
                  </w:r>
                </w:p>
                <w:p>
                  <w:pPr>
                    <w:pStyle w:val="20"/>
                    <w:pageBreakBefore w:val="0"/>
                    <w:kinsoku/>
                    <w:wordWrap/>
                    <w:topLinePunct w:val="0"/>
                    <w:autoSpaceDE/>
                    <w:autoSpaceDN/>
                    <w:bidi w:val="0"/>
                    <w:textAlignment w:val="auto"/>
                  </w:pPr>
                  <w:r>
                    <w:rPr>
                      <w:rFonts w:hint="eastAsia"/>
                    </w:rPr>
                    <w:t>内容</w:t>
                  </w:r>
                </w:p>
              </w:tc>
              <w:tc>
                <w:tcPr>
                  <w:tcW w:w="1082" w:type="pct"/>
                  <w:vMerge w:val="restart"/>
                  <w:tcBorders>
                    <w:top w:val="single" w:color="000000" w:sz="4" w:space="0"/>
                    <w:left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却旦塘灌区工程</w:t>
                  </w:r>
                </w:p>
              </w:tc>
              <w:tc>
                <w:tcPr>
                  <w:tcW w:w="785"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干管</w:t>
                  </w:r>
                </w:p>
              </w:tc>
              <w:tc>
                <w:tcPr>
                  <w:tcW w:w="54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m</w:t>
                  </w:r>
                </w:p>
              </w:tc>
              <w:tc>
                <w:tcPr>
                  <w:tcW w:w="58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4120</w:t>
                  </w:r>
                </w:p>
              </w:tc>
              <w:tc>
                <w:tcPr>
                  <w:tcW w:w="143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Φ400PE0.6MPa</w:t>
                  </w:r>
                </w:p>
              </w:tc>
            </w:tr>
            <w:tr>
              <w:tc>
                <w:tcPr>
                  <w:tcW w:w="557" w:type="pct"/>
                  <w:vMerge w:val="continue"/>
                  <w:tcBorders>
                    <w:left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c>
                <w:tcPr>
                  <w:tcW w:w="1082" w:type="pct"/>
                  <w:vMerge w:val="continue"/>
                  <w:tcBorders>
                    <w:left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c>
                <w:tcPr>
                  <w:tcW w:w="785"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支管</w:t>
                  </w:r>
                </w:p>
              </w:tc>
              <w:tc>
                <w:tcPr>
                  <w:tcW w:w="54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m</w:t>
                  </w:r>
                </w:p>
              </w:tc>
              <w:tc>
                <w:tcPr>
                  <w:tcW w:w="58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578</w:t>
                  </w:r>
                </w:p>
              </w:tc>
              <w:tc>
                <w:tcPr>
                  <w:tcW w:w="143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Φ280PE0.6MPa</w:t>
                  </w:r>
                </w:p>
              </w:tc>
            </w:tr>
            <w:tr>
              <w:tblPrEx>
                <w:tblCellMar>
                  <w:top w:w="0" w:type="dxa"/>
                  <w:left w:w="108" w:type="dxa"/>
                  <w:bottom w:w="0" w:type="dxa"/>
                  <w:right w:w="108" w:type="dxa"/>
                </w:tblCellMar>
              </w:tblPrEx>
              <w:tc>
                <w:tcPr>
                  <w:tcW w:w="557" w:type="pct"/>
                  <w:vMerge w:val="continue"/>
                  <w:tcBorders>
                    <w:left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c>
                <w:tcPr>
                  <w:tcW w:w="1082" w:type="pct"/>
                  <w:vMerge w:val="continue"/>
                  <w:tcBorders>
                    <w:left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c>
                <w:tcPr>
                  <w:tcW w:w="785"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退水渠</w:t>
                  </w:r>
                </w:p>
              </w:tc>
              <w:tc>
                <w:tcPr>
                  <w:tcW w:w="54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m</w:t>
                  </w:r>
                </w:p>
              </w:tc>
              <w:tc>
                <w:tcPr>
                  <w:tcW w:w="58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541</w:t>
                  </w:r>
                </w:p>
              </w:tc>
              <w:tc>
                <w:tcPr>
                  <w:tcW w:w="143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矩形断面现浇钢筋砼</w:t>
                  </w:r>
                </w:p>
              </w:tc>
            </w:tr>
            <w:tr>
              <w:tblPrEx>
                <w:tblCellMar>
                  <w:top w:w="0" w:type="dxa"/>
                  <w:left w:w="108" w:type="dxa"/>
                  <w:bottom w:w="0" w:type="dxa"/>
                  <w:right w:w="108" w:type="dxa"/>
                </w:tblCellMar>
              </w:tblPrEx>
              <w:tc>
                <w:tcPr>
                  <w:tcW w:w="557" w:type="pct"/>
                  <w:vMerge w:val="continue"/>
                  <w:tcBorders>
                    <w:left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c>
                <w:tcPr>
                  <w:tcW w:w="1082" w:type="pct"/>
                  <w:vMerge w:val="continue"/>
                  <w:tcBorders>
                    <w:left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c>
                <w:tcPr>
                  <w:tcW w:w="785"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引水口</w:t>
                  </w:r>
                </w:p>
              </w:tc>
              <w:tc>
                <w:tcPr>
                  <w:tcW w:w="54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座</w:t>
                  </w:r>
                </w:p>
              </w:tc>
              <w:tc>
                <w:tcPr>
                  <w:tcW w:w="58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1</w:t>
                  </w:r>
                </w:p>
              </w:tc>
              <w:tc>
                <w:tcPr>
                  <w:tcW w:w="143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r>
            <w:tr>
              <w:tblPrEx>
                <w:tblCellMar>
                  <w:top w:w="0" w:type="dxa"/>
                  <w:left w:w="108" w:type="dxa"/>
                  <w:bottom w:w="0" w:type="dxa"/>
                  <w:right w:w="108" w:type="dxa"/>
                </w:tblCellMar>
              </w:tblPrEx>
              <w:tc>
                <w:tcPr>
                  <w:tcW w:w="557" w:type="pct"/>
                  <w:vMerge w:val="continue"/>
                  <w:tcBorders>
                    <w:left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c>
                <w:tcPr>
                  <w:tcW w:w="1082" w:type="pct"/>
                  <w:vMerge w:val="continue"/>
                  <w:tcBorders>
                    <w:left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c>
                <w:tcPr>
                  <w:tcW w:w="785"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渡槽</w:t>
                  </w:r>
                </w:p>
              </w:tc>
              <w:tc>
                <w:tcPr>
                  <w:tcW w:w="54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座</w:t>
                  </w:r>
                </w:p>
              </w:tc>
              <w:tc>
                <w:tcPr>
                  <w:tcW w:w="58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3</w:t>
                  </w:r>
                </w:p>
              </w:tc>
              <w:tc>
                <w:tcPr>
                  <w:tcW w:w="143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DN426壁厚6mm钢管</w:t>
                  </w:r>
                </w:p>
              </w:tc>
            </w:tr>
            <w:tr>
              <w:tc>
                <w:tcPr>
                  <w:tcW w:w="557" w:type="pct"/>
                  <w:vMerge w:val="continue"/>
                  <w:tcBorders>
                    <w:left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c>
                <w:tcPr>
                  <w:tcW w:w="1082" w:type="pct"/>
                  <w:vMerge w:val="continue"/>
                  <w:tcBorders>
                    <w:left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c>
                <w:tcPr>
                  <w:tcW w:w="785"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检查井</w:t>
                  </w:r>
                </w:p>
              </w:tc>
              <w:tc>
                <w:tcPr>
                  <w:tcW w:w="54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座</w:t>
                  </w:r>
                </w:p>
              </w:tc>
              <w:tc>
                <w:tcPr>
                  <w:tcW w:w="58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15</w:t>
                  </w:r>
                </w:p>
              </w:tc>
              <w:tc>
                <w:tcPr>
                  <w:tcW w:w="143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r>
            <w:tr>
              <w:tblPrEx>
                <w:tblCellMar>
                  <w:top w:w="0" w:type="dxa"/>
                  <w:left w:w="108" w:type="dxa"/>
                  <w:bottom w:w="0" w:type="dxa"/>
                  <w:right w:w="108" w:type="dxa"/>
                </w:tblCellMar>
              </w:tblPrEx>
              <w:tc>
                <w:tcPr>
                  <w:tcW w:w="557" w:type="pct"/>
                  <w:vMerge w:val="continue"/>
                  <w:tcBorders>
                    <w:left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c>
                <w:tcPr>
                  <w:tcW w:w="1082" w:type="pct"/>
                  <w:vMerge w:val="continue"/>
                  <w:tcBorders>
                    <w:left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c>
                <w:tcPr>
                  <w:tcW w:w="785"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分水井</w:t>
                  </w:r>
                </w:p>
              </w:tc>
              <w:tc>
                <w:tcPr>
                  <w:tcW w:w="54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座</w:t>
                  </w:r>
                </w:p>
              </w:tc>
              <w:tc>
                <w:tcPr>
                  <w:tcW w:w="58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4</w:t>
                  </w:r>
                </w:p>
              </w:tc>
              <w:tc>
                <w:tcPr>
                  <w:tcW w:w="143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干管4座</w:t>
                  </w:r>
                </w:p>
              </w:tc>
            </w:tr>
            <w:tr>
              <w:tblPrEx>
                <w:tblCellMar>
                  <w:top w:w="0" w:type="dxa"/>
                  <w:left w:w="108" w:type="dxa"/>
                  <w:bottom w:w="0" w:type="dxa"/>
                  <w:right w:w="108" w:type="dxa"/>
                </w:tblCellMar>
              </w:tblPrEx>
              <w:tc>
                <w:tcPr>
                  <w:tcW w:w="557" w:type="pct"/>
                  <w:vMerge w:val="continue"/>
                  <w:tcBorders>
                    <w:left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c>
                <w:tcPr>
                  <w:tcW w:w="1082" w:type="pct"/>
                  <w:vMerge w:val="continue"/>
                  <w:tcBorders>
                    <w:left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c>
                <w:tcPr>
                  <w:tcW w:w="785"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退水井</w:t>
                  </w:r>
                </w:p>
              </w:tc>
              <w:tc>
                <w:tcPr>
                  <w:tcW w:w="54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座</w:t>
                  </w:r>
                </w:p>
              </w:tc>
              <w:tc>
                <w:tcPr>
                  <w:tcW w:w="58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2</w:t>
                  </w:r>
                </w:p>
              </w:tc>
              <w:tc>
                <w:tcPr>
                  <w:tcW w:w="143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r>
            <w:tr>
              <w:tblPrEx>
                <w:tblCellMar>
                  <w:top w:w="0" w:type="dxa"/>
                  <w:left w:w="108" w:type="dxa"/>
                  <w:bottom w:w="0" w:type="dxa"/>
                  <w:right w:w="108" w:type="dxa"/>
                </w:tblCellMar>
              </w:tblPrEx>
              <w:tc>
                <w:tcPr>
                  <w:tcW w:w="557" w:type="pct"/>
                  <w:vMerge w:val="continue"/>
                  <w:tcBorders>
                    <w:left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c>
                <w:tcPr>
                  <w:tcW w:w="1082" w:type="pct"/>
                  <w:vMerge w:val="continue"/>
                  <w:tcBorders>
                    <w:left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c>
                <w:tcPr>
                  <w:tcW w:w="785"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出水池</w:t>
                  </w:r>
                </w:p>
              </w:tc>
              <w:tc>
                <w:tcPr>
                  <w:tcW w:w="54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座</w:t>
                  </w:r>
                </w:p>
              </w:tc>
              <w:tc>
                <w:tcPr>
                  <w:tcW w:w="58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10</w:t>
                  </w:r>
                </w:p>
              </w:tc>
              <w:tc>
                <w:tcPr>
                  <w:tcW w:w="143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r>
            <w:tr>
              <w:tc>
                <w:tcPr>
                  <w:tcW w:w="557" w:type="pct"/>
                  <w:vMerge w:val="continue"/>
                  <w:tcBorders>
                    <w:left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c>
                <w:tcPr>
                  <w:tcW w:w="1082" w:type="pct"/>
                  <w:vMerge w:val="continue"/>
                  <w:tcBorders>
                    <w:left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c>
                <w:tcPr>
                  <w:tcW w:w="785"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谷坊</w:t>
                  </w:r>
                </w:p>
              </w:tc>
              <w:tc>
                <w:tcPr>
                  <w:tcW w:w="54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座</w:t>
                  </w:r>
                </w:p>
              </w:tc>
              <w:tc>
                <w:tcPr>
                  <w:tcW w:w="58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2</w:t>
                  </w:r>
                </w:p>
              </w:tc>
              <w:tc>
                <w:tcPr>
                  <w:tcW w:w="143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生态格网</w:t>
                  </w:r>
                </w:p>
              </w:tc>
            </w:tr>
            <w:tr>
              <w:tblPrEx>
                <w:tblCellMar>
                  <w:top w:w="0" w:type="dxa"/>
                  <w:left w:w="108" w:type="dxa"/>
                  <w:bottom w:w="0" w:type="dxa"/>
                  <w:right w:w="108" w:type="dxa"/>
                </w:tblCellMar>
              </w:tblPrEx>
              <w:tc>
                <w:tcPr>
                  <w:tcW w:w="557" w:type="pct"/>
                  <w:vMerge w:val="continue"/>
                  <w:tcBorders>
                    <w:left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c>
                <w:tcPr>
                  <w:tcW w:w="1082" w:type="pct"/>
                  <w:vMerge w:val="continue"/>
                  <w:tcBorders>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c>
                <w:tcPr>
                  <w:tcW w:w="785"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防冲坝</w:t>
                  </w:r>
                </w:p>
              </w:tc>
              <w:tc>
                <w:tcPr>
                  <w:tcW w:w="54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座</w:t>
                  </w:r>
                </w:p>
              </w:tc>
              <w:tc>
                <w:tcPr>
                  <w:tcW w:w="58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7</w:t>
                  </w:r>
                </w:p>
              </w:tc>
              <w:tc>
                <w:tcPr>
                  <w:tcW w:w="143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生态格网</w:t>
                  </w:r>
                </w:p>
              </w:tc>
            </w:tr>
            <w:tr>
              <w:tblPrEx>
                <w:tblCellMar>
                  <w:top w:w="0" w:type="dxa"/>
                  <w:left w:w="108" w:type="dxa"/>
                  <w:bottom w:w="0" w:type="dxa"/>
                  <w:right w:w="108" w:type="dxa"/>
                </w:tblCellMar>
              </w:tblPrEx>
              <w:tc>
                <w:tcPr>
                  <w:tcW w:w="557" w:type="pct"/>
                  <w:vMerge w:val="continue"/>
                  <w:tcBorders>
                    <w:left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c>
                <w:tcPr>
                  <w:tcW w:w="1082" w:type="pct"/>
                  <w:vMerge w:val="restart"/>
                  <w:tcBorders>
                    <w:top w:val="single" w:color="000000" w:sz="4" w:space="0"/>
                    <w:left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下洛哇灌区工程</w:t>
                  </w:r>
                </w:p>
              </w:tc>
              <w:tc>
                <w:tcPr>
                  <w:tcW w:w="785"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干管</w:t>
                  </w:r>
                </w:p>
              </w:tc>
              <w:tc>
                <w:tcPr>
                  <w:tcW w:w="54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m</w:t>
                  </w:r>
                </w:p>
              </w:tc>
              <w:tc>
                <w:tcPr>
                  <w:tcW w:w="58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794</w:t>
                  </w:r>
                </w:p>
              </w:tc>
              <w:tc>
                <w:tcPr>
                  <w:tcW w:w="143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Φ400PE0.6MPa</w:t>
                  </w:r>
                </w:p>
              </w:tc>
            </w:tr>
            <w:tr>
              <w:tblPrEx>
                <w:tblCellMar>
                  <w:top w:w="0" w:type="dxa"/>
                  <w:left w:w="108" w:type="dxa"/>
                  <w:bottom w:w="0" w:type="dxa"/>
                  <w:right w:w="108" w:type="dxa"/>
                </w:tblCellMar>
              </w:tblPrEx>
              <w:tc>
                <w:tcPr>
                  <w:tcW w:w="557" w:type="pct"/>
                  <w:vMerge w:val="continue"/>
                  <w:tcBorders>
                    <w:left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c>
                <w:tcPr>
                  <w:tcW w:w="1082" w:type="pct"/>
                  <w:vMerge w:val="continue"/>
                  <w:tcBorders>
                    <w:left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c>
                <w:tcPr>
                  <w:tcW w:w="785"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分水井</w:t>
                  </w:r>
                </w:p>
              </w:tc>
              <w:tc>
                <w:tcPr>
                  <w:tcW w:w="54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座</w:t>
                  </w:r>
                </w:p>
              </w:tc>
              <w:tc>
                <w:tcPr>
                  <w:tcW w:w="58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3</w:t>
                  </w:r>
                </w:p>
              </w:tc>
              <w:tc>
                <w:tcPr>
                  <w:tcW w:w="143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r>
            <w:tr>
              <w:tc>
                <w:tcPr>
                  <w:tcW w:w="557" w:type="pct"/>
                  <w:vMerge w:val="continue"/>
                  <w:tcBorders>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c>
                <w:tcPr>
                  <w:tcW w:w="1082" w:type="pct"/>
                  <w:vMerge w:val="continue"/>
                  <w:tcBorders>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c>
                <w:tcPr>
                  <w:tcW w:w="785"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出水池</w:t>
                  </w:r>
                </w:p>
              </w:tc>
              <w:tc>
                <w:tcPr>
                  <w:tcW w:w="54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座</w:t>
                  </w:r>
                </w:p>
              </w:tc>
              <w:tc>
                <w:tcPr>
                  <w:tcW w:w="58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4</w:t>
                  </w:r>
                </w:p>
              </w:tc>
              <w:tc>
                <w:tcPr>
                  <w:tcW w:w="143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r>
          </w:tbl>
          <w:p>
            <w:pPr>
              <w:pStyle w:val="3"/>
              <w:pageBreakBefore w:val="0"/>
              <w:kinsoku/>
              <w:wordWrap/>
              <w:topLinePunct w:val="0"/>
              <w:autoSpaceDE/>
              <w:autoSpaceDN/>
              <w:bidi w:val="0"/>
              <w:textAlignment w:val="auto"/>
            </w:pPr>
            <w:r>
              <w:rPr>
                <w:rFonts w:hint="eastAsia"/>
              </w:rPr>
              <w:t>3、</w:t>
            </w:r>
            <w:r>
              <w:t>项目</w:t>
            </w:r>
            <w:r>
              <w:rPr>
                <w:rFonts w:hint="eastAsia"/>
              </w:rPr>
              <w:t>组成</w:t>
            </w:r>
          </w:p>
          <w:p>
            <w:pPr>
              <w:pStyle w:val="21"/>
              <w:pageBreakBefore w:val="0"/>
              <w:kinsoku/>
              <w:wordWrap/>
              <w:topLinePunct w:val="0"/>
              <w:autoSpaceDE/>
              <w:autoSpaceDN/>
              <w:bidi w:val="0"/>
              <w:textAlignment w:val="auto"/>
            </w:pPr>
            <w:r>
              <w:t>表</w:t>
            </w:r>
            <w:r>
              <w:rPr>
                <w:rFonts w:hint="eastAsia"/>
              </w:rPr>
              <w:t>2-2</w:t>
            </w:r>
            <w:r>
              <w:t xml:space="preserve"> 项目</w:t>
            </w:r>
            <w:r>
              <w:rPr>
                <w:rFonts w:hint="eastAsia"/>
              </w:rPr>
              <w:t>工程组成</w:t>
            </w:r>
            <w:r>
              <w:t>一览表</w:t>
            </w:r>
          </w:p>
          <w:tbl>
            <w:tblPr>
              <w:tblStyle w:val="15"/>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641"/>
              <w:gridCol w:w="908"/>
              <w:gridCol w:w="1883"/>
              <w:gridCol w:w="2793"/>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Align w:val="center"/>
                </w:tcPr>
                <w:p>
                  <w:pPr>
                    <w:pStyle w:val="20"/>
                    <w:pageBreakBefore w:val="0"/>
                    <w:widowControl w:val="0"/>
                    <w:kinsoku/>
                    <w:wordWrap/>
                    <w:topLinePunct w:val="0"/>
                    <w:autoSpaceDE/>
                    <w:autoSpaceDN/>
                    <w:bidi w:val="0"/>
                    <w:textAlignment w:val="auto"/>
                  </w:pPr>
                  <w:r>
                    <w:rPr>
                      <w:rFonts w:hint="eastAsia"/>
                    </w:rPr>
                    <w:t>类别</w:t>
                  </w:r>
                </w:p>
              </w:tc>
              <w:tc>
                <w:tcPr>
                  <w:tcW w:w="387" w:type="pct"/>
                  <w:vAlign w:val="center"/>
                </w:tcPr>
                <w:p>
                  <w:pPr>
                    <w:pStyle w:val="20"/>
                    <w:pageBreakBefore w:val="0"/>
                    <w:widowControl w:val="0"/>
                    <w:kinsoku/>
                    <w:wordWrap/>
                    <w:topLinePunct w:val="0"/>
                    <w:autoSpaceDE/>
                    <w:autoSpaceDN/>
                    <w:bidi w:val="0"/>
                    <w:textAlignment w:val="auto"/>
                  </w:pPr>
                  <w:r>
                    <w:rPr>
                      <w:rFonts w:hint="eastAsia"/>
                    </w:rPr>
                    <w:t>项目内容</w:t>
                  </w:r>
                </w:p>
              </w:tc>
              <w:tc>
                <w:tcPr>
                  <w:tcW w:w="3371" w:type="pct"/>
                  <w:gridSpan w:val="3"/>
                  <w:vAlign w:val="center"/>
                </w:tcPr>
                <w:p>
                  <w:pPr>
                    <w:pStyle w:val="20"/>
                    <w:pageBreakBefore w:val="0"/>
                    <w:widowControl w:val="0"/>
                    <w:kinsoku/>
                    <w:wordWrap/>
                    <w:topLinePunct w:val="0"/>
                    <w:autoSpaceDE/>
                    <w:autoSpaceDN/>
                    <w:bidi w:val="0"/>
                    <w:textAlignment w:val="auto"/>
                  </w:pPr>
                  <w:r>
                    <w:rPr>
                      <w:rFonts w:hint="eastAsia"/>
                    </w:rPr>
                    <w:t>建设规模</w:t>
                  </w:r>
                </w:p>
              </w:tc>
              <w:tc>
                <w:tcPr>
                  <w:tcW w:w="858" w:type="pct"/>
                  <w:vAlign w:val="center"/>
                </w:tcPr>
                <w:p>
                  <w:pPr>
                    <w:pStyle w:val="20"/>
                    <w:pageBreakBefore w:val="0"/>
                    <w:widowControl w:val="0"/>
                    <w:kinsoku/>
                    <w:wordWrap/>
                    <w:topLinePunct w:val="0"/>
                    <w:autoSpaceDE/>
                    <w:autoSpaceDN/>
                    <w:bidi w:val="0"/>
                    <w:textAlignment w:val="auto"/>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restart"/>
                  <w:vAlign w:val="center"/>
                </w:tcPr>
                <w:p>
                  <w:pPr>
                    <w:pStyle w:val="20"/>
                    <w:pageBreakBefore w:val="0"/>
                    <w:widowControl w:val="0"/>
                    <w:kinsoku/>
                    <w:wordWrap/>
                    <w:topLinePunct w:val="0"/>
                    <w:autoSpaceDE/>
                    <w:autoSpaceDN/>
                    <w:bidi w:val="0"/>
                    <w:textAlignment w:val="auto"/>
                  </w:pPr>
                  <w:r>
                    <w:rPr>
                      <w:rFonts w:hint="eastAsia"/>
                    </w:rPr>
                    <w:t>主体</w:t>
                  </w:r>
                </w:p>
                <w:p>
                  <w:pPr>
                    <w:pStyle w:val="20"/>
                    <w:pageBreakBefore w:val="0"/>
                    <w:widowControl w:val="0"/>
                    <w:kinsoku/>
                    <w:wordWrap/>
                    <w:topLinePunct w:val="0"/>
                    <w:autoSpaceDE/>
                    <w:autoSpaceDN/>
                    <w:bidi w:val="0"/>
                    <w:textAlignment w:val="auto"/>
                  </w:pPr>
                  <w:r>
                    <w:rPr>
                      <w:rFonts w:hint="eastAsia"/>
                    </w:rPr>
                    <w:t>工程</w:t>
                  </w:r>
                </w:p>
              </w:tc>
              <w:tc>
                <w:tcPr>
                  <w:tcW w:w="387" w:type="pct"/>
                  <w:vMerge w:val="restart"/>
                  <w:vAlign w:val="center"/>
                </w:tcPr>
                <w:p>
                  <w:pPr>
                    <w:pStyle w:val="20"/>
                    <w:pageBreakBefore w:val="0"/>
                    <w:widowControl w:val="0"/>
                    <w:kinsoku/>
                    <w:wordWrap/>
                    <w:topLinePunct w:val="0"/>
                    <w:autoSpaceDE/>
                    <w:autoSpaceDN/>
                    <w:bidi w:val="0"/>
                    <w:textAlignment w:val="auto"/>
                  </w:pPr>
                  <w:r>
                    <w:rPr>
                      <w:rFonts w:hint="eastAsia"/>
                    </w:rPr>
                    <w:t>供水管道</w:t>
                  </w:r>
                </w:p>
              </w:tc>
              <w:tc>
                <w:tcPr>
                  <w:tcW w:w="548" w:type="pct"/>
                  <w:vAlign w:val="center"/>
                </w:tcPr>
                <w:p>
                  <w:pPr>
                    <w:pStyle w:val="20"/>
                    <w:pageBreakBefore w:val="0"/>
                    <w:widowControl w:val="0"/>
                    <w:kinsoku/>
                    <w:wordWrap/>
                    <w:topLinePunct w:val="0"/>
                    <w:autoSpaceDE/>
                    <w:autoSpaceDN/>
                    <w:bidi w:val="0"/>
                    <w:textAlignment w:val="auto"/>
                  </w:pPr>
                  <w:r>
                    <w:t>却旦塘</w:t>
                  </w:r>
                  <w:r>
                    <w:rPr>
                      <w:rFonts w:hint="eastAsia"/>
                    </w:rPr>
                    <w:t>灌</w:t>
                  </w:r>
                  <w:r>
                    <w:t>区</w:t>
                  </w:r>
                </w:p>
              </w:tc>
              <w:tc>
                <w:tcPr>
                  <w:tcW w:w="2823" w:type="pct"/>
                  <w:gridSpan w:val="2"/>
                  <w:vAlign w:val="center"/>
                </w:tcPr>
                <w:p>
                  <w:pPr>
                    <w:pStyle w:val="20"/>
                    <w:pageBreakBefore w:val="0"/>
                    <w:widowControl w:val="0"/>
                    <w:kinsoku/>
                    <w:wordWrap/>
                    <w:topLinePunct w:val="0"/>
                    <w:autoSpaceDE/>
                    <w:autoSpaceDN/>
                    <w:bidi w:val="0"/>
                    <w:textAlignment w:val="auto"/>
                  </w:pPr>
                  <w:r>
                    <w:t>修建干管</w:t>
                  </w:r>
                  <w:r>
                    <w:rPr>
                      <w:rFonts w:hint="eastAsia"/>
                    </w:rPr>
                    <w:t>长</w:t>
                  </w:r>
                  <w:r>
                    <w:t>4120m，管道为Φ400PE管</w:t>
                  </w:r>
                  <w:r>
                    <w:rPr>
                      <w:rFonts w:hint="eastAsia"/>
                    </w:rPr>
                    <w:t>；修建支管578m，</w:t>
                  </w:r>
                  <w:r>
                    <w:t>管道为Φ</w:t>
                  </w:r>
                  <w:r>
                    <w:rPr>
                      <w:rFonts w:hint="eastAsia"/>
                    </w:rPr>
                    <w:t>280</w:t>
                  </w:r>
                  <w:r>
                    <w:t>PE管</w:t>
                  </w:r>
                  <w:r>
                    <w:rPr>
                      <w:rFonts w:hint="eastAsia"/>
                    </w:rPr>
                    <w:t>，</w:t>
                  </w:r>
                  <w:r>
                    <w:t>控制灌溉面积为1200亩</w:t>
                  </w:r>
                  <w:r>
                    <w:rPr>
                      <w:rFonts w:hint="eastAsia"/>
                    </w:rPr>
                    <w:t>。</w:t>
                  </w:r>
                </w:p>
              </w:tc>
              <w:tc>
                <w:tcPr>
                  <w:tcW w:w="858" w:type="pct"/>
                  <w:vAlign w:val="center"/>
                </w:tcPr>
                <w:p>
                  <w:pPr>
                    <w:pStyle w:val="20"/>
                    <w:pageBreakBefore w:val="0"/>
                    <w:widowControl w:val="0"/>
                    <w:kinsoku/>
                    <w:wordWrap/>
                    <w:topLinePunct w:val="0"/>
                    <w:autoSpaceDE/>
                    <w:autoSpaceDN/>
                    <w:bidi w:val="0"/>
                    <w:textAlignment w:val="auto"/>
                  </w:pPr>
                  <w:r>
                    <w:rPr>
                      <w:rFonts w:hint="eastAsi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continue"/>
                  <w:vAlign w:val="center"/>
                </w:tcPr>
                <w:p>
                  <w:pPr>
                    <w:pStyle w:val="20"/>
                    <w:pageBreakBefore w:val="0"/>
                    <w:widowControl w:val="0"/>
                    <w:kinsoku/>
                    <w:wordWrap/>
                    <w:topLinePunct w:val="0"/>
                    <w:autoSpaceDE/>
                    <w:autoSpaceDN/>
                    <w:bidi w:val="0"/>
                    <w:textAlignment w:val="auto"/>
                  </w:pPr>
                </w:p>
              </w:tc>
              <w:tc>
                <w:tcPr>
                  <w:tcW w:w="387" w:type="pct"/>
                  <w:vMerge w:val="continue"/>
                  <w:vAlign w:val="center"/>
                </w:tcPr>
                <w:p>
                  <w:pPr>
                    <w:pStyle w:val="20"/>
                    <w:pageBreakBefore w:val="0"/>
                    <w:widowControl w:val="0"/>
                    <w:kinsoku/>
                    <w:wordWrap/>
                    <w:topLinePunct w:val="0"/>
                    <w:autoSpaceDE/>
                    <w:autoSpaceDN/>
                    <w:bidi w:val="0"/>
                    <w:textAlignment w:val="auto"/>
                  </w:pPr>
                </w:p>
              </w:tc>
              <w:tc>
                <w:tcPr>
                  <w:tcW w:w="548" w:type="pct"/>
                  <w:vAlign w:val="center"/>
                </w:tcPr>
                <w:p>
                  <w:pPr>
                    <w:pStyle w:val="20"/>
                    <w:pageBreakBefore w:val="0"/>
                    <w:widowControl w:val="0"/>
                    <w:kinsoku/>
                    <w:wordWrap/>
                    <w:topLinePunct w:val="0"/>
                    <w:autoSpaceDE/>
                    <w:autoSpaceDN/>
                    <w:bidi w:val="0"/>
                    <w:textAlignment w:val="auto"/>
                  </w:pPr>
                  <w:r>
                    <w:t>下洛哇灌区</w:t>
                  </w:r>
                </w:p>
              </w:tc>
              <w:tc>
                <w:tcPr>
                  <w:tcW w:w="2823" w:type="pct"/>
                  <w:gridSpan w:val="2"/>
                  <w:vAlign w:val="center"/>
                </w:tcPr>
                <w:p>
                  <w:pPr>
                    <w:pStyle w:val="20"/>
                    <w:pageBreakBefore w:val="0"/>
                    <w:widowControl w:val="0"/>
                    <w:kinsoku/>
                    <w:wordWrap/>
                    <w:topLinePunct w:val="0"/>
                    <w:autoSpaceDE/>
                    <w:autoSpaceDN/>
                    <w:bidi w:val="0"/>
                    <w:textAlignment w:val="auto"/>
                  </w:pPr>
                  <w:r>
                    <w:t>修建干管长794m，管道为Φ400PE管，控制灌溉面积为800亩</w:t>
                  </w:r>
                  <w:r>
                    <w:rPr>
                      <w:rFonts w:hint="eastAsia"/>
                    </w:rPr>
                    <w:t>。</w:t>
                  </w:r>
                </w:p>
              </w:tc>
              <w:tc>
                <w:tcPr>
                  <w:tcW w:w="858" w:type="pct"/>
                  <w:vAlign w:val="center"/>
                </w:tcPr>
                <w:p>
                  <w:pPr>
                    <w:pStyle w:val="20"/>
                    <w:pageBreakBefore w:val="0"/>
                    <w:widowControl w:val="0"/>
                    <w:kinsoku/>
                    <w:wordWrap/>
                    <w:topLinePunct w:val="0"/>
                    <w:autoSpaceDE/>
                    <w:autoSpaceDN/>
                    <w:bidi w:val="0"/>
                    <w:textAlignment w:val="auto"/>
                  </w:pPr>
                  <w:r>
                    <w:rPr>
                      <w:rFonts w:hint="eastAsi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restart"/>
                  <w:vAlign w:val="center"/>
                </w:tcPr>
                <w:p>
                  <w:pPr>
                    <w:pStyle w:val="20"/>
                    <w:pageBreakBefore w:val="0"/>
                    <w:widowControl w:val="0"/>
                    <w:kinsoku/>
                    <w:wordWrap/>
                    <w:topLinePunct w:val="0"/>
                    <w:autoSpaceDE/>
                    <w:autoSpaceDN/>
                    <w:bidi w:val="0"/>
                    <w:textAlignment w:val="auto"/>
                  </w:pPr>
                  <w:r>
                    <w:rPr>
                      <w:rFonts w:hint="eastAsia"/>
                    </w:rPr>
                    <w:t>辅助</w:t>
                  </w:r>
                </w:p>
                <w:p>
                  <w:pPr>
                    <w:pStyle w:val="20"/>
                    <w:pageBreakBefore w:val="0"/>
                    <w:widowControl w:val="0"/>
                    <w:kinsoku/>
                    <w:wordWrap/>
                    <w:topLinePunct w:val="0"/>
                    <w:autoSpaceDE/>
                    <w:autoSpaceDN/>
                    <w:bidi w:val="0"/>
                    <w:textAlignment w:val="auto"/>
                  </w:pPr>
                  <w:r>
                    <w:rPr>
                      <w:rFonts w:hint="eastAsia"/>
                    </w:rPr>
                    <w:t>工程</w:t>
                  </w:r>
                </w:p>
              </w:tc>
              <w:tc>
                <w:tcPr>
                  <w:tcW w:w="387" w:type="pct"/>
                  <w:vMerge w:val="restart"/>
                  <w:vAlign w:val="center"/>
                </w:tcPr>
                <w:p>
                  <w:pPr>
                    <w:pStyle w:val="20"/>
                    <w:pageBreakBefore w:val="0"/>
                    <w:widowControl w:val="0"/>
                    <w:kinsoku/>
                    <w:wordWrap/>
                    <w:topLinePunct w:val="0"/>
                    <w:autoSpaceDE/>
                    <w:autoSpaceDN/>
                    <w:bidi w:val="0"/>
                    <w:textAlignment w:val="auto"/>
                  </w:pPr>
                  <w:r>
                    <w:rPr>
                      <w:rFonts w:hint="eastAsia"/>
                    </w:rPr>
                    <w:t>却旦塘灌区引</w:t>
                  </w:r>
                </w:p>
                <w:p>
                  <w:pPr>
                    <w:pStyle w:val="20"/>
                    <w:pageBreakBefore w:val="0"/>
                    <w:widowControl w:val="0"/>
                    <w:kinsoku/>
                    <w:wordWrap/>
                    <w:topLinePunct w:val="0"/>
                    <w:autoSpaceDE/>
                    <w:autoSpaceDN/>
                    <w:bidi w:val="0"/>
                    <w:jc w:val="both"/>
                    <w:textAlignment w:val="auto"/>
                  </w:pPr>
                  <w:r>
                    <w:rPr>
                      <w:rFonts w:hint="eastAsia"/>
                    </w:rPr>
                    <w:t>水口</w:t>
                  </w:r>
                </w:p>
              </w:tc>
              <w:tc>
                <w:tcPr>
                  <w:tcW w:w="548" w:type="pct"/>
                  <w:vAlign w:val="center"/>
                </w:tcPr>
                <w:p>
                  <w:pPr>
                    <w:pStyle w:val="20"/>
                    <w:pageBreakBefore w:val="0"/>
                    <w:widowControl w:val="0"/>
                    <w:kinsoku/>
                    <w:wordWrap/>
                    <w:topLinePunct w:val="0"/>
                    <w:autoSpaceDE/>
                    <w:autoSpaceDN/>
                    <w:bidi w:val="0"/>
                    <w:textAlignment w:val="auto"/>
                  </w:pPr>
                  <w:r>
                    <w:rPr>
                      <w:rFonts w:hint="eastAsia"/>
                    </w:rPr>
                    <w:t>进水闸</w:t>
                  </w:r>
                </w:p>
              </w:tc>
              <w:tc>
                <w:tcPr>
                  <w:tcW w:w="2823" w:type="pct"/>
                  <w:gridSpan w:val="2"/>
                  <w:vAlign w:val="center"/>
                </w:tcPr>
                <w:p>
                  <w:pPr>
                    <w:pStyle w:val="20"/>
                    <w:pageBreakBefore w:val="0"/>
                    <w:widowControl w:val="0"/>
                    <w:kinsoku/>
                    <w:wordWrap/>
                    <w:topLinePunct w:val="0"/>
                    <w:autoSpaceDE/>
                    <w:autoSpaceDN/>
                    <w:bidi w:val="0"/>
                    <w:textAlignment w:val="auto"/>
                    <w:rPr>
                      <w:rFonts w:hint="eastAsia" w:eastAsia="宋体"/>
                      <w:lang w:eastAsia="zh-CN"/>
                    </w:rPr>
                  </w:pPr>
                  <w:r>
                    <w:t>进水闸为单孔，采用现浇C25F200W4砼结构，为保证水工建筑物检修方便及协调统一，闸净宽0.5m，闸门高度0.5m，长2.0m，闸墩厚0.5m，高1.5m，起闭机QLC型手动侧摇式螺杆（起闭力1.0t），设计河床高程为2990.86m，闸底板高程为2991.36m，闸顶板高程为2992.86m。</w:t>
                  </w:r>
                </w:p>
              </w:tc>
              <w:tc>
                <w:tcPr>
                  <w:tcW w:w="858" w:type="pct"/>
                  <w:vMerge w:val="restart"/>
                  <w:vAlign w:val="center"/>
                </w:tcPr>
                <w:p>
                  <w:pPr>
                    <w:pStyle w:val="20"/>
                    <w:pageBreakBefore w:val="0"/>
                    <w:widowControl w:val="0"/>
                    <w:kinsoku/>
                    <w:wordWrap/>
                    <w:topLinePunct w:val="0"/>
                    <w:autoSpaceDE/>
                    <w:autoSpaceDN/>
                    <w:bidi w:val="0"/>
                    <w:textAlignment w:val="auto"/>
                  </w:pPr>
                  <w:r>
                    <w:rPr>
                      <w:rFonts w:hint="eastAsia"/>
                    </w:rPr>
                    <w:t>却旦塘灌区原址新建（下洛哇灌区利用原有引水口，此处不再罗列）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continue"/>
                  <w:vAlign w:val="center"/>
                </w:tcPr>
                <w:p>
                  <w:pPr>
                    <w:pStyle w:val="20"/>
                    <w:pageBreakBefore w:val="0"/>
                    <w:widowControl w:val="0"/>
                    <w:kinsoku/>
                    <w:wordWrap/>
                    <w:topLinePunct w:val="0"/>
                    <w:autoSpaceDE/>
                    <w:autoSpaceDN/>
                    <w:bidi w:val="0"/>
                    <w:textAlignment w:val="auto"/>
                  </w:pPr>
                </w:p>
              </w:tc>
              <w:tc>
                <w:tcPr>
                  <w:tcW w:w="387" w:type="pct"/>
                  <w:vMerge w:val="continue"/>
                  <w:vAlign w:val="center"/>
                </w:tcPr>
                <w:p>
                  <w:pPr>
                    <w:pStyle w:val="20"/>
                    <w:pageBreakBefore w:val="0"/>
                    <w:widowControl w:val="0"/>
                    <w:kinsoku/>
                    <w:wordWrap/>
                    <w:topLinePunct w:val="0"/>
                    <w:autoSpaceDE/>
                    <w:autoSpaceDN/>
                    <w:bidi w:val="0"/>
                    <w:textAlignment w:val="auto"/>
                  </w:pPr>
                </w:p>
              </w:tc>
              <w:tc>
                <w:tcPr>
                  <w:tcW w:w="548" w:type="pct"/>
                  <w:vAlign w:val="center"/>
                </w:tcPr>
                <w:p>
                  <w:pPr>
                    <w:pStyle w:val="20"/>
                    <w:pageBreakBefore w:val="0"/>
                    <w:widowControl w:val="0"/>
                    <w:kinsoku/>
                    <w:wordWrap/>
                    <w:topLinePunct w:val="0"/>
                    <w:autoSpaceDE/>
                    <w:autoSpaceDN/>
                    <w:bidi w:val="0"/>
                    <w:textAlignment w:val="auto"/>
                    <w:rPr>
                      <w:rFonts w:hint="eastAsia" w:eastAsia="宋体"/>
                      <w:lang w:eastAsia="zh-CN"/>
                    </w:rPr>
                  </w:pPr>
                  <w:r>
                    <w:t>冲砂闸</w:t>
                  </w:r>
                </w:p>
              </w:tc>
              <w:tc>
                <w:tcPr>
                  <w:tcW w:w="2823" w:type="pct"/>
                  <w:gridSpan w:val="2"/>
                  <w:vAlign w:val="center"/>
                </w:tcPr>
                <w:p>
                  <w:pPr>
                    <w:pStyle w:val="20"/>
                    <w:pageBreakBefore w:val="0"/>
                    <w:widowControl w:val="0"/>
                    <w:kinsoku/>
                    <w:wordWrap/>
                    <w:topLinePunct w:val="0"/>
                    <w:autoSpaceDE/>
                    <w:autoSpaceDN/>
                    <w:bidi w:val="0"/>
                    <w:textAlignment w:val="auto"/>
                    <w:rPr>
                      <w:rFonts w:hint="eastAsia" w:eastAsia="宋体"/>
                      <w:lang w:eastAsia="zh-CN"/>
                    </w:rPr>
                  </w:pPr>
                  <w:r>
                    <w:t>冲砂闸采用现浇C25F200W4砼结构，闸底板高程为2991.06m，比进水闸底板低0.3m，闸顶板高程为2992.86m，闸门尺寸为1.0*0.8m（宽*高）</w:t>
                  </w:r>
                  <w:r>
                    <w:rPr>
                      <w:rFonts w:hint="eastAsia"/>
                    </w:rPr>
                    <w:t>，</w:t>
                  </w:r>
                  <w:r>
                    <w:t>冲砂闸后设干砌石护底长2m，厚0.5m，以便防冲。</w:t>
                  </w:r>
                </w:p>
              </w:tc>
              <w:tc>
                <w:tcPr>
                  <w:tcW w:w="858" w:type="pct"/>
                  <w:vMerge w:val="continue"/>
                  <w:vAlign w:val="center"/>
                </w:tcPr>
                <w:p>
                  <w:pPr>
                    <w:pStyle w:val="20"/>
                    <w:pageBreakBefore w:val="0"/>
                    <w:widowControl w:val="0"/>
                    <w:kinsoku/>
                    <w:wordWrap/>
                    <w:topLinePunct w:val="0"/>
                    <w:autoSpaceDE/>
                    <w:autoSpaceDN/>
                    <w:bidi w:val="0"/>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continue"/>
                  <w:vAlign w:val="center"/>
                </w:tcPr>
                <w:p>
                  <w:pPr>
                    <w:pStyle w:val="20"/>
                    <w:pageBreakBefore w:val="0"/>
                    <w:widowControl w:val="0"/>
                    <w:kinsoku/>
                    <w:wordWrap/>
                    <w:topLinePunct w:val="0"/>
                    <w:autoSpaceDE/>
                    <w:autoSpaceDN/>
                    <w:bidi w:val="0"/>
                    <w:textAlignment w:val="auto"/>
                  </w:pPr>
                </w:p>
              </w:tc>
              <w:tc>
                <w:tcPr>
                  <w:tcW w:w="387" w:type="pct"/>
                  <w:vMerge w:val="continue"/>
                  <w:vAlign w:val="center"/>
                </w:tcPr>
                <w:p>
                  <w:pPr>
                    <w:pStyle w:val="20"/>
                    <w:pageBreakBefore w:val="0"/>
                    <w:widowControl w:val="0"/>
                    <w:kinsoku/>
                    <w:wordWrap/>
                    <w:topLinePunct w:val="0"/>
                    <w:autoSpaceDE/>
                    <w:autoSpaceDN/>
                    <w:bidi w:val="0"/>
                    <w:textAlignment w:val="auto"/>
                  </w:pPr>
                </w:p>
              </w:tc>
              <w:tc>
                <w:tcPr>
                  <w:tcW w:w="548" w:type="pct"/>
                  <w:vAlign w:val="center"/>
                </w:tcPr>
                <w:p>
                  <w:pPr>
                    <w:pStyle w:val="20"/>
                    <w:pageBreakBefore w:val="0"/>
                    <w:widowControl w:val="0"/>
                    <w:kinsoku/>
                    <w:wordWrap/>
                    <w:topLinePunct w:val="0"/>
                    <w:autoSpaceDE/>
                    <w:autoSpaceDN/>
                    <w:bidi w:val="0"/>
                    <w:textAlignment w:val="auto"/>
                  </w:pPr>
                  <w:r>
                    <w:rPr>
                      <w:rFonts w:hint="eastAsia"/>
                    </w:rPr>
                    <w:t>进水池</w:t>
                  </w:r>
                </w:p>
              </w:tc>
              <w:tc>
                <w:tcPr>
                  <w:tcW w:w="2823" w:type="pct"/>
                  <w:gridSpan w:val="2"/>
                  <w:vAlign w:val="center"/>
                </w:tcPr>
                <w:p>
                  <w:pPr>
                    <w:pStyle w:val="20"/>
                    <w:pageBreakBefore w:val="0"/>
                    <w:widowControl w:val="0"/>
                    <w:kinsoku/>
                    <w:wordWrap/>
                    <w:topLinePunct w:val="0"/>
                    <w:autoSpaceDE/>
                    <w:autoSpaceDN/>
                    <w:bidi w:val="0"/>
                    <w:textAlignment w:val="auto"/>
                    <w:rPr>
                      <w:rFonts w:hint="eastAsia" w:eastAsia="宋体"/>
                      <w:lang w:eastAsia="zh-CN"/>
                    </w:rPr>
                  </w:pPr>
                  <w:r>
                    <w:t>引水池长3.0m，高度2.5m，宽1.5m，采用现浇C25F200W4钢筋砼结构，进水池末端将引水管道浇筑固定，管道进口处设置拦污栅1处，防止杂物进入管道内。</w:t>
                  </w:r>
                </w:p>
              </w:tc>
              <w:tc>
                <w:tcPr>
                  <w:tcW w:w="858" w:type="pct"/>
                  <w:vMerge w:val="continue"/>
                  <w:vAlign w:val="center"/>
                </w:tcPr>
                <w:p>
                  <w:pPr>
                    <w:pStyle w:val="20"/>
                    <w:pageBreakBefore w:val="0"/>
                    <w:widowControl w:val="0"/>
                    <w:kinsoku/>
                    <w:wordWrap/>
                    <w:topLinePunct w:val="0"/>
                    <w:autoSpaceDE/>
                    <w:autoSpaceDN/>
                    <w:bidi w:val="0"/>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continue"/>
                  <w:vAlign w:val="center"/>
                </w:tcPr>
                <w:p>
                  <w:pPr>
                    <w:pStyle w:val="20"/>
                    <w:pageBreakBefore w:val="0"/>
                    <w:widowControl w:val="0"/>
                    <w:kinsoku/>
                    <w:wordWrap/>
                    <w:topLinePunct w:val="0"/>
                    <w:autoSpaceDE/>
                    <w:autoSpaceDN/>
                    <w:bidi w:val="0"/>
                    <w:textAlignment w:val="auto"/>
                  </w:pPr>
                </w:p>
              </w:tc>
              <w:tc>
                <w:tcPr>
                  <w:tcW w:w="387" w:type="pct"/>
                  <w:vAlign w:val="center"/>
                </w:tcPr>
                <w:p>
                  <w:pPr>
                    <w:pStyle w:val="20"/>
                    <w:pageBreakBefore w:val="0"/>
                    <w:widowControl w:val="0"/>
                    <w:kinsoku/>
                    <w:wordWrap/>
                    <w:topLinePunct w:val="0"/>
                    <w:autoSpaceDE/>
                    <w:autoSpaceDN/>
                    <w:bidi w:val="0"/>
                    <w:textAlignment w:val="auto"/>
                  </w:pPr>
                  <w:r>
                    <w:rPr>
                      <w:rFonts w:hint="eastAsia"/>
                    </w:rPr>
                    <w:t>却旦塘灌区渡</w:t>
                  </w:r>
                </w:p>
                <w:p>
                  <w:pPr>
                    <w:pStyle w:val="20"/>
                    <w:pageBreakBefore w:val="0"/>
                    <w:widowControl w:val="0"/>
                    <w:kinsoku/>
                    <w:wordWrap/>
                    <w:topLinePunct w:val="0"/>
                    <w:autoSpaceDE/>
                    <w:autoSpaceDN/>
                    <w:bidi w:val="0"/>
                    <w:textAlignment w:val="auto"/>
                  </w:pPr>
                  <w:r>
                    <w:rPr>
                      <w:rFonts w:hint="eastAsia"/>
                    </w:rPr>
                    <w:t>槽</w:t>
                  </w:r>
                </w:p>
              </w:tc>
              <w:tc>
                <w:tcPr>
                  <w:tcW w:w="3371" w:type="pct"/>
                  <w:gridSpan w:val="3"/>
                  <w:vAlign w:val="center"/>
                </w:tcPr>
                <w:p>
                  <w:pPr>
                    <w:pStyle w:val="20"/>
                    <w:pageBreakBefore w:val="0"/>
                    <w:widowControl w:val="0"/>
                    <w:kinsoku/>
                    <w:wordWrap/>
                    <w:topLinePunct w:val="0"/>
                    <w:autoSpaceDE/>
                    <w:autoSpaceDN/>
                    <w:bidi w:val="0"/>
                    <w:textAlignment w:val="auto"/>
                    <w:rPr>
                      <w:rFonts w:hint="eastAsia" w:eastAsia="宋体"/>
                      <w:lang w:eastAsia="zh-CN"/>
                    </w:rPr>
                  </w:pPr>
                  <w:r>
                    <w:t>却旦塘灌区修建渡槽3座，总长度67m。1#渡槽总长度41m，总共3跨，2#渡槽总长度14m，3#渡槽总长度13m，渡槽的断面形式均采用钢管渡槽，渡槽管径为DN426，材料为Q235，按规范要求做防腐涂装。渡槽排架采用75cm×50cm角钢焊接排架，排架高度按照沟道下切深度为2~9m。排架基础尺寸为1.6*1.6m*1.8（长*宽*高），基础开挖边坡为1</w:t>
                  </w:r>
                  <w:r>
                    <w:rPr>
                      <w:rFonts w:hint="eastAsia"/>
                    </w:rPr>
                    <w:t>：</w:t>
                  </w:r>
                  <w:r>
                    <w:t>0.75，基础开挖后需进行原基夯实再进行混凝土浇筑。</w:t>
                  </w:r>
                </w:p>
              </w:tc>
              <w:tc>
                <w:tcPr>
                  <w:tcW w:w="858" w:type="pct"/>
                  <w:vAlign w:val="center"/>
                </w:tcPr>
                <w:p>
                  <w:pPr>
                    <w:pStyle w:val="20"/>
                    <w:pageBreakBefore w:val="0"/>
                    <w:widowControl w:val="0"/>
                    <w:kinsoku/>
                    <w:wordWrap/>
                    <w:topLinePunct w:val="0"/>
                    <w:autoSpaceDE/>
                    <w:autoSpaceDN/>
                    <w:bidi w:val="0"/>
                    <w:textAlignment w:val="auto"/>
                  </w:pPr>
                  <w:r>
                    <w:rPr>
                      <w:rFonts w:hint="eastAsia"/>
                    </w:rPr>
                    <w:t>渡槽均未涉及涉水作业；原址新建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continue"/>
                  <w:vAlign w:val="center"/>
                </w:tcPr>
                <w:p>
                  <w:pPr>
                    <w:pStyle w:val="20"/>
                    <w:pageBreakBefore w:val="0"/>
                    <w:widowControl w:val="0"/>
                    <w:kinsoku/>
                    <w:wordWrap/>
                    <w:topLinePunct w:val="0"/>
                    <w:autoSpaceDE/>
                    <w:autoSpaceDN/>
                    <w:bidi w:val="0"/>
                    <w:textAlignment w:val="auto"/>
                  </w:pPr>
                </w:p>
              </w:tc>
              <w:tc>
                <w:tcPr>
                  <w:tcW w:w="387" w:type="pct"/>
                  <w:vAlign w:val="center"/>
                </w:tcPr>
                <w:p>
                  <w:pPr>
                    <w:pStyle w:val="20"/>
                    <w:pageBreakBefore w:val="0"/>
                    <w:widowControl w:val="0"/>
                    <w:kinsoku/>
                    <w:wordWrap/>
                    <w:topLinePunct w:val="0"/>
                    <w:autoSpaceDE/>
                    <w:autoSpaceDN/>
                    <w:bidi w:val="0"/>
                    <w:textAlignment w:val="auto"/>
                  </w:pPr>
                  <w:r>
                    <w:rPr>
                      <w:rFonts w:hint="eastAsia"/>
                    </w:rPr>
                    <w:t>却旦塘灌区退</w:t>
                  </w:r>
                </w:p>
                <w:p>
                  <w:pPr>
                    <w:pStyle w:val="20"/>
                    <w:pageBreakBefore w:val="0"/>
                    <w:widowControl w:val="0"/>
                    <w:kinsoku/>
                    <w:wordWrap/>
                    <w:topLinePunct w:val="0"/>
                    <w:autoSpaceDE/>
                    <w:autoSpaceDN/>
                    <w:bidi w:val="0"/>
                    <w:jc w:val="both"/>
                    <w:textAlignment w:val="auto"/>
                  </w:pPr>
                  <w:r>
                    <w:rPr>
                      <w:rFonts w:hint="eastAsia"/>
                    </w:rPr>
                    <w:t>水渠</w:t>
                  </w:r>
                </w:p>
              </w:tc>
              <w:tc>
                <w:tcPr>
                  <w:tcW w:w="3371" w:type="pct"/>
                  <w:gridSpan w:val="3"/>
                  <w:vAlign w:val="center"/>
                </w:tcPr>
                <w:p>
                  <w:pPr>
                    <w:pStyle w:val="20"/>
                    <w:pageBreakBefore w:val="0"/>
                    <w:widowControl w:val="0"/>
                    <w:kinsoku/>
                    <w:wordWrap/>
                    <w:topLinePunct w:val="0"/>
                    <w:autoSpaceDE/>
                    <w:autoSpaceDN/>
                    <w:bidi w:val="0"/>
                    <w:textAlignment w:val="auto"/>
                    <w:rPr>
                      <w:rFonts w:hint="eastAsia" w:eastAsia="宋体"/>
                      <w:lang w:eastAsia="zh-CN"/>
                    </w:rPr>
                  </w:pPr>
                  <w:r>
                    <w:t>退水渠位于却旦塘干管桩号4+068.8处，渠长541m，采用C25F200W4现浇钢筋砼矩形渠，渠道断面为45×45cm，侧墙及底板厚均为10cm，每6m设一道沥青砂浆伸缩缝，缝宽2cm。</w:t>
                  </w:r>
                </w:p>
              </w:tc>
              <w:tc>
                <w:tcPr>
                  <w:tcW w:w="858" w:type="pct"/>
                  <w:vAlign w:val="center"/>
                </w:tcPr>
                <w:p>
                  <w:pPr>
                    <w:pStyle w:val="20"/>
                    <w:pageBreakBefore w:val="0"/>
                    <w:widowControl w:val="0"/>
                    <w:kinsoku/>
                    <w:wordWrap/>
                    <w:topLinePunct w:val="0"/>
                    <w:autoSpaceDE/>
                    <w:autoSpaceDN/>
                    <w:bidi w:val="0"/>
                    <w:textAlignment w:val="auto"/>
                  </w:pPr>
                  <w:r>
                    <w:rPr>
                      <w:rFonts w:hint="eastAsi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continue"/>
                  <w:vAlign w:val="center"/>
                </w:tcPr>
                <w:p>
                  <w:pPr>
                    <w:pStyle w:val="20"/>
                    <w:pageBreakBefore w:val="0"/>
                    <w:widowControl w:val="0"/>
                    <w:kinsoku/>
                    <w:wordWrap/>
                    <w:topLinePunct w:val="0"/>
                    <w:autoSpaceDE/>
                    <w:autoSpaceDN/>
                    <w:bidi w:val="0"/>
                    <w:textAlignment w:val="auto"/>
                  </w:pPr>
                </w:p>
              </w:tc>
              <w:tc>
                <w:tcPr>
                  <w:tcW w:w="387" w:type="pct"/>
                  <w:vMerge w:val="restart"/>
                  <w:vAlign w:val="center"/>
                </w:tcPr>
                <w:p>
                  <w:pPr>
                    <w:pStyle w:val="20"/>
                    <w:pageBreakBefore w:val="0"/>
                    <w:widowControl w:val="0"/>
                    <w:kinsoku/>
                    <w:wordWrap/>
                    <w:topLinePunct w:val="0"/>
                    <w:autoSpaceDE/>
                    <w:autoSpaceDN/>
                    <w:bidi w:val="0"/>
                    <w:textAlignment w:val="auto"/>
                  </w:pPr>
                  <w:r>
                    <w:rPr>
                      <w:rFonts w:hint="eastAsia"/>
                    </w:rPr>
                    <w:t>阀</w:t>
                  </w:r>
                </w:p>
                <w:p>
                  <w:pPr>
                    <w:pStyle w:val="20"/>
                    <w:pageBreakBefore w:val="0"/>
                    <w:widowControl w:val="0"/>
                    <w:kinsoku/>
                    <w:wordWrap/>
                    <w:topLinePunct w:val="0"/>
                    <w:autoSpaceDE/>
                    <w:autoSpaceDN/>
                    <w:bidi w:val="0"/>
                    <w:textAlignment w:val="auto"/>
                  </w:pPr>
                  <w:r>
                    <w:rPr>
                      <w:rFonts w:hint="eastAsia"/>
                    </w:rPr>
                    <w:t>门</w:t>
                  </w:r>
                </w:p>
                <w:p>
                  <w:pPr>
                    <w:pStyle w:val="20"/>
                    <w:pageBreakBefore w:val="0"/>
                    <w:widowControl w:val="0"/>
                    <w:kinsoku/>
                    <w:wordWrap/>
                    <w:topLinePunct w:val="0"/>
                    <w:autoSpaceDE/>
                    <w:autoSpaceDN/>
                    <w:bidi w:val="0"/>
                    <w:textAlignment w:val="auto"/>
                  </w:pPr>
                  <w:r>
                    <w:rPr>
                      <w:rFonts w:hint="eastAsia"/>
                    </w:rPr>
                    <w:t>井</w:t>
                  </w:r>
                </w:p>
              </w:tc>
              <w:tc>
                <w:tcPr>
                  <w:tcW w:w="1685" w:type="pct"/>
                  <w:gridSpan w:val="2"/>
                  <w:vAlign w:val="center"/>
                </w:tcPr>
                <w:p>
                  <w:pPr>
                    <w:pStyle w:val="20"/>
                    <w:pageBreakBefore w:val="0"/>
                    <w:widowControl w:val="0"/>
                    <w:kinsoku/>
                    <w:wordWrap/>
                    <w:topLinePunct w:val="0"/>
                    <w:autoSpaceDE/>
                    <w:autoSpaceDN/>
                    <w:bidi w:val="0"/>
                    <w:textAlignment w:val="auto"/>
                  </w:pPr>
                  <w:r>
                    <w:rPr>
                      <w:rFonts w:hint="eastAsia"/>
                    </w:rPr>
                    <w:t>却旦塘灌区4座分水井、检查井15座、退水井2座。</w:t>
                  </w:r>
                </w:p>
              </w:tc>
              <w:tc>
                <w:tcPr>
                  <w:tcW w:w="1686" w:type="pct"/>
                  <w:vMerge w:val="restart"/>
                  <w:vAlign w:val="center"/>
                </w:tcPr>
                <w:p>
                  <w:pPr>
                    <w:pStyle w:val="20"/>
                    <w:pageBreakBefore w:val="0"/>
                    <w:widowControl w:val="0"/>
                    <w:kinsoku/>
                    <w:wordWrap/>
                    <w:topLinePunct w:val="0"/>
                    <w:autoSpaceDE/>
                    <w:autoSpaceDN/>
                    <w:bidi w:val="0"/>
                    <w:textAlignment w:val="auto"/>
                  </w:pPr>
                  <w:r>
                    <w:rPr>
                      <w:rFonts w:hint="eastAsia"/>
                    </w:rPr>
                    <w:t>采用C25F200W4现浇钢筋砼方形结构，长2m，宽2m，为便于检修时站立，高度取2m。阀门井壁厚0.2m，根据阀门的功能不同，井内细部构件设置视具体情况而定。</w:t>
                  </w:r>
                </w:p>
              </w:tc>
              <w:tc>
                <w:tcPr>
                  <w:tcW w:w="858" w:type="pct"/>
                  <w:vMerge w:val="restart"/>
                  <w:vAlign w:val="center"/>
                </w:tcPr>
                <w:p>
                  <w:pPr>
                    <w:pStyle w:val="20"/>
                    <w:pageBreakBefore w:val="0"/>
                    <w:widowControl w:val="0"/>
                    <w:kinsoku/>
                    <w:wordWrap/>
                    <w:topLinePunct w:val="0"/>
                    <w:autoSpaceDE/>
                    <w:autoSpaceDN/>
                    <w:bidi w:val="0"/>
                    <w:textAlignment w:val="auto"/>
                  </w:pPr>
                  <w:r>
                    <w:rPr>
                      <w:rFonts w:hint="eastAsi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continue"/>
                  <w:vAlign w:val="center"/>
                </w:tcPr>
                <w:p>
                  <w:pPr>
                    <w:pStyle w:val="20"/>
                    <w:pageBreakBefore w:val="0"/>
                    <w:widowControl w:val="0"/>
                    <w:kinsoku/>
                    <w:wordWrap/>
                    <w:topLinePunct w:val="0"/>
                    <w:autoSpaceDE/>
                    <w:autoSpaceDN/>
                    <w:bidi w:val="0"/>
                    <w:textAlignment w:val="auto"/>
                  </w:pPr>
                </w:p>
              </w:tc>
              <w:tc>
                <w:tcPr>
                  <w:tcW w:w="387" w:type="pct"/>
                  <w:vMerge w:val="continue"/>
                  <w:vAlign w:val="center"/>
                </w:tcPr>
                <w:p>
                  <w:pPr>
                    <w:pStyle w:val="20"/>
                    <w:pageBreakBefore w:val="0"/>
                    <w:widowControl w:val="0"/>
                    <w:kinsoku/>
                    <w:wordWrap/>
                    <w:topLinePunct w:val="0"/>
                    <w:autoSpaceDE/>
                    <w:autoSpaceDN/>
                    <w:bidi w:val="0"/>
                    <w:textAlignment w:val="auto"/>
                  </w:pPr>
                </w:p>
              </w:tc>
              <w:tc>
                <w:tcPr>
                  <w:tcW w:w="1685" w:type="pct"/>
                  <w:gridSpan w:val="2"/>
                  <w:vAlign w:val="center"/>
                </w:tcPr>
                <w:p>
                  <w:pPr>
                    <w:pStyle w:val="20"/>
                    <w:pageBreakBefore w:val="0"/>
                    <w:widowControl w:val="0"/>
                    <w:kinsoku/>
                    <w:wordWrap/>
                    <w:topLinePunct w:val="0"/>
                    <w:autoSpaceDE/>
                    <w:autoSpaceDN/>
                    <w:bidi w:val="0"/>
                    <w:textAlignment w:val="auto"/>
                  </w:pPr>
                  <w:r>
                    <w:rPr>
                      <w:rFonts w:hint="eastAsia"/>
                    </w:rPr>
                    <w:t>下洛哇灌区3座分水井</w:t>
                  </w:r>
                </w:p>
              </w:tc>
              <w:tc>
                <w:tcPr>
                  <w:tcW w:w="1686" w:type="pct"/>
                  <w:vMerge w:val="continue"/>
                  <w:vAlign w:val="center"/>
                </w:tcPr>
                <w:p>
                  <w:pPr>
                    <w:pStyle w:val="20"/>
                    <w:pageBreakBefore w:val="0"/>
                    <w:widowControl w:val="0"/>
                    <w:kinsoku/>
                    <w:wordWrap/>
                    <w:topLinePunct w:val="0"/>
                    <w:autoSpaceDE/>
                    <w:autoSpaceDN/>
                    <w:bidi w:val="0"/>
                    <w:textAlignment w:val="auto"/>
                  </w:pPr>
                </w:p>
              </w:tc>
              <w:tc>
                <w:tcPr>
                  <w:tcW w:w="858" w:type="pct"/>
                  <w:vMerge w:val="continue"/>
                  <w:vAlign w:val="center"/>
                </w:tcPr>
                <w:p>
                  <w:pPr>
                    <w:pStyle w:val="20"/>
                    <w:pageBreakBefore w:val="0"/>
                    <w:widowControl w:val="0"/>
                    <w:kinsoku/>
                    <w:wordWrap/>
                    <w:topLinePunct w:val="0"/>
                    <w:autoSpaceDE/>
                    <w:autoSpaceDN/>
                    <w:bidi w:val="0"/>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trPr>
              <w:tc>
                <w:tcPr>
                  <w:tcW w:w="384" w:type="pct"/>
                  <w:vMerge w:val="continue"/>
                  <w:vAlign w:val="center"/>
                </w:tcPr>
                <w:p>
                  <w:pPr>
                    <w:pStyle w:val="20"/>
                    <w:pageBreakBefore w:val="0"/>
                    <w:widowControl w:val="0"/>
                    <w:kinsoku/>
                    <w:wordWrap/>
                    <w:topLinePunct w:val="0"/>
                    <w:autoSpaceDE/>
                    <w:autoSpaceDN/>
                    <w:bidi w:val="0"/>
                    <w:textAlignment w:val="auto"/>
                  </w:pPr>
                </w:p>
              </w:tc>
              <w:tc>
                <w:tcPr>
                  <w:tcW w:w="387" w:type="pct"/>
                  <w:vAlign w:val="center"/>
                </w:tcPr>
                <w:p>
                  <w:pPr>
                    <w:pStyle w:val="20"/>
                    <w:pageBreakBefore w:val="0"/>
                    <w:widowControl w:val="0"/>
                    <w:kinsoku/>
                    <w:wordWrap/>
                    <w:topLinePunct w:val="0"/>
                    <w:autoSpaceDE/>
                    <w:autoSpaceDN/>
                    <w:bidi w:val="0"/>
                    <w:textAlignment w:val="auto"/>
                  </w:pPr>
                  <w:r>
                    <w:rPr>
                      <w:rFonts w:hint="eastAsia"/>
                    </w:rPr>
                    <w:t>出</w:t>
                  </w:r>
                </w:p>
                <w:p>
                  <w:pPr>
                    <w:pStyle w:val="20"/>
                    <w:pageBreakBefore w:val="0"/>
                    <w:widowControl w:val="0"/>
                    <w:kinsoku/>
                    <w:wordWrap/>
                    <w:topLinePunct w:val="0"/>
                    <w:autoSpaceDE/>
                    <w:autoSpaceDN/>
                    <w:bidi w:val="0"/>
                    <w:textAlignment w:val="auto"/>
                  </w:pPr>
                  <w:r>
                    <w:rPr>
                      <w:rFonts w:hint="eastAsia"/>
                    </w:rPr>
                    <w:t>水</w:t>
                  </w:r>
                </w:p>
                <w:p>
                  <w:pPr>
                    <w:pStyle w:val="20"/>
                    <w:pageBreakBefore w:val="0"/>
                    <w:widowControl w:val="0"/>
                    <w:kinsoku/>
                    <w:wordWrap/>
                    <w:topLinePunct w:val="0"/>
                    <w:autoSpaceDE/>
                    <w:autoSpaceDN/>
                    <w:bidi w:val="0"/>
                    <w:textAlignment w:val="auto"/>
                  </w:pPr>
                  <w:r>
                    <w:rPr>
                      <w:rFonts w:hint="eastAsia"/>
                    </w:rPr>
                    <w:t>池</w:t>
                  </w:r>
                </w:p>
              </w:tc>
              <w:tc>
                <w:tcPr>
                  <w:tcW w:w="3371" w:type="pct"/>
                  <w:gridSpan w:val="3"/>
                  <w:vAlign w:val="center"/>
                </w:tcPr>
                <w:p>
                  <w:pPr>
                    <w:pStyle w:val="20"/>
                    <w:pageBreakBefore w:val="0"/>
                    <w:widowControl w:val="0"/>
                    <w:kinsoku/>
                    <w:wordWrap/>
                    <w:topLinePunct w:val="0"/>
                    <w:autoSpaceDE/>
                    <w:autoSpaceDN/>
                    <w:bidi w:val="0"/>
                    <w:textAlignment w:val="auto"/>
                  </w:pPr>
                  <w:r>
                    <w:t>支管经过的田块位置设置支管分水井及出水池</w:t>
                  </w:r>
                  <w:r>
                    <w:rPr>
                      <w:rFonts w:hint="eastAsia"/>
                    </w:rPr>
                    <w:t>，出水池采用C25F200W4现浇砼结构，出水池长1.9m，宽1.1m，深0.75m；却旦塘灌区主管末端与退水渠连接处和下洛哇灌区主管末端设置出水池，采用C25F200W4现浇砼结构，出水池长2.6m，宽1.5m。</w:t>
                  </w:r>
                </w:p>
              </w:tc>
              <w:tc>
                <w:tcPr>
                  <w:tcW w:w="858" w:type="pct"/>
                  <w:vAlign w:val="center"/>
                </w:tcPr>
                <w:p>
                  <w:pPr>
                    <w:pStyle w:val="20"/>
                    <w:pageBreakBefore w:val="0"/>
                    <w:widowControl w:val="0"/>
                    <w:kinsoku/>
                    <w:wordWrap/>
                    <w:topLinePunct w:val="0"/>
                    <w:autoSpaceDE/>
                    <w:autoSpaceDN/>
                    <w:bidi w:val="0"/>
                    <w:textAlignment w:val="auto"/>
                  </w:pPr>
                  <w:r>
                    <w:rPr>
                      <w:rFonts w:hint="eastAsi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continue"/>
                  <w:vAlign w:val="center"/>
                </w:tcPr>
                <w:p>
                  <w:pPr>
                    <w:pStyle w:val="20"/>
                    <w:pageBreakBefore w:val="0"/>
                    <w:widowControl w:val="0"/>
                    <w:kinsoku/>
                    <w:wordWrap/>
                    <w:topLinePunct w:val="0"/>
                    <w:autoSpaceDE/>
                    <w:autoSpaceDN/>
                    <w:bidi w:val="0"/>
                    <w:textAlignment w:val="auto"/>
                  </w:pPr>
                </w:p>
              </w:tc>
              <w:tc>
                <w:tcPr>
                  <w:tcW w:w="387" w:type="pct"/>
                  <w:vAlign w:val="center"/>
                </w:tcPr>
                <w:p>
                  <w:pPr>
                    <w:pStyle w:val="20"/>
                    <w:pageBreakBefore w:val="0"/>
                    <w:widowControl w:val="0"/>
                    <w:kinsoku/>
                    <w:wordWrap/>
                    <w:topLinePunct w:val="0"/>
                    <w:autoSpaceDE/>
                    <w:autoSpaceDN/>
                    <w:bidi w:val="0"/>
                    <w:textAlignment w:val="auto"/>
                  </w:pPr>
                  <w:r>
                    <w:rPr>
                      <w:rFonts w:hint="eastAsia"/>
                    </w:rPr>
                    <w:t>却旦塘灌区谷</w:t>
                  </w:r>
                </w:p>
                <w:p>
                  <w:pPr>
                    <w:pStyle w:val="20"/>
                    <w:pageBreakBefore w:val="0"/>
                    <w:widowControl w:val="0"/>
                    <w:kinsoku/>
                    <w:wordWrap/>
                    <w:topLinePunct w:val="0"/>
                    <w:autoSpaceDE/>
                    <w:autoSpaceDN/>
                    <w:bidi w:val="0"/>
                    <w:textAlignment w:val="auto"/>
                  </w:pPr>
                  <w:r>
                    <w:rPr>
                      <w:rFonts w:hint="eastAsia"/>
                    </w:rPr>
                    <w:t>坊</w:t>
                  </w:r>
                </w:p>
              </w:tc>
              <w:tc>
                <w:tcPr>
                  <w:tcW w:w="3371" w:type="pct"/>
                  <w:gridSpan w:val="3"/>
                  <w:vAlign w:val="center"/>
                </w:tcPr>
                <w:p>
                  <w:pPr>
                    <w:pStyle w:val="20"/>
                    <w:pageBreakBefore w:val="0"/>
                    <w:widowControl w:val="0"/>
                    <w:kinsoku/>
                    <w:wordWrap/>
                    <w:topLinePunct w:val="0"/>
                    <w:autoSpaceDE/>
                    <w:autoSpaceDN/>
                    <w:bidi w:val="0"/>
                    <w:textAlignment w:val="auto"/>
                    <w:rPr>
                      <w:rFonts w:hint="eastAsia" w:eastAsia="宋体"/>
                      <w:lang w:eastAsia="zh-CN"/>
                    </w:rPr>
                  </w:pPr>
                  <w:r>
                    <w:rPr>
                      <w:rFonts w:hint="eastAsia"/>
                    </w:rPr>
                    <w:t>谷坊采用生态格网结构，沟道高3-5m，由于流域面积较小，谷坊溢流口为3.0*1m（长*宽），谷坊底宽为5-7m，顶宽为8-18m，谷坊基础设齿墙，宽1.5m，高1.0m，消力池长6m，宽0.5m。</w:t>
                  </w:r>
                </w:p>
              </w:tc>
              <w:tc>
                <w:tcPr>
                  <w:tcW w:w="858" w:type="pct"/>
                  <w:vAlign w:val="center"/>
                </w:tcPr>
                <w:p>
                  <w:pPr>
                    <w:pStyle w:val="20"/>
                    <w:pageBreakBefore w:val="0"/>
                    <w:widowControl w:val="0"/>
                    <w:kinsoku/>
                    <w:wordWrap/>
                    <w:topLinePunct w:val="0"/>
                    <w:autoSpaceDE/>
                    <w:autoSpaceDN/>
                    <w:bidi w:val="0"/>
                    <w:textAlignment w:val="auto"/>
                  </w:pPr>
                  <w:r>
                    <w:rPr>
                      <w:rFonts w:hint="eastAsi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continue"/>
                  <w:vAlign w:val="center"/>
                </w:tcPr>
                <w:p>
                  <w:pPr>
                    <w:pStyle w:val="20"/>
                    <w:pageBreakBefore w:val="0"/>
                    <w:widowControl w:val="0"/>
                    <w:kinsoku/>
                    <w:wordWrap/>
                    <w:topLinePunct w:val="0"/>
                    <w:autoSpaceDE/>
                    <w:autoSpaceDN/>
                    <w:bidi w:val="0"/>
                    <w:textAlignment w:val="auto"/>
                  </w:pPr>
                </w:p>
              </w:tc>
              <w:tc>
                <w:tcPr>
                  <w:tcW w:w="387" w:type="pct"/>
                  <w:vAlign w:val="center"/>
                </w:tcPr>
                <w:p>
                  <w:pPr>
                    <w:pStyle w:val="20"/>
                    <w:pageBreakBefore w:val="0"/>
                    <w:widowControl w:val="0"/>
                    <w:kinsoku/>
                    <w:wordWrap/>
                    <w:topLinePunct w:val="0"/>
                    <w:autoSpaceDE/>
                    <w:autoSpaceDN/>
                    <w:bidi w:val="0"/>
                    <w:textAlignment w:val="auto"/>
                  </w:pPr>
                  <w:r>
                    <w:rPr>
                      <w:rFonts w:hint="eastAsia"/>
                    </w:rPr>
                    <w:t>却旦塘灌区防冲坝</w:t>
                  </w:r>
                </w:p>
              </w:tc>
              <w:tc>
                <w:tcPr>
                  <w:tcW w:w="3371" w:type="pct"/>
                  <w:gridSpan w:val="3"/>
                  <w:vAlign w:val="center"/>
                </w:tcPr>
                <w:p>
                  <w:pPr>
                    <w:pStyle w:val="20"/>
                    <w:pageBreakBefore w:val="0"/>
                    <w:widowControl w:val="0"/>
                    <w:kinsoku/>
                    <w:wordWrap/>
                    <w:topLinePunct w:val="0"/>
                    <w:autoSpaceDE/>
                    <w:autoSpaceDN/>
                    <w:bidi w:val="0"/>
                    <w:textAlignment w:val="auto"/>
                  </w:pPr>
                  <w:r>
                    <w:t>本工程设计潜坝7座，总长163m，潜坝断面结构为：基础深2.0m，基础宽1.5m</w:t>
                  </w:r>
                  <w:r>
                    <w:rPr>
                      <w:rFonts w:hint="eastAsia"/>
                    </w:rPr>
                    <w:t>。</w:t>
                  </w:r>
                </w:p>
              </w:tc>
              <w:tc>
                <w:tcPr>
                  <w:tcW w:w="858" w:type="pct"/>
                  <w:vAlign w:val="center"/>
                </w:tcPr>
                <w:p>
                  <w:pPr>
                    <w:pStyle w:val="20"/>
                    <w:pageBreakBefore w:val="0"/>
                    <w:widowControl w:val="0"/>
                    <w:kinsoku/>
                    <w:wordWrap/>
                    <w:topLinePunct w:val="0"/>
                    <w:autoSpaceDE/>
                    <w:autoSpaceDN/>
                    <w:bidi w:val="0"/>
                    <w:textAlignment w:val="auto"/>
                  </w:pPr>
                  <w:r>
                    <w:rPr>
                      <w:rFonts w:hint="eastAsi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restart"/>
                  <w:vAlign w:val="center"/>
                </w:tcPr>
                <w:p>
                  <w:pPr>
                    <w:pStyle w:val="20"/>
                    <w:pageBreakBefore w:val="0"/>
                    <w:widowControl w:val="0"/>
                    <w:kinsoku/>
                    <w:wordWrap/>
                    <w:topLinePunct w:val="0"/>
                    <w:autoSpaceDE/>
                    <w:autoSpaceDN/>
                    <w:bidi w:val="0"/>
                    <w:textAlignment w:val="auto"/>
                  </w:pPr>
                  <w:r>
                    <w:rPr>
                      <w:rFonts w:hint="eastAsia"/>
                    </w:rPr>
                    <w:t>依托工程</w:t>
                  </w:r>
                </w:p>
              </w:tc>
              <w:tc>
                <w:tcPr>
                  <w:tcW w:w="387" w:type="pct"/>
                  <w:vAlign w:val="center"/>
                </w:tcPr>
                <w:p>
                  <w:pPr>
                    <w:pStyle w:val="20"/>
                    <w:pageBreakBefore w:val="0"/>
                    <w:widowControl w:val="0"/>
                    <w:kinsoku/>
                    <w:wordWrap/>
                    <w:topLinePunct w:val="0"/>
                    <w:autoSpaceDE/>
                    <w:autoSpaceDN/>
                    <w:bidi w:val="0"/>
                    <w:textAlignment w:val="auto"/>
                  </w:pPr>
                  <w:r>
                    <w:rPr>
                      <w:rFonts w:hint="eastAsia"/>
                    </w:rPr>
                    <w:t>给水</w:t>
                  </w:r>
                </w:p>
              </w:tc>
              <w:tc>
                <w:tcPr>
                  <w:tcW w:w="3371" w:type="pct"/>
                  <w:gridSpan w:val="3"/>
                  <w:vAlign w:val="center"/>
                </w:tcPr>
                <w:p>
                  <w:pPr>
                    <w:pStyle w:val="20"/>
                    <w:pageBreakBefore w:val="0"/>
                    <w:widowControl w:val="0"/>
                    <w:kinsoku/>
                    <w:wordWrap/>
                    <w:topLinePunct w:val="0"/>
                    <w:autoSpaceDE/>
                    <w:autoSpaceDN/>
                    <w:bidi w:val="0"/>
                    <w:textAlignment w:val="auto"/>
                  </w:pPr>
                  <w:r>
                    <w:rPr>
                      <w:rFonts w:hint="eastAsia"/>
                    </w:rPr>
                    <w:t>施工用水可由就近沟道中抽取，生活用水可从附近居民家中接取。</w:t>
                  </w:r>
                </w:p>
              </w:tc>
              <w:tc>
                <w:tcPr>
                  <w:tcW w:w="858" w:type="pct"/>
                  <w:vAlign w:val="center"/>
                </w:tcPr>
                <w:p>
                  <w:pPr>
                    <w:pStyle w:val="20"/>
                    <w:pageBreakBefore w:val="0"/>
                    <w:widowControl w:val="0"/>
                    <w:kinsoku/>
                    <w:wordWrap/>
                    <w:topLinePunct w:val="0"/>
                    <w:autoSpaceDE/>
                    <w:autoSpaceDN/>
                    <w:bidi w:val="0"/>
                    <w:textAlignment w:val="auto"/>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continue"/>
                  <w:vAlign w:val="center"/>
                </w:tcPr>
                <w:p>
                  <w:pPr>
                    <w:pStyle w:val="20"/>
                    <w:pageBreakBefore w:val="0"/>
                    <w:widowControl w:val="0"/>
                    <w:kinsoku/>
                    <w:wordWrap/>
                    <w:topLinePunct w:val="0"/>
                    <w:autoSpaceDE/>
                    <w:autoSpaceDN/>
                    <w:bidi w:val="0"/>
                    <w:textAlignment w:val="auto"/>
                  </w:pPr>
                </w:p>
              </w:tc>
              <w:tc>
                <w:tcPr>
                  <w:tcW w:w="387" w:type="pct"/>
                  <w:vAlign w:val="center"/>
                </w:tcPr>
                <w:p>
                  <w:pPr>
                    <w:pStyle w:val="20"/>
                    <w:pageBreakBefore w:val="0"/>
                    <w:widowControl w:val="0"/>
                    <w:kinsoku/>
                    <w:wordWrap/>
                    <w:topLinePunct w:val="0"/>
                    <w:autoSpaceDE/>
                    <w:autoSpaceDN/>
                    <w:bidi w:val="0"/>
                    <w:textAlignment w:val="auto"/>
                  </w:pPr>
                  <w:r>
                    <w:rPr>
                      <w:rFonts w:hint="eastAsia"/>
                    </w:rPr>
                    <w:t>排水</w:t>
                  </w:r>
                </w:p>
              </w:tc>
              <w:tc>
                <w:tcPr>
                  <w:tcW w:w="3371" w:type="pct"/>
                  <w:gridSpan w:val="3"/>
                  <w:vAlign w:val="center"/>
                </w:tcPr>
                <w:p>
                  <w:pPr>
                    <w:pStyle w:val="20"/>
                    <w:pageBreakBefore w:val="0"/>
                    <w:widowControl w:val="0"/>
                    <w:kinsoku/>
                    <w:wordWrap/>
                    <w:topLinePunct w:val="0"/>
                    <w:autoSpaceDE/>
                    <w:autoSpaceDN/>
                    <w:bidi w:val="0"/>
                    <w:textAlignment w:val="auto"/>
                  </w:pPr>
                  <w:r>
                    <w:rPr>
                      <w:rFonts w:hint="eastAsia"/>
                    </w:rPr>
                    <w:t>生活污水中人员洗漱类废水用于施工营地洒水抑尘，场地设置临时旱厕，由附近村民定期清掏用作农肥。</w:t>
                  </w:r>
                </w:p>
              </w:tc>
              <w:tc>
                <w:tcPr>
                  <w:tcW w:w="858" w:type="pct"/>
                  <w:vAlign w:val="center"/>
                </w:tcPr>
                <w:p>
                  <w:pPr>
                    <w:pStyle w:val="20"/>
                    <w:pageBreakBefore w:val="0"/>
                    <w:widowControl w:val="0"/>
                    <w:kinsoku/>
                    <w:wordWrap/>
                    <w:topLinePunct w:val="0"/>
                    <w:autoSpaceDE/>
                    <w:autoSpaceDN/>
                    <w:bidi w:val="0"/>
                    <w:textAlignment w:val="auto"/>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continue"/>
                  <w:vAlign w:val="center"/>
                </w:tcPr>
                <w:p>
                  <w:pPr>
                    <w:pStyle w:val="20"/>
                    <w:pageBreakBefore w:val="0"/>
                    <w:widowControl w:val="0"/>
                    <w:kinsoku/>
                    <w:wordWrap/>
                    <w:topLinePunct w:val="0"/>
                    <w:autoSpaceDE/>
                    <w:autoSpaceDN/>
                    <w:bidi w:val="0"/>
                    <w:textAlignment w:val="auto"/>
                  </w:pPr>
                </w:p>
              </w:tc>
              <w:tc>
                <w:tcPr>
                  <w:tcW w:w="387" w:type="pct"/>
                  <w:vAlign w:val="center"/>
                </w:tcPr>
                <w:p>
                  <w:pPr>
                    <w:pStyle w:val="20"/>
                    <w:pageBreakBefore w:val="0"/>
                    <w:widowControl w:val="0"/>
                    <w:kinsoku/>
                    <w:wordWrap/>
                    <w:topLinePunct w:val="0"/>
                    <w:autoSpaceDE/>
                    <w:autoSpaceDN/>
                    <w:bidi w:val="0"/>
                    <w:textAlignment w:val="auto"/>
                  </w:pPr>
                  <w:r>
                    <w:rPr>
                      <w:rFonts w:hint="eastAsia"/>
                    </w:rPr>
                    <w:t>供电</w:t>
                  </w:r>
                </w:p>
              </w:tc>
              <w:tc>
                <w:tcPr>
                  <w:tcW w:w="3371" w:type="pct"/>
                  <w:gridSpan w:val="3"/>
                  <w:vAlign w:val="center"/>
                </w:tcPr>
                <w:p>
                  <w:pPr>
                    <w:pStyle w:val="20"/>
                    <w:pageBreakBefore w:val="0"/>
                    <w:widowControl w:val="0"/>
                    <w:kinsoku/>
                    <w:wordWrap/>
                    <w:topLinePunct w:val="0"/>
                    <w:autoSpaceDE/>
                    <w:autoSpaceDN/>
                    <w:bidi w:val="0"/>
                    <w:textAlignment w:val="auto"/>
                  </w:pPr>
                  <w:r>
                    <w:t>工程施工营地用电从附近村庄农</w:t>
                  </w:r>
                  <w:r>
                    <w:rPr>
                      <w:rFonts w:hint="eastAsia"/>
                    </w:rPr>
                    <w:t>电网</w:t>
                  </w:r>
                  <w:r>
                    <w:t>接出，</w:t>
                  </w:r>
                  <w:r>
                    <w:rPr>
                      <w:rFonts w:hint="eastAsia"/>
                    </w:rPr>
                    <w:t>项目工程沿线用地</w:t>
                  </w:r>
                  <w:r>
                    <w:t>由施工单位自备柴油发电机进行解决</w:t>
                  </w:r>
                  <w:r>
                    <w:rPr>
                      <w:rFonts w:hint="eastAsia"/>
                    </w:rPr>
                    <w:t>。</w:t>
                  </w:r>
                </w:p>
              </w:tc>
              <w:tc>
                <w:tcPr>
                  <w:tcW w:w="858" w:type="pct"/>
                  <w:vAlign w:val="center"/>
                </w:tcPr>
                <w:p>
                  <w:pPr>
                    <w:pStyle w:val="20"/>
                    <w:pageBreakBefore w:val="0"/>
                    <w:widowControl w:val="0"/>
                    <w:kinsoku/>
                    <w:wordWrap/>
                    <w:topLinePunct w:val="0"/>
                    <w:autoSpaceDE/>
                    <w:autoSpaceDN/>
                    <w:bidi w:val="0"/>
                    <w:textAlignment w:val="auto"/>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restart"/>
                  <w:vAlign w:val="center"/>
                </w:tcPr>
                <w:p>
                  <w:pPr>
                    <w:pStyle w:val="20"/>
                    <w:pageBreakBefore w:val="0"/>
                    <w:widowControl w:val="0"/>
                    <w:kinsoku/>
                    <w:wordWrap/>
                    <w:topLinePunct w:val="0"/>
                    <w:autoSpaceDE/>
                    <w:autoSpaceDN/>
                    <w:bidi w:val="0"/>
                    <w:textAlignment w:val="auto"/>
                  </w:pPr>
                  <w:r>
                    <w:rPr>
                      <w:rFonts w:hint="eastAsia"/>
                    </w:rPr>
                    <w:t>环保工程</w:t>
                  </w:r>
                </w:p>
              </w:tc>
              <w:tc>
                <w:tcPr>
                  <w:tcW w:w="387" w:type="pct"/>
                  <w:vAlign w:val="center"/>
                </w:tcPr>
                <w:p>
                  <w:pPr>
                    <w:pStyle w:val="20"/>
                    <w:pageBreakBefore w:val="0"/>
                    <w:widowControl w:val="0"/>
                    <w:kinsoku/>
                    <w:wordWrap/>
                    <w:topLinePunct w:val="0"/>
                    <w:autoSpaceDE/>
                    <w:autoSpaceDN/>
                    <w:bidi w:val="0"/>
                    <w:textAlignment w:val="auto"/>
                  </w:pPr>
                  <w:r>
                    <w:rPr>
                      <w:rFonts w:hint="eastAsia"/>
                    </w:rPr>
                    <w:t>废气治理</w:t>
                  </w:r>
                </w:p>
              </w:tc>
              <w:tc>
                <w:tcPr>
                  <w:tcW w:w="3371" w:type="pct"/>
                  <w:gridSpan w:val="3"/>
                  <w:vAlign w:val="center"/>
                </w:tcPr>
                <w:p>
                  <w:pPr>
                    <w:pStyle w:val="20"/>
                    <w:pageBreakBefore w:val="0"/>
                    <w:widowControl w:val="0"/>
                    <w:kinsoku/>
                    <w:wordWrap/>
                    <w:topLinePunct w:val="0"/>
                    <w:autoSpaceDE/>
                    <w:autoSpaceDN/>
                    <w:bidi w:val="0"/>
                    <w:textAlignment w:val="auto"/>
                  </w:pPr>
                  <w:r>
                    <w:rPr>
                      <w:rFonts w:hint="eastAsia"/>
                    </w:rPr>
                    <w:t>路面洒水抑尘，分段施工、开挖土方及时回填处置。</w:t>
                  </w:r>
                </w:p>
              </w:tc>
              <w:tc>
                <w:tcPr>
                  <w:tcW w:w="858" w:type="pct"/>
                  <w:vAlign w:val="center"/>
                </w:tcPr>
                <w:p>
                  <w:pPr>
                    <w:pStyle w:val="20"/>
                    <w:pageBreakBefore w:val="0"/>
                    <w:widowControl w:val="0"/>
                    <w:kinsoku/>
                    <w:wordWrap/>
                    <w:topLinePunct w:val="0"/>
                    <w:autoSpaceDE/>
                    <w:autoSpaceDN/>
                    <w:bidi w:val="0"/>
                    <w:textAlignment w:val="auto"/>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continue"/>
                  <w:vAlign w:val="center"/>
                </w:tcPr>
                <w:p>
                  <w:pPr>
                    <w:pStyle w:val="20"/>
                    <w:pageBreakBefore w:val="0"/>
                    <w:widowControl w:val="0"/>
                    <w:kinsoku/>
                    <w:wordWrap/>
                    <w:topLinePunct w:val="0"/>
                    <w:autoSpaceDE/>
                    <w:autoSpaceDN/>
                    <w:bidi w:val="0"/>
                    <w:textAlignment w:val="auto"/>
                  </w:pPr>
                </w:p>
              </w:tc>
              <w:tc>
                <w:tcPr>
                  <w:tcW w:w="387" w:type="pct"/>
                  <w:vAlign w:val="center"/>
                </w:tcPr>
                <w:p>
                  <w:pPr>
                    <w:pStyle w:val="20"/>
                    <w:pageBreakBefore w:val="0"/>
                    <w:widowControl w:val="0"/>
                    <w:kinsoku/>
                    <w:wordWrap/>
                    <w:topLinePunct w:val="0"/>
                    <w:autoSpaceDE/>
                    <w:autoSpaceDN/>
                    <w:bidi w:val="0"/>
                    <w:textAlignment w:val="auto"/>
                  </w:pPr>
                  <w:r>
                    <w:rPr>
                      <w:rFonts w:hint="eastAsia"/>
                    </w:rPr>
                    <w:t>废水治理</w:t>
                  </w:r>
                </w:p>
              </w:tc>
              <w:tc>
                <w:tcPr>
                  <w:tcW w:w="3371" w:type="pct"/>
                  <w:gridSpan w:val="3"/>
                  <w:vAlign w:val="center"/>
                </w:tcPr>
                <w:p>
                  <w:pPr>
                    <w:pStyle w:val="20"/>
                    <w:pageBreakBefore w:val="0"/>
                    <w:widowControl w:val="0"/>
                    <w:kinsoku/>
                    <w:wordWrap/>
                    <w:topLinePunct w:val="0"/>
                    <w:autoSpaceDE/>
                    <w:autoSpaceDN/>
                    <w:bidi w:val="0"/>
                    <w:textAlignment w:val="auto"/>
                  </w:pPr>
                  <w:r>
                    <w:rPr>
                      <w:rFonts w:hint="eastAsia"/>
                    </w:rPr>
                    <w:t>小型混凝土拌合机安置点设废水收集池，拌合机清洗废水收集后循环使用，施工营地设置废水收集桶，人员洗漱废水收集后用于营地洒水抑尘；营地设置临时旱厕，粪便定期清运还田或还草。</w:t>
                  </w:r>
                </w:p>
              </w:tc>
              <w:tc>
                <w:tcPr>
                  <w:tcW w:w="858" w:type="pct"/>
                  <w:vAlign w:val="center"/>
                </w:tcPr>
                <w:p>
                  <w:pPr>
                    <w:pStyle w:val="20"/>
                    <w:pageBreakBefore w:val="0"/>
                    <w:widowControl w:val="0"/>
                    <w:kinsoku/>
                    <w:wordWrap/>
                    <w:topLinePunct w:val="0"/>
                    <w:autoSpaceDE/>
                    <w:autoSpaceDN/>
                    <w:bidi w:val="0"/>
                    <w:textAlignment w:val="auto"/>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continue"/>
                  <w:vAlign w:val="center"/>
                </w:tcPr>
                <w:p>
                  <w:pPr>
                    <w:pStyle w:val="20"/>
                    <w:pageBreakBefore w:val="0"/>
                    <w:widowControl w:val="0"/>
                    <w:kinsoku/>
                    <w:wordWrap/>
                    <w:topLinePunct w:val="0"/>
                    <w:autoSpaceDE/>
                    <w:autoSpaceDN/>
                    <w:bidi w:val="0"/>
                    <w:textAlignment w:val="auto"/>
                  </w:pPr>
                </w:p>
              </w:tc>
              <w:tc>
                <w:tcPr>
                  <w:tcW w:w="387" w:type="pct"/>
                  <w:vAlign w:val="center"/>
                </w:tcPr>
                <w:p>
                  <w:pPr>
                    <w:pStyle w:val="20"/>
                    <w:pageBreakBefore w:val="0"/>
                    <w:widowControl w:val="0"/>
                    <w:kinsoku/>
                    <w:wordWrap/>
                    <w:topLinePunct w:val="0"/>
                    <w:autoSpaceDE/>
                    <w:autoSpaceDN/>
                    <w:bidi w:val="0"/>
                    <w:textAlignment w:val="auto"/>
                  </w:pPr>
                  <w:r>
                    <w:rPr>
                      <w:rFonts w:hint="eastAsia"/>
                    </w:rPr>
                    <w:t>噪声治理</w:t>
                  </w:r>
                </w:p>
              </w:tc>
              <w:tc>
                <w:tcPr>
                  <w:tcW w:w="3371" w:type="pct"/>
                  <w:gridSpan w:val="3"/>
                  <w:vAlign w:val="center"/>
                </w:tcPr>
                <w:p>
                  <w:pPr>
                    <w:pStyle w:val="20"/>
                    <w:pageBreakBefore w:val="0"/>
                    <w:widowControl w:val="0"/>
                    <w:kinsoku/>
                    <w:wordWrap/>
                    <w:topLinePunct w:val="0"/>
                    <w:autoSpaceDE/>
                    <w:autoSpaceDN/>
                    <w:bidi w:val="0"/>
                    <w:textAlignment w:val="auto"/>
                  </w:pPr>
                  <w:r>
                    <w:rPr>
                      <w:rFonts w:hint="eastAsia"/>
                    </w:rPr>
                    <w:t>采用低噪声设备，施工营地内设备禁止夜间运行。</w:t>
                  </w:r>
                </w:p>
              </w:tc>
              <w:tc>
                <w:tcPr>
                  <w:tcW w:w="858" w:type="pct"/>
                  <w:vAlign w:val="center"/>
                </w:tcPr>
                <w:p>
                  <w:pPr>
                    <w:pStyle w:val="20"/>
                    <w:pageBreakBefore w:val="0"/>
                    <w:widowControl w:val="0"/>
                    <w:kinsoku/>
                    <w:wordWrap/>
                    <w:topLinePunct w:val="0"/>
                    <w:autoSpaceDE/>
                    <w:autoSpaceDN/>
                    <w:bidi w:val="0"/>
                    <w:textAlignment w:val="auto"/>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continue"/>
                  <w:vAlign w:val="center"/>
                </w:tcPr>
                <w:p>
                  <w:pPr>
                    <w:pStyle w:val="20"/>
                    <w:pageBreakBefore w:val="0"/>
                    <w:widowControl w:val="0"/>
                    <w:kinsoku/>
                    <w:wordWrap/>
                    <w:topLinePunct w:val="0"/>
                    <w:autoSpaceDE/>
                    <w:autoSpaceDN/>
                    <w:bidi w:val="0"/>
                    <w:textAlignment w:val="auto"/>
                  </w:pPr>
                </w:p>
              </w:tc>
              <w:tc>
                <w:tcPr>
                  <w:tcW w:w="387" w:type="pct"/>
                  <w:vAlign w:val="center"/>
                </w:tcPr>
                <w:p>
                  <w:pPr>
                    <w:pStyle w:val="20"/>
                    <w:pageBreakBefore w:val="0"/>
                    <w:widowControl w:val="0"/>
                    <w:kinsoku/>
                    <w:wordWrap/>
                    <w:topLinePunct w:val="0"/>
                    <w:autoSpaceDE/>
                    <w:autoSpaceDN/>
                    <w:bidi w:val="0"/>
                    <w:textAlignment w:val="auto"/>
                  </w:pPr>
                  <w:r>
                    <w:rPr>
                      <w:rFonts w:hint="eastAsia"/>
                    </w:rPr>
                    <w:t>固废治理</w:t>
                  </w:r>
                </w:p>
              </w:tc>
              <w:tc>
                <w:tcPr>
                  <w:tcW w:w="3371" w:type="pct"/>
                  <w:gridSpan w:val="3"/>
                  <w:vAlign w:val="center"/>
                </w:tcPr>
                <w:p>
                  <w:pPr>
                    <w:pStyle w:val="20"/>
                    <w:pageBreakBefore w:val="0"/>
                    <w:widowControl w:val="0"/>
                    <w:kinsoku/>
                    <w:wordWrap/>
                    <w:topLinePunct w:val="0"/>
                    <w:autoSpaceDE/>
                    <w:autoSpaceDN/>
                    <w:bidi w:val="0"/>
                    <w:textAlignment w:val="auto"/>
                  </w:pPr>
                  <w:r>
                    <w:rPr>
                      <w:rFonts w:hint="eastAsia"/>
                    </w:rPr>
                    <w:t>施工营地生活垃圾收集后运至村庄生活垃圾集中收集点，建筑垃圾中废砖块、钢筋等</w:t>
                  </w:r>
                  <w:r>
                    <w:rPr>
                      <w:rFonts w:hint="eastAsia"/>
                      <w:lang w:eastAsia="zh-CN"/>
                    </w:rPr>
                    <w:t>交由废品回收站回收利用</w:t>
                  </w:r>
                  <w:r>
                    <w:rPr>
                      <w:rFonts w:hint="eastAsia"/>
                    </w:rPr>
                    <w:t>，废砂石渣等用于村庄道路坑洼处铺填；开挖土方用于项目</w:t>
                  </w:r>
                  <w:r>
                    <w:rPr>
                      <w:rFonts w:hint="eastAsia"/>
                      <w:lang w:eastAsia="zh-CN"/>
                    </w:rPr>
                    <w:t>本工程</w:t>
                  </w:r>
                  <w:r>
                    <w:rPr>
                      <w:rFonts w:hint="eastAsia"/>
                    </w:rPr>
                    <w:t>填方回用，剩余部分用于项目沿线场地整理。</w:t>
                  </w:r>
                </w:p>
              </w:tc>
              <w:tc>
                <w:tcPr>
                  <w:tcW w:w="858" w:type="pct"/>
                  <w:vAlign w:val="center"/>
                </w:tcPr>
                <w:p>
                  <w:pPr>
                    <w:pStyle w:val="20"/>
                    <w:pageBreakBefore w:val="0"/>
                    <w:widowControl w:val="0"/>
                    <w:kinsoku/>
                    <w:wordWrap/>
                    <w:topLinePunct w:val="0"/>
                    <w:autoSpaceDE/>
                    <w:autoSpaceDN/>
                    <w:bidi w:val="0"/>
                    <w:textAlignment w:val="auto"/>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continue"/>
                  <w:vAlign w:val="center"/>
                </w:tcPr>
                <w:p>
                  <w:pPr>
                    <w:pStyle w:val="20"/>
                    <w:pageBreakBefore w:val="0"/>
                    <w:widowControl w:val="0"/>
                    <w:kinsoku/>
                    <w:wordWrap/>
                    <w:topLinePunct w:val="0"/>
                    <w:autoSpaceDE/>
                    <w:autoSpaceDN/>
                    <w:bidi w:val="0"/>
                    <w:textAlignment w:val="auto"/>
                  </w:pPr>
                </w:p>
              </w:tc>
              <w:tc>
                <w:tcPr>
                  <w:tcW w:w="387" w:type="pct"/>
                  <w:vAlign w:val="center"/>
                </w:tcPr>
                <w:p>
                  <w:pPr>
                    <w:pStyle w:val="20"/>
                    <w:pageBreakBefore w:val="0"/>
                    <w:widowControl w:val="0"/>
                    <w:kinsoku/>
                    <w:wordWrap/>
                    <w:topLinePunct w:val="0"/>
                    <w:autoSpaceDE/>
                    <w:autoSpaceDN/>
                    <w:bidi w:val="0"/>
                    <w:textAlignment w:val="auto"/>
                  </w:pPr>
                  <w:r>
                    <w:rPr>
                      <w:rFonts w:hint="eastAsia"/>
                    </w:rPr>
                    <w:t>生态环境</w:t>
                  </w:r>
                </w:p>
              </w:tc>
              <w:tc>
                <w:tcPr>
                  <w:tcW w:w="3371" w:type="pct"/>
                  <w:gridSpan w:val="3"/>
                  <w:vAlign w:val="center"/>
                </w:tcPr>
                <w:p>
                  <w:pPr>
                    <w:pStyle w:val="20"/>
                    <w:pageBreakBefore w:val="0"/>
                    <w:widowControl w:val="0"/>
                    <w:kinsoku/>
                    <w:wordWrap/>
                    <w:topLinePunct w:val="0"/>
                    <w:autoSpaceDE/>
                    <w:autoSpaceDN/>
                    <w:bidi w:val="0"/>
                    <w:textAlignment w:val="auto"/>
                  </w:pPr>
                  <w:r>
                    <w:rPr>
                      <w:rFonts w:hint="eastAsia"/>
                    </w:rPr>
                    <w:t>严格控制施工作业带宽度，基地平整恢复植被，建筑垃圾及施工余料收集清运后合理处置。</w:t>
                  </w:r>
                </w:p>
              </w:tc>
              <w:tc>
                <w:tcPr>
                  <w:tcW w:w="858" w:type="pct"/>
                  <w:vAlign w:val="center"/>
                </w:tcPr>
                <w:p>
                  <w:pPr>
                    <w:pStyle w:val="20"/>
                    <w:pageBreakBefore w:val="0"/>
                    <w:widowControl w:val="0"/>
                    <w:kinsoku/>
                    <w:wordWrap/>
                    <w:topLinePunct w:val="0"/>
                    <w:autoSpaceDE/>
                    <w:autoSpaceDN/>
                    <w:bidi w:val="0"/>
                    <w:textAlignment w:val="auto"/>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restart"/>
                  <w:vAlign w:val="center"/>
                </w:tcPr>
                <w:p>
                  <w:pPr>
                    <w:pStyle w:val="20"/>
                    <w:pageBreakBefore w:val="0"/>
                    <w:widowControl w:val="0"/>
                    <w:kinsoku/>
                    <w:wordWrap/>
                    <w:topLinePunct w:val="0"/>
                    <w:autoSpaceDE/>
                    <w:autoSpaceDN/>
                    <w:bidi w:val="0"/>
                    <w:textAlignment w:val="auto"/>
                  </w:pPr>
                  <w:r>
                    <w:rPr>
                      <w:rFonts w:hint="eastAsia"/>
                    </w:rPr>
                    <w:t>临时工程</w:t>
                  </w:r>
                </w:p>
              </w:tc>
              <w:tc>
                <w:tcPr>
                  <w:tcW w:w="387" w:type="pct"/>
                  <w:vAlign w:val="center"/>
                </w:tcPr>
                <w:p>
                  <w:pPr>
                    <w:pStyle w:val="20"/>
                    <w:pageBreakBefore w:val="0"/>
                    <w:widowControl w:val="0"/>
                    <w:kinsoku/>
                    <w:wordWrap/>
                    <w:topLinePunct w:val="0"/>
                    <w:autoSpaceDE/>
                    <w:autoSpaceDN/>
                    <w:bidi w:val="0"/>
                    <w:textAlignment w:val="auto"/>
                  </w:pPr>
                  <w:r>
                    <w:rPr>
                      <w:rFonts w:hint="eastAsia"/>
                    </w:rPr>
                    <w:t>施工营地</w:t>
                  </w:r>
                </w:p>
              </w:tc>
              <w:tc>
                <w:tcPr>
                  <w:tcW w:w="3371" w:type="pct"/>
                  <w:gridSpan w:val="3"/>
                  <w:vAlign w:val="center"/>
                </w:tcPr>
                <w:p>
                  <w:pPr>
                    <w:pStyle w:val="20"/>
                    <w:pageBreakBefore w:val="0"/>
                    <w:widowControl w:val="0"/>
                    <w:kinsoku/>
                    <w:wordWrap/>
                    <w:topLinePunct w:val="0"/>
                    <w:autoSpaceDE/>
                    <w:autoSpaceDN/>
                    <w:bidi w:val="0"/>
                    <w:textAlignment w:val="auto"/>
                  </w:pPr>
                  <w:r>
                    <w:rPr>
                      <w:rFonts w:hint="eastAsia"/>
                    </w:rPr>
                    <w:t>项目设置2处施工营地，位于茫拉乡却旦塘村，占地面积2000m</w:t>
                  </w:r>
                  <w:r>
                    <w:rPr>
                      <w:rFonts w:hint="eastAsia"/>
                      <w:vertAlign w:val="superscript"/>
                    </w:rPr>
                    <w:t>2</w:t>
                  </w:r>
                  <w:r>
                    <w:rPr>
                      <w:rFonts w:hint="eastAsia"/>
                    </w:rPr>
                    <w:t>，占地类型为荒草地，场地为砂石地面，用于施工时搭建帐篷、临时堆存建筑材料等。</w:t>
                  </w:r>
                </w:p>
              </w:tc>
              <w:tc>
                <w:tcPr>
                  <w:tcW w:w="858" w:type="pct"/>
                  <w:vAlign w:val="center"/>
                </w:tcPr>
                <w:p>
                  <w:pPr>
                    <w:pStyle w:val="20"/>
                    <w:pageBreakBefore w:val="0"/>
                    <w:widowControl w:val="0"/>
                    <w:kinsoku/>
                    <w:wordWrap/>
                    <w:topLinePunct w:val="0"/>
                    <w:autoSpaceDE/>
                    <w:autoSpaceDN/>
                    <w:bidi w:val="0"/>
                    <w:textAlignment w:val="auto"/>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384" w:type="pct"/>
                  <w:vMerge w:val="continue"/>
                  <w:vAlign w:val="center"/>
                </w:tcPr>
                <w:p>
                  <w:pPr>
                    <w:pStyle w:val="20"/>
                    <w:pageBreakBefore w:val="0"/>
                    <w:widowControl w:val="0"/>
                    <w:kinsoku/>
                    <w:wordWrap/>
                    <w:topLinePunct w:val="0"/>
                    <w:autoSpaceDE/>
                    <w:autoSpaceDN/>
                    <w:bidi w:val="0"/>
                    <w:textAlignment w:val="auto"/>
                  </w:pPr>
                </w:p>
              </w:tc>
              <w:tc>
                <w:tcPr>
                  <w:tcW w:w="387" w:type="pct"/>
                  <w:vAlign w:val="center"/>
                </w:tcPr>
                <w:p>
                  <w:pPr>
                    <w:pStyle w:val="20"/>
                    <w:pageBreakBefore w:val="0"/>
                    <w:widowControl w:val="0"/>
                    <w:kinsoku/>
                    <w:wordWrap/>
                    <w:topLinePunct w:val="0"/>
                    <w:autoSpaceDE/>
                    <w:autoSpaceDN/>
                    <w:bidi w:val="0"/>
                    <w:textAlignment w:val="auto"/>
                  </w:pPr>
                  <w:r>
                    <w:rPr>
                      <w:rFonts w:hint="eastAsia"/>
                    </w:rPr>
                    <w:t>临时便道</w:t>
                  </w:r>
                </w:p>
              </w:tc>
              <w:tc>
                <w:tcPr>
                  <w:tcW w:w="3371" w:type="pct"/>
                  <w:gridSpan w:val="3"/>
                  <w:vAlign w:val="center"/>
                </w:tcPr>
                <w:p>
                  <w:pPr>
                    <w:pStyle w:val="20"/>
                    <w:pageBreakBefore w:val="0"/>
                    <w:widowControl w:val="0"/>
                    <w:kinsoku/>
                    <w:wordWrap/>
                    <w:topLinePunct w:val="0"/>
                    <w:autoSpaceDE/>
                    <w:autoSpaceDN/>
                    <w:bidi w:val="0"/>
                    <w:textAlignment w:val="auto"/>
                  </w:pPr>
                  <w:r>
                    <w:rPr>
                      <w:rFonts w:hint="eastAsia"/>
                    </w:rPr>
                    <w:t>项目施工临时便道在工程管沟施工作业带范围内设置，即利用工程现有便道，仅对沿线因洪水冲刷塌方路段及安全施工作业宽度不足路段进行平整，工程不新设施工便道，以避免增加施工临时占地面积。</w:t>
                  </w:r>
                </w:p>
              </w:tc>
              <w:tc>
                <w:tcPr>
                  <w:tcW w:w="858" w:type="pct"/>
                  <w:vAlign w:val="center"/>
                </w:tcPr>
                <w:p>
                  <w:pPr>
                    <w:pStyle w:val="20"/>
                    <w:pageBreakBefore w:val="0"/>
                    <w:widowControl w:val="0"/>
                    <w:kinsoku/>
                    <w:wordWrap/>
                    <w:topLinePunct w:val="0"/>
                    <w:autoSpaceDE/>
                    <w:autoSpaceDN/>
                    <w:bidi w:val="0"/>
                    <w:textAlignment w:val="auto"/>
                  </w:pPr>
                  <w:r>
                    <w:rPr>
                      <w:rFonts w:hint="eastAsia"/>
                    </w:rPr>
                    <w:t>--</w:t>
                  </w:r>
                </w:p>
              </w:tc>
            </w:tr>
          </w:tbl>
          <w:p>
            <w:pPr>
              <w:pStyle w:val="3"/>
              <w:pageBreakBefore w:val="0"/>
              <w:kinsoku/>
              <w:wordWrap/>
              <w:topLinePunct w:val="0"/>
              <w:autoSpaceDE/>
              <w:autoSpaceDN/>
              <w:bidi w:val="0"/>
              <w:textAlignment w:val="auto"/>
            </w:pPr>
            <w:r>
              <w:rPr>
                <w:rFonts w:hint="eastAsia"/>
              </w:rPr>
              <w:t>4.工程设计等级</w:t>
            </w:r>
          </w:p>
          <w:p>
            <w:pPr>
              <w:pStyle w:val="13"/>
              <w:pageBreakBefore w:val="0"/>
              <w:kinsoku/>
              <w:wordWrap/>
              <w:topLinePunct w:val="0"/>
              <w:autoSpaceDE/>
              <w:autoSpaceDN/>
              <w:bidi w:val="0"/>
              <w:ind w:firstLine="480"/>
              <w:textAlignment w:val="auto"/>
            </w:pPr>
            <w:r>
              <w:t>项目区共涉及灌溉面积为2000亩，其中却旦塘灌区灌溉面积为1200亩，下洛哇灌区灌溉面积为800亩，灌溉面积均小于</w:t>
            </w:r>
            <w:r>
              <w:rPr>
                <w:rFonts w:hint="eastAsia"/>
              </w:rPr>
              <w:t>0.5</w:t>
            </w:r>
            <w:r>
              <w:t>万亩，故该工程等别为V等，工程规模为小（Ⅱ）型工程。</w:t>
            </w:r>
          </w:p>
          <w:p>
            <w:pPr>
              <w:pStyle w:val="3"/>
              <w:pageBreakBefore w:val="0"/>
              <w:kinsoku/>
              <w:wordWrap/>
              <w:topLinePunct w:val="0"/>
              <w:autoSpaceDE/>
              <w:autoSpaceDN/>
              <w:bidi w:val="0"/>
              <w:textAlignment w:val="auto"/>
            </w:pPr>
            <w:r>
              <w:rPr>
                <w:rFonts w:hint="eastAsia"/>
              </w:rPr>
              <w:t>5.灌溉制度设计</w:t>
            </w:r>
          </w:p>
          <w:p>
            <w:pPr>
              <w:pStyle w:val="13"/>
              <w:pageBreakBefore w:val="0"/>
              <w:kinsoku/>
              <w:wordWrap/>
              <w:topLinePunct w:val="0"/>
              <w:autoSpaceDE/>
              <w:autoSpaceDN/>
              <w:bidi w:val="0"/>
              <w:ind w:firstLine="480"/>
              <w:textAlignment w:val="auto"/>
              <w:rPr>
                <w:rFonts w:hint="eastAsia" w:eastAsia="宋体"/>
                <w:lang w:eastAsia="zh-CN"/>
              </w:rPr>
            </w:pPr>
            <w:r>
              <w:rPr>
                <w:rFonts w:hint="eastAsia"/>
              </w:rPr>
              <w:t>灌溉定额的分析计算与灌溉制度的拟定，主要依据我省已颁布的灌溉定额，结合当地多年灌溉办法和农田灌溉经验进行确定，项目区主要种植作物为小麦、青稞、油菜、洋芋、林地。根据2015版《青海省用水定额》，黄河干流区农田灌溉用水定额确定。</w:t>
            </w:r>
          </w:p>
          <w:p>
            <w:pPr>
              <w:pStyle w:val="13"/>
              <w:pageBreakBefore w:val="0"/>
              <w:kinsoku/>
              <w:wordWrap/>
              <w:topLinePunct w:val="0"/>
              <w:autoSpaceDE/>
              <w:autoSpaceDN/>
              <w:bidi w:val="0"/>
              <w:ind w:firstLine="480"/>
              <w:textAlignment w:val="auto"/>
              <w:rPr>
                <w:rFonts w:hint="eastAsia" w:eastAsia="宋体"/>
                <w:lang w:eastAsia="zh-CN"/>
              </w:rPr>
            </w:pPr>
            <w:r>
              <w:rPr>
                <w:rFonts w:hint="eastAsia"/>
              </w:rPr>
              <w:t>（1）灌溉设计保证率</w:t>
            </w:r>
          </w:p>
          <w:p>
            <w:pPr>
              <w:pStyle w:val="13"/>
              <w:pageBreakBefore w:val="0"/>
              <w:kinsoku/>
              <w:wordWrap/>
              <w:topLinePunct w:val="0"/>
              <w:autoSpaceDE/>
              <w:autoSpaceDN/>
              <w:bidi w:val="0"/>
              <w:ind w:firstLine="480"/>
              <w:textAlignment w:val="auto"/>
            </w:pPr>
            <w:r>
              <w:rPr>
                <w:rFonts w:hint="eastAsia"/>
              </w:rPr>
              <w:t>根据国家《灌溉与排水工程设计规范》（GB50288-2018）中规定，干旱地区灌溉设计保证率为50%～75%，项目区年降水量少且时空分布不均，年蒸发量大，属半干旱区。原设计灌区灌溉保障率也采用75%，为充分合理地利用水资源，本次灌区设计灌溉保证率采用75%。</w:t>
            </w:r>
          </w:p>
          <w:p>
            <w:pPr>
              <w:pStyle w:val="13"/>
              <w:pageBreakBefore w:val="0"/>
              <w:kinsoku/>
              <w:wordWrap/>
              <w:topLinePunct w:val="0"/>
              <w:autoSpaceDE/>
              <w:autoSpaceDN/>
              <w:bidi w:val="0"/>
              <w:ind w:firstLine="480"/>
              <w:textAlignment w:val="auto"/>
            </w:pPr>
            <w:r>
              <w:rPr>
                <w:rFonts w:hint="eastAsia"/>
              </w:rPr>
              <w:t>（2）种植类型及种植比例</w:t>
            </w:r>
          </w:p>
          <w:p>
            <w:pPr>
              <w:pStyle w:val="13"/>
              <w:pageBreakBefore w:val="0"/>
              <w:kinsoku/>
              <w:wordWrap/>
              <w:topLinePunct w:val="0"/>
              <w:autoSpaceDE/>
              <w:autoSpaceDN/>
              <w:bidi w:val="0"/>
              <w:ind w:firstLine="480"/>
              <w:textAlignment w:val="auto"/>
              <w:rPr>
                <w:rFonts w:hint="eastAsia" w:eastAsia="宋体"/>
                <w:lang w:eastAsia="zh-CN"/>
              </w:rPr>
            </w:pPr>
            <w:r>
              <w:t>却旦塘灌区和下洛哇灌区，农作物种植结构相同，种植作物主要为小麦、青稞、油菜、洋芋、林地。</w:t>
            </w:r>
          </w:p>
          <w:p>
            <w:pPr>
              <w:pStyle w:val="13"/>
              <w:pageBreakBefore w:val="0"/>
              <w:kinsoku/>
              <w:wordWrap/>
              <w:topLinePunct w:val="0"/>
              <w:autoSpaceDE/>
              <w:autoSpaceDN/>
              <w:bidi w:val="0"/>
              <w:ind w:firstLine="480"/>
              <w:textAlignment w:val="auto"/>
              <w:rPr>
                <w:rFonts w:hint="eastAsia" w:eastAsia="宋体"/>
                <w:lang w:eastAsia="zh-CN"/>
              </w:rPr>
            </w:pPr>
            <w:r>
              <w:t>却旦塘灌区小麦种植面积为120亩，占种植面积的10%；青稞种植面积为525亩，占种植面积的44%；油菜种植面积为420亩，占种植面积的35%；洋芋种植面积为60亩，占种植面积的5%；林地种植面积</w:t>
            </w:r>
            <w:r>
              <w:rPr>
                <w:rFonts w:hint="eastAsia"/>
              </w:rPr>
              <w:t>75</w:t>
            </w:r>
            <w:r>
              <w:t>亩，占种植面积的6%。</w:t>
            </w:r>
          </w:p>
          <w:p>
            <w:pPr>
              <w:pStyle w:val="13"/>
              <w:pageBreakBefore w:val="0"/>
              <w:kinsoku/>
              <w:wordWrap/>
              <w:topLinePunct w:val="0"/>
              <w:autoSpaceDE/>
              <w:autoSpaceDN/>
              <w:bidi w:val="0"/>
              <w:ind w:firstLine="480"/>
              <w:textAlignment w:val="auto"/>
            </w:pPr>
            <w:r>
              <w:t>下洛哇灌区小麦种植面积为</w:t>
            </w:r>
            <w:r>
              <w:rPr>
                <w:rFonts w:hint="eastAsia"/>
              </w:rPr>
              <w:t>80</w:t>
            </w:r>
            <w:r>
              <w:t>亩，占种植面积的10%；青稞种植面积为340亩，占种植面积的43%；油菜种植面积为</w:t>
            </w:r>
            <w:r>
              <w:rPr>
                <w:rFonts w:hint="eastAsia"/>
              </w:rPr>
              <w:t>280</w:t>
            </w:r>
            <w:r>
              <w:t>亩，占种植面积的35%；洋芋种植面积为</w:t>
            </w:r>
            <w:r>
              <w:rPr>
                <w:rFonts w:hint="eastAsia"/>
              </w:rPr>
              <w:t>40</w:t>
            </w:r>
            <w:r>
              <w:t>亩，占种植面积的5%；林地种植面积</w:t>
            </w:r>
            <w:r>
              <w:rPr>
                <w:rFonts w:hint="eastAsia"/>
              </w:rPr>
              <w:t>60</w:t>
            </w:r>
            <w:r>
              <w:t>亩，占种植面积的7%。</w:t>
            </w:r>
          </w:p>
          <w:p>
            <w:pPr>
              <w:pStyle w:val="13"/>
              <w:pageBreakBefore w:val="0"/>
              <w:kinsoku/>
              <w:wordWrap/>
              <w:topLinePunct w:val="0"/>
              <w:autoSpaceDE/>
              <w:autoSpaceDN/>
              <w:bidi w:val="0"/>
              <w:ind w:firstLine="480"/>
              <w:textAlignment w:val="auto"/>
              <w:rPr>
                <w:rFonts w:hint="eastAsia" w:eastAsia="宋体"/>
                <w:lang w:eastAsia="zh-CN"/>
              </w:rPr>
            </w:pPr>
            <w:r>
              <w:rPr>
                <w:rFonts w:hint="eastAsia"/>
              </w:rPr>
              <w:t>（3）灌溉水利用系数</w:t>
            </w:r>
          </w:p>
          <w:p>
            <w:pPr>
              <w:pStyle w:val="13"/>
              <w:pageBreakBefore w:val="0"/>
              <w:kinsoku/>
              <w:wordWrap/>
              <w:topLinePunct w:val="0"/>
              <w:autoSpaceDE/>
              <w:autoSpaceDN/>
              <w:bidi w:val="0"/>
              <w:ind w:firstLine="480"/>
              <w:textAlignment w:val="auto"/>
            </w:pPr>
            <w:r>
              <w:t>根据《灌溉与排水工程设计规范》（GB50288-2018）、《管道输水灌溉工程技术规范》（GB/T20203-2017），结合当地实际情况，并参考同类工程情况，确定干管水利用系数为η干为0.97，支管水利用系数为η支管为0.97，支渠水利用系数为η支渠为0.8，斗渠水利用系数为η斗为0.75，田间水利用系数η田为0.9。</w:t>
            </w:r>
          </w:p>
          <w:p>
            <w:pPr>
              <w:pStyle w:val="13"/>
              <w:pageBreakBefore w:val="0"/>
              <w:kinsoku/>
              <w:wordWrap/>
              <w:topLinePunct w:val="0"/>
              <w:autoSpaceDE/>
              <w:autoSpaceDN/>
              <w:bidi w:val="0"/>
              <w:ind w:firstLine="480"/>
              <w:textAlignment w:val="auto"/>
            </w:pPr>
            <w:r>
              <w:t>灌区修建干管、支管，因却旦塘灌区含有干管、支管、斗渠，根据公式计算灌溉水利用系数得：η＝η干×η支管×η斗×η田=0.97×0.97×0.75×0.9=0.64。</w:t>
            </w:r>
          </w:p>
          <w:p>
            <w:pPr>
              <w:pStyle w:val="13"/>
              <w:pageBreakBefore w:val="0"/>
              <w:kinsoku/>
              <w:wordWrap/>
              <w:topLinePunct w:val="0"/>
              <w:autoSpaceDE/>
              <w:autoSpaceDN/>
              <w:bidi w:val="0"/>
              <w:ind w:firstLine="480"/>
              <w:textAlignment w:val="auto"/>
              <w:rPr>
                <w:rFonts w:hint="eastAsia" w:eastAsia="宋体"/>
                <w:lang w:eastAsia="zh-CN"/>
              </w:rPr>
            </w:pPr>
            <w:r>
              <w:rPr>
                <w:rFonts w:hint="eastAsia"/>
              </w:rPr>
              <w:t>（4）灌水定额与灌水次数</w:t>
            </w:r>
          </w:p>
          <w:p>
            <w:pPr>
              <w:pStyle w:val="13"/>
              <w:pageBreakBefore w:val="0"/>
              <w:kinsoku/>
              <w:wordWrap/>
              <w:topLinePunct w:val="0"/>
              <w:autoSpaceDE/>
              <w:autoSpaceDN/>
              <w:bidi w:val="0"/>
              <w:ind w:firstLine="480"/>
              <w:textAlignment w:val="auto"/>
            </w:pPr>
            <w:r>
              <w:t>根据《青海省用水定额》（DB63/T1429-2015）并结合项目区多年灌溉经验，确定小麦和青稞灌溉用水定额均为325m³/亩，灌水均为5次；油菜灌水定额为260m³/亩，灌水次数为4次；洋芋灌水定额200m³/亩，灌水次数为4次；林地灌水定额240m³/亩，灌水次数为4次</w:t>
            </w:r>
            <w:r>
              <w:rPr>
                <w:rFonts w:hint="eastAsia"/>
              </w:rPr>
              <w:t>。</w:t>
            </w:r>
            <w:r>
              <w:t>灌区最大净灌水率为0.29m³/s•万亩，毛灌水率为0.45m³/s•万亩。</w:t>
            </w:r>
          </w:p>
          <w:p>
            <w:pPr>
              <w:pStyle w:val="13"/>
              <w:pageBreakBefore w:val="0"/>
              <w:kinsoku/>
              <w:wordWrap/>
              <w:topLinePunct w:val="0"/>
              <w:autoSpaceDE/>
              <w:autoSpaceDN/>
              <w:bidi w:val="0"/>
              <w:ind w:firstLine="480"/>
              <w:textAlignment w:val="auto"/>
              <w:rPr>
                <w:rFonts w:hint="eastAsia" w:eastAsia="宋体"/>
                <w:lang w:eastAsia="zh-CN"/>
              </w:rPr>
            </w:pPr>
            <w:r>
              <w:rPr>
                <w:rFonts w:hint="eastAsia"/>
              </w:rPr>
              <w:t>（5）灌溉方式</w:t>
            </w:r>
          </w:p>
          <w:p>
            <w:pPr>
              <w:pStyle w:val="13"/>
              <w:pageBreakBefore w:val="0"/>
              <w:kinsoku/>
              <w:wordWrap/>
              <w:topLinePunct w:val="0"/>
              <w:autoSpaceDE/>
              <w:autoSpaceDN/>
              <w:bidi w:val="0"/>
              <w:ind w:firstLine="480"/>
              <w:textAlignment w:val="auto"/>
            </w:pPr>
            <w:r>
              <w:rPr>
                <w:rFonts w:hint="eastAsia"/>
              </w:rPr>
              <w:t>却旦塘灌区灌溉面积1200亩，由干管输水，通过支管利用灌区已建成的斗渠及农口按田块进行轮灌。下洛哇灌区灌溉面积800亩，由干管输水，通过已建支渠、斗渠及农口按田块进行轮灌。</w:t>
            </w:r>
          </w:p>
          <w:p>
            <w:pPr>
              <w:pStyle w:val="13"/>
              <w:pageBreakBefore w:val="0"/>
              <w:kinsoku/>
              <w:wordWrap/>
              <w:topLinePunct w:val="0"/>
              <w:autoSpaceDE/>
              <w:autoSpaceDN/>
              <w:bidi w:val="0"/>
              <w:ind w:firstLine="480"/>
              <w:textAlignment w:val="auto"/>
            </w:pPr>
            <w:r>
              <w:rPr>
                <w:rFonts w:hint="eastAsia"/>
              </w:rPr>
              <w:t>（6）灌溉设计流量</w:t>
            </w:r>
          </w:p>
          <w:p>
            <w:pPr>
              <w:pStyle w:val="21"/>
              <w:pageBreakBefore w:val="0"/>
              <w:kinsoku/>
              <w:wordWrap/>
              <w:topLinePunct w:val="0"/>
              <w:autoSpaceDE/>
              <w:autoSpaceDN/>
              <w:bidi w:val="0"/>
              <w:textAlignment w:val="auto"/>
            </w:pPr>
            <w:r>
              <w:rPr>
                <w:rFonts w:hint="eastAsia"/>
              </w:rPr>
              <w:t>表2-4  却旦塘灌区流量推算表</w:t>
            </w:r>
          </w:p>
          <w:tbl>
            <w:tblPr>
              <w:tblStyle w:val="14"/>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9"/>
              <w:gridCol w:w="812"/>
              <w:gridCol w:w="859"/>
              <w:gridCol w:w="1408"/>
              <w:gridCol w:w="1089"/>
              <w:gridCol w:w="1071"/>
              <w:gridCol w:w="1111"/>
              <w:gridCol w:w="10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12" w:type="pct"/>
                  <w:tcBorders>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名称</w:t>
                  </w:r>
                </w:p>
              </w:tc>
              <w:tc>
                <w:tcPr>
                  <w:tcW w:w="490" w:type="pct"/>
                  <w:tcBorders>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长度（m）</w:t>
                  </w:r>
                </w:p>
              </w:tc>
              <w:tc>
                <w:tcPr>
                  <w:tcW w:w="518" w:type="pct"/>
                  <w:tcBorders>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面积（亩）</w:t>
                  </w:r>
                </w:p>
              </w:tc>
              <w:tc>
                <w:tcPr>
                  <w:tcW w:w="849" w:type="pct"/>
                  <w:tcBorders>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净灌水率</w:t>
                  </w:r>
                </w:p>
                <w:p>
                  <w:pPr>
                    <w:pStyle w:val="20"/>
                    <w:pageBreakBefore w:val="0"/>
                    <w:kinsoku/>
                    <w:wordWrap/>
                    <w:topLinePunct w:val="0"/>
                    <w:autoSpaceDE/>
                    <w:autoSpaceDN/>
                    <w:bidi w:val="0"/>
                    <w:textAlignment w:val="auto"/>
                  </w:pPr>
                  <w:r>
                    <w:rPr>
                      <w:rFonts w:hint="eastAsia"/>
                    </w:rPr>
                    <w:t>（m³/s.万亩）</w:t>
                  </w:r>
                </w:p>
              </w:tc>
              <w:tc>
                <w:tcPr>
                  <w:tcW w:w="657" w:type="pct"/>
                  <w:tcBorders>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灌溉水利用系数</w:t>
                  </w:r>
                </w:p>
              </w:tc>
              <w:tc>
                <w:tcPr>
                  <w:tcW w:w="646" w:type="pct"/>
                  <w:tcBorders>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设计流量（m³/s）</w:t>
                  </w:r>
                </w:p>
              </w:tc>
              <w:tc>
                <w:tcPr>
                  <w:tcW w:w="670" w:type="pct"/>
                  <w:tcBorders>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加大流量（m³/s）</w:t>
                  </w:r>
                </w:p>
              </w:tc>
              <w:tc>
                <w:tcPr>
                  <w:tcW w:w="655" w:type="pct"/>
                  <w:tcBorders>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设计流量</w:t>
                  </w:r>
                </w:p>
                <w:p>
                  <w:pPr>
                    <w:pStyle w:val="20"/>
                    <w:pageBreakBefore w:val="0"/>
                    <w:kinsoku/>
                    <w:wordWrap/>
                    <w:topLinePunct w:val="0"/>
                    <w:autoSpaceDE/>
                    <w:autoSpaceDN/>
                    <w:bidi w:val="0"/>
                    <w:textAlignment w:val="auto"/>
                  </w:pPr>
                  <w:r>
                    <w:rPr>
                      <w:rFonts w:hint="eastAsia"/>
                    </w:rPr>
                    <w:t>（m³/h）</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12" w:type="pct"/>
                  <w:tcBorders>
                    <w:top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干管</w:t>
                  </w:r>
                </w:p>
              </w:tc>
              <w:tc>
                <w:tcPr>
                  <w:tcW w:w="490"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4120</w:t>
                  </w:r>
                </w:p>
              </w:tc>
              <w:tc>
                <w:tcPr>
                  <w:tcW w:w="51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1200</w:t>
                  </w:r>
                </w:p>
              </w:tc>
              <w:tc>
                <w:tcPr>
                  <w:tcW w:w="84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0.29</w:t>
                  </w:r>
                </w:p>
              </w:tc>
              <w:tc>
                <w:tcPr>
                  <w:tcW w:w="657"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0.64</w:t>
                  </w:r>
                </w:p>
              </w:tc>
              <w:tc>
                <w:tcPr>
                  <w:tcW w:w="64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0.054</w:t>
                  </w:r>
                </w:p>
              </w:tc>
              <w:tc>
                <w:tcPr>
                  <w:tcW w:w="670"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0.071</w:t>
                  </w:r>
                </w:p>
              </w:tc>
              <w:tc>
                <w:tcPr>
                  <w:tcW w:w="655"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195.8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12" w:type="pct"/>
                  <w:tcBorders>
                    <w:top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1#支管</w:t>
                  </w:r>
                </w:p>
              </w:tc>
              <w:tc>
                <w:tcPr>
                  <w:tcW w:w="490"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345</w:t>
                  </w:r>
                </w:p>
              </w:tc>
              <w:tc>
                <w:tcPr>
                  <w:tcW w:w="51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302</w:t>
                  </w:r>
                </w:p>
              </w:tc>
              <w:tc>
                <w:tcPr>
                  <w:tcW w:w="84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0.29</w:t>
                  </w:r>
                </w:p>
              </w:tc>
              <w:tc>
                <w:tcPr>
                  <w:tcW w:w="657"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0.64</w:t>
                  </w:r>
                </w:p>
              </w:tc>
              <w:tc>
                <w:tcPr>
                  <w:tcW w:w="64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0.014</w:t>
                  </w:r>
                </w:p>
              </w:tc>
              <w:tc>
                <w:tcPr>
                  <w:tcW w:w="670"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0.018</w:t>
                  </w:r>
                </w:p>
              </w:tc>
              <w:tc>
                <w:tcPr>
                  <w:tcW w:w="655"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49.3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512" w:type="pct"/>
                  <w:tcBorders>
                    <w:top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2#支管</w:t>
                  </w:r>
                </w:p>
              </w:tc>
              <w:tc>
                <w:tcPr>
                  <w:tcW w:w="490"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123</w:t>
                  </w:r>
                </w:p>
              </w:tc>
              <w:tc>
                <w:tcPr>
                  <w:tcW w:w="51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130</w:t>
                  </w:r>
                </w:p>
              </w:tc>
              <w:tc>
                <w:tcPr>
                  <w:tcW w:w="84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0.29</w:t>
                  </w:r>
                </w:p>
              </w:tc>
              <w:tc>
                <w:tcPr>
                  <w:tcW w:w="657"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0.64</w:t>
                  </w:r>
                </w:p>
              </w:tc>
              <w:tc>
                <w:tcPr>
                  <w:tcW w:w="64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0.006</w:t>
                  </w:r>
                </w:p>
              </w:tc>
              <w:tc>
                <w:tcPr>
                  <w:tcW w:w="670"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0.008</w:t>
                  </w:r>
                </w:p>
              </w:tc>
              <w:tc>
                <w:tcPr>
                  <w:tcW w:w="655"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21.2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12" w:type="pct"/>
                  <w:tcBorders>
                    <w:top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退水渠</w:t>
                  </w:r>
                </w:p>
              </w:tc>
              <w:tc>
                <w:tcPr>
                  <w:tcW w:w="490" w:type="pct"/>
                  <w:tcBorders>
                    <w:top w:val="single" w:color="000000" w:sz="4" w:space="0"/>
                    <w:left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541</w:t>
                  </w:r>
                </w:p>
              </w:tc>
              <w:tc>
                <w:tcPr>
                  <w:tcW w:w="518" w:type="pct"/>
                  <w:tcBorders>
                    <w:top w:val="single" w:color="000000" w:sz="4" w:space="0"/>
                    <w:left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c>
                <w:tcPr>
                  <w:tcW w:w="849" w:type="pct"/>
                  <w:tcBorders>
                    <w:top w:val="single" w:color="000000" w:sz="4" w:space="0"/>
                    <w:left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c>
                <w:tcPr>
                  <w:tcW w:w="657" w:type="pct"/>
                  <w:tcBorders>
                    <w:top w:val="single" w:color="000000" w:sz="4" w:space="0"/>
                    <w:left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p>
              </w:tc>
              <w:tc>
                <w:tcPr>
                  <w:tcW w:w="646" w:type="pct"/>
                  <w:tcBorders>
                    <w:top w:val="single" w:color="000000" w:sz="4" w:space="0"/>
                    <w:left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0.05</w:t>
                  </w:r>
                </w:p>
              </w:tc>
              <w:tc>
                <w:tcPr>
                  <w:tcW w:w="670" w:type="pct"/>
                  <w:tcBorders>
                    <w:top w:val="single" w:color="000000" w:sz="4" w:space="0"/>
                    <w:left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0.065</w:t>
                  </w:r>
                </w:p>
              </w:tc>
              <w:tc>
                <w:tcPr>
                  <w:tcW w:w="655" w:type="pct"/>
                  <w:tcBorders>
                    <w:top w:val="single" w:color="000000" w:sz="4" w:space="0"/>
                    <w:left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180.0</w:t>
                  </w:r>
                </w:p>
              </w:tc>
            </w:tr>
          </w:tbl>
          <w:p>
            <w:pPr>
              <w:pStyle w:val="21"/>
              <w:pageBreakBefore w:val="0"/>
              <w:kinsoku/>
              <w:wordWrap/>
              <w:topLinePunct w:val="0"/>
              <w:autoSpaceDE/>
              <w:autoSpaceDN/>
              <w:bidi w:val="0"/>
              <w:textAlignment w:val="auto"/>
            </w:pPr>
            <w:r>
              <w:rPr>
                <w:rFonts w:hint="eastAsia"/>
              </w:rPr>
              <w:t>表2-5下洛哇灌区流量推算表</w:t>
            </w:r>
          </w:p>
          <w:tbl>
            <w:tblPr>
              <w:tblStyle w:val="14"/>
              <w:tblW w:w="4997" w:type="pct"/>
              <w:tblInd w:w="0" w:type="dxa"/>
              <w:tblLayout w:type="fixed"/>
              <w:tblCellMar>
                <w:top w:w="0" w:type="dxa"/>
                <w:left w:w="108" w:type="dxa"/>
                <w:bottom w:w="0" w:type="dxa"/>
                <w:right w:w="108" w:type="dxa"/>
              </w:tblCellMar>
            </w:tblPr>
            <w:tblGrid>
              <w:gridCol w:w="639"/>
              <w:gridCol w:w="815"/>
              <w:gridCol w:w="862"/>
              <w:gridCol w:w="1601"/>
              <w:gridCol w:w="1124"/>
              <w:gridCol w:w="1099"/>
              <w:gridCol w:w="1066"/>
              <w:gridCol w:w="1089"/>
            </w:tblGrid>
            <w:tr>
              <w:tblPrEx>
                <w:tblCellMar>
                  <w:top w:w="0" w:type="dxa"/>
                  <w:left w:w="108" w:type="dxa"/>
                  <w:bottom w:w="0" w:type="dxa"/>
                  <w:right w:w="108" w:type="dxa"/>
                </w:tblCellMar>
              </w:tblPrEx>
              <w:trPr>
                <w:trHeight w:val="424" w:hRule="atLeast"/>
              </w:trPr>
              <w:tc>
                <w:tcPr>
                  <w:tcW w:w="385"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名称</w:t>
                  </w:r>
                </w:p>
              </w:tc>
              <w:tc>
                <w:tcPr>
                  <w:tcW w:w="491"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长度（m）</w:t>
                  </w:r>
                </w:p>
              </w:tc>
              <w:tc>
                <w:tcPr>
                  <w:tcW w:w="5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面积（亩）</w:t>
                  </w:r>
                </w:p>
              </w:tc>
              <w:tc>
                <w:tcPr>
                  <w:tcW w:w="964"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净灌水率</w:t>
                  </w:r>
                </w:p>
                <w:p>
                  <w:pPr>
                    <w:pStyle w:val="20"/>
                    <w:pageBreakBefore w:val="0"/>
                    <w:kinsoku/>
                    <w:wordWrap/>
                    <w:topLinePunct w:val="0"/>
                    <w:autoSpaceDE/>
                    <w:autoSpaceDN/>
                    <w:bidi w:val="0"/>
                    <w:textAlignment w:val="auto"/>
                  </w:pPr>
                  <w:r>
                    <w:rPr>
                      <w:rFonts w:hint="eastAsia"/>
                    </w:rPr>
                    <w:t>（m³/s·万亩）</w:t>
                  </w:r>
                </w:p>
              </w:tc>
              <w:tc>
                <w:tcPr>
                  <w:tcW w:w="677"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灌溉水利用系数</w:t>
                  </w:r>
                </w:p>
              </w:tc>
              <w:tc>
                <w:tcPr>
                  <w:tcW w:w="662"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设计流量</w:t>
                  </w:r>
                </w:p>
                <w:p>
                  <w:pPr>
                    <w:pStyle w:val="20"/>
                    <w:pageBreakBefore w:val="0"/>
                    <w:kinsoku/>
                    <w:wordWrap/>
                    <w:topLinePunct w:val="0"/>
                    <w:autoSpaceDE/>
                    <w:autoSpaceDN/>
                    <w:bidi w:val="0"/>
                    <w:textAlignment w:val="auto"/>
                  </w:pPr>
                  <w:r>
                    <w:rPr>
                      <w:rFonts w:hint="eastAsia"/>
                    </w:rPr>
                    <w:t>（m³/s）</w:t>
                  </w:r>
                </w:p>
              </w:tc>
              <w:tc>
                <w:tcPr>
                  <w:tcW w:w="642"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加大流量（m³/s）</w:t>
                  </w:r>
                </w:p>
              </w:tc>
              <w:tc>
                <w:tcPr>
                  <w:tcW w:w="65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设计流量</w:t>
                  </w:r>
                </w:p>
                <w:p>
                  <w:pPr>
                    <w:pStyle w:val="20"/>
                    <w:pageBreakBefore w:val="0"/>
                    <w:kinsoku/>
                    <w:wordWrap/>
                    <w:topLinePunct w:val="0"/>
                    <w:autoSpaceDE/>
                    <w:autoSpaceDN/>
                    <w:bidi w:val="0"/>
                    <w:textAlignment w:val="auto"/>
                  </w:pPr>
                  <w:r>
                    <w:rPr>
                      <w:rFonts w:hint="eastAsia"/>
                    </w:rPr>
                    <w:t>（m³/h）</w:t>
                  </w:r>
                </w:p>
              </w:tc>
            </w:tr>
            <w:tr>
              <w:tblPrEx>
                <w:tblCellMar>
                  <w:top w:w="0" w:type="dxa"/>
                  <w:left w:w="108" w:type="dxa"/>
                  <w:bottom w:w="0" w:type="dxa"/>
                  <w:right w:w="108" w:type="dxa"/>
                </w:tblCellMar>
              </w:tblPrEx>
              <w:trPr>
                <w:trHeight w:val="279" w:hRule="atLeast"/>
              </w:trPr>
              <w:tc>
                <w:tcPr>
                  <w:tcW w:w="385"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干管</w:t>
                  </w:r>
                </w:p>
              </w:tc>
              <w:tc>
                <w:tcPr>
                  <w:tcW w:w="491"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794</w:t>
                  </w:r>
                </w:p>
              </w:tc>
              <w:tc>
                <w:tcPr>
                  <w:tcW w:w="5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800</w:t>
                  </w:r>
                </w:p>
              </w:tc>
              <w:tc>
                <w:tcPr>
                  <w:tcW w:w="964"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0.29</w:t>
                  </w:r>
                </w:p>
              </w:tc>
              <w:tc>
                <w:tcPr>
                  <w:tcW w:w="677"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0.64</w:t>
                  </w:r>
                </w:p>
              </w:tc>
              <w:tc>
                <w:tcPr>
                  <w:tcW w:w="662"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0.036</w:t>
                  </w:r>
                </w:p>
              </w:tc>
              <w:tc>
                <w:tcPr>
                  <w:tcW w:w="642"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0.047</w:t>
                  </w:r>
                </w:p>
              </w:tc>
              <w:tc>
                <w:tcPr>
                  <w:tcW w:w="65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130.5</w:t>
                  </w:r>
                </w:p>
              </w:tc>
            </w:tr>
          </w:tbl>
          <w:p>
            <w:pPr>
              <w:pStyle w:val="13"/>
              <w:pageBreakBefore w:val="0"/>
              <w:kinsoku/>
              <w:wordWrap/>
              <w:topLinePunct w:val="0"/>
              <w:autoSpaceDE/>
              <w:autoSpaceDN/>
              <w:bidi w:val="0"/>
              <w:ind w:firstLine="480"/>
              <w:textAlignment w:val="auto"/>
              <w:rPr>
                <w:rFonts w:hint="eastAsia" w:eastAsia="宋体"/>
                <w:lang w:eastAsia="zh-CN"/>
              </w:rPr>
            </w:pPr>
            <w:r>
              <w:rPr>
                <w:rFonts w:hint="eastAsia"/>
              </w:rPr>
              <w:t>（7）供需水平衡分析</w:t>
            </w:r>
          </w:p>
          <w:p>
            <w:pPr>
              <w:pStyle w:val="13"/>
              <w:ind w:firstLine="480"/>
              <w:rPr>
                <w:rFonts w:hint="eastAsia"/>
                <w:lang w:val="en-US" w:eastAsia="zh-CN"/>
              </w:rPr>
            </w:pPr>
            <w:r>
              <w:rPr>
                <w:rFonts w:hint="eastAsia"/>
                <w:lang w:val="en-US" w:eastAsia="zh-CN"/>
              </w:rPr>
              <w:t>本工程的引水水源为角乎拉泉水、西龙曲，水流清澈，常年水量稳定，水源可靠。却旦塘灌区及下洛哇灌区引水口分别位于角乎拉沟和西龙曲上游，沟内无工业污废水排入，无村落分布没有村民生活污水排入，引水口水质良好。</w:t>
            </w:r>
          </w:p>
          <w:p>
            <w:pPr>
              <w:pStyle w:val="13"/>
              <w:pageBreakBefore w:val="0"/>
              <w:kinsoku/>
              <w:wordWrap/>
              <w:topLinePunct w:val="0"/>
              <w:autoSpaceDE/>
              <w:autoSpaceDN/>
              <w:bidi w:val="0"/>
              <w:ind w:firstLine="480"/>
              <w:textAlignment w:val="auto"/>
              <w:rPr>
                <w:rFonts w:hint="eastAsia" w:eastAsia="宋体"/>
                <w:lang w:eastAsia="zh-CN"/>
              </w:rPr>
            </w:pPr>
            <w:r>
              <w:rPr>
                <w:rFonts w:hint="eastAsia"/>
              </w:rPr>
              <w:t>却旦塘灌区从角乎拉沟引水，沟道内主要径流为泉水补给，根据实施方案，角乎拉沟泉眼出水量为90.3L/s，多年平均径流量为</w:t>
            </w:r>
            <w:r>
              <w:rPr>
                <w:rFonts w:hint="eastAsia"/>
                <w:lang w:val="en-US" w:eastAsia="zh-CN"/>
              </w:rPr>
              <w:t>788.4</w:t>
            </w:r>
            <w:r>
              <w:rPr>
                <w:rFonts w:hint="eastAsia"/>
              </w:rPr>
              <w:t>万m³，灌溉引水量为</w:t>
            </w:r>
            <w:r>
              <w:rPr>
                <w:rFonts w:hint="eastAsia"/>
                <w:lang w:val="en-US" w:eastAsia="zh-CN"/>
              </w:rPr>
              <w:t>34.88</w:t>
            </w:r>
            <w:r>
              <w:rPr>
                <w:rFonts w:hint="eastAsia"/>
              </w:rPr>
              <w:t>万m³，</w:t>
            </w:r>
            <w:r>
              <w:rPr>
                <w:rFonts w:hint="eastAsia"/>
                <w:lang w:eastAsia="zh-CN"/>
              </w:rPr>
              <w:t>引水量占比</w:t>
            </w:r>
            <w:r>
              <w:rPr>
                <w:rFonts w:hint="eastAsia"/>
                <w:lang w:val="en-US" w:eastAsia="zh-CN"/>
              </w:rPr>
              <w:t>4.42%，</w:t>
            </w:r>
            <w:r>
              <w:rPr>
                <w:rFonts w:hint="eastAsia"/>
              </w:rPr>
              <w:t>满足灌溉用水量。</w:t>
            </w:r>
          </w:p>
          <w:p>
            <w:pPr>
              <w:pStyle w:val="13"/>
              <w:pageBreakBefore w:val="0"/>
              <w:kinsoku/>
              <w:wordWrap/>
              <w:topLinePunct w:val="0"/>
              <w:autoSpaceDE/>
              <w:autoSpaceDN/>
              <w:bidi w:val="0"/>
              <w:ind w:firstLine="480"/>
              <w:textAlignment w:val="auto"/>
              <w:rPr>
                <w:rFonts w:hint="eastAsia"/>
              </w:rPr>
            </w:pPr>
            <w:r>
              <w:rPr>
                <w:rFonts w:hint="eastAsia"/>
              </w:rPr>
              <w:t>下洛哇灌区灌溉水源从西龙曲引水，西龙曲为茫拉河左岸一级支流。下洛哇灌区西龙曲引水口以上流域面积为267.64km</w:t>
            </w:r>
            <w:r>
              <w:rPr>
                <w:rFonts w:hint="eastAsia"/>
                <w:vertAlign w:val="superscript"/>
              </w:rPr>
              <w:t>2</w:t>
            </w:r>
            <w:r>
              <w:rPr>
                <w:rFonts w:hint="eastAsia"/>
              </w:rPr>
              <w:t>，引水口处海拔高程为2966.11m，河道多年平均流量为0.93m³/s，多年平均径流量为2944.04万m³，水量常年稳定，</w:t>
            </w:r>
            <w:r>
              <w:rPr>
                <w:rFonts w:hint="eastAsia"/>
                <w:lang w:eastAsia="zh-CN"/>
              </w:rPr>
              <w:t>灌溉引水量为</w:t>
            </w:r>
            <w:r>
              <w:rPr>
                <w:rFonts w:hint="eastAsia"/>
                <w:lang w:val="en-US" w:eastAsia="zh-CN"/>
              </w:rPr>
              <w:t>23.17</w:t>
            </w:r>
            <w:r>
              <w:rPr>
                <w:rFonts w:hint="eastAsia"/>
              </w:rPr>
              <w:t>万m³</w:t>
            </w:r>
            <w:r>
              <w:rPr>
                <w:rFonts w:hint="eastAsia"/>
                <w:lang w:eastAsia="zh-CN"/>
              </w:rPr>
              <w:t>，引水量占比</w:t>
            </w:r>
            <w:r>
              <w:rPr>
                <w:rFonts w:hint="eastAsia"/>
                <w:lang w:val="en-US" w:eastAsia="zh-CN"/>
              </w:rPr>
              <w:t>0.79%，</w:t>
            </w:r>
            <w:r>
              <w:rPr>
                <w:rFonts w:hint="eastAsia"/>
              </w:rPr>
              <w:t>满足灌溉用水量。</w:t>
            </w:r>
          </w:p>
          <w:tbl>
            <w:tblPr>
              <w:tblStyle w:val="14"/>
              <w:tblW w:w="829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69"/>
              <w:gridCol w:w="735"/>
              <w:gridCol w:w="705"/>
              <w:gridCol w:w="750"/>
              <w:gridCol w:w="660"/>
              <w:gridCol w:w="1140"/>
              <w:gridCol w:w="1832"/>
              <w:gridCol w:w="14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644" w:type="pct"/>
                  <w:tcBorders>
                    <w:top w:val="single" w:color="000000" w:sz="4" w:space="0"/>
                    <w:left w:val="single" w:color="000000" w:sz="4" w:space="0"/>
                    <w:bottom w:val="single" w:color="000000" w:sz="4" w:space="0"/>
                    <w:right w:val="single" w:color="000000" w:sz="4" w:space="0"/>
                    <w:tl2br w:val="single" w:color="000000" w:sz="4" w:space="0"/>
                  </w:tcBorders>
                  <w:shd w:val="clear" w:color="auto" w:fill="auto"/>
                  <w:noWrap/>
                  <w:vAlign w:val="center"/>
                </w:tcPr>
                <w:p>
                  <w:pPr>
                    <w:keepNext w:val="0"/>
                    <w:keepLines w:val="0"/>
                    <w:widowControl/>
                    <w:suppressLineNumbers w:val="0"/>
                    <w:ind w:firstLine="420" w:firstLineChars="200"/>
                    <w:jc w:val="both"/>
                    <w:textAlignment w:val="center"/>
                    <w:rPr>
                      <w:rStyle w:val="29"/>
                      <w:rFonts w:hint="default" w:ascii="Times New Roman" w:hAnsi="Times New Roman" w:cs="Times New Roman"/>
                      <w:sz w:val="21"/>
                      <w:szCs w:val="21"/>
                      <w:lang w:val="en-US" w:eastAsia="zh-CN" w:bidi="ar"/>
                    </w:rPr>
                  </w:pPr>
                  <w:r>
                    <w:rPr>
                      <w:rStyle w:val="29"/>
                      <w:rFonts w:hint="default" w:ascii="Times New Roman" w:hAnsi="Times New Roman" w:cs="Times New Roman"/>
                      <w:sz w:val="21"/>
                      <w:szCs w:val="21"/>
                      <w:lang w:val="en-US" w:eastAsia="zh-CN" w:bidi="ar"/>
                    </w:rPr>
                    <w:t>类别</w:t>
                  </w:r>
                </w:p>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区域</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lang w:eastAsia="zh-CN"/>
                    </w:rPr>
                  </w:pPr>
                  <w:r>
                    <w:rPr>
                      <w:rFonts w:hint="default" w:ascii="Times New Roman" w:hAnsi="Times New Roman" w:eastAsia="宋体" w:cs="Times New Roman"/>
                      <w:i w:val="0"/>
                      <w:iCs w:val="0"/>
                      <w:color w:val="000000"/>
                      <w:sz w:val="21"/>
                      <w:szCs w:val="21"/>
                      <w:u w:val="none"/>
                      <w:lang w:eastAsia="zh-CN"/>
                    </w:rPr>
                    <w:t>作物</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亩</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/亩</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次</w:t>
                  </w:r>
                </w:p>
              </w:tc>
              <w:tc>
                <w:tcPr>
                  <w:tcW w:w="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引水量</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万</w:t>
                  </w:r>
                  <w:r>
                    <w:rPr>
                      <w:rStyle w:val="28"/>
                      <w:rFonts w:hint="default" w:ascii="Times New Roman" w:hAnsi="Times New Roman" w:eastAsia="宋体" w:cs="Times New Roman"/>
                      <w:sz w:val="21"/>
                      <w:szCs w:val="21"/>
                      <w:lang w:val="en-US" w:eastAsia="zh-CN" w:bidi="ar"/>
                    </w:rPr>
                    <w:t>m</w:t>
                  </w:r>
                  <w:r>
                    <w:rPr>
                      <w:rStyle w:val="28"/>
                      <w:rFonts w:hint="default" w:ascii="Times New Roman" w:hAnsi="Times New Roman" w:eastAsia="宋体" w:cs="Times New Roman"/>
                      <w:sz w:val="21"/>
                      <w:szCs w:val="21"/>
                      <w:vertAlign w:val="superscript"/>
                      <w:lang w:val="en-US" w:eastAsia="zh-CN" w:bidi="ar"/>
                    </w:rPr>
                    <w:t>3</w:t>
                  </w:r>
                  <w:r>
                    <w:rPr>
                      <w:rFonts w:hint="eastAsia" w:ascii="Times New Roman" w:hAnsi="Times New Roman" w:eastAsia="宋体" w:cs="Times New Roman"/>
                      <w:i w:val="0"/>
                      <w:iCs w:val="0"/>
                      <w:color w:val="000000"/>
                      <w:kern w:val="0"/>
                      <w:sz w:val="21"/>
                      <w:szCs w:val="21"/>
                      <w:u w:val="none"/>
                      <w:lang w:val="en-US" w:eastAsia="zh-CN" w:bidi="ar"/>
                    </w:rPr>
                    <w:t>）</w:t>
                  </w:r>
                </w:p>
              </w:tc>
              <w:tc>
                <w:tcPr>
                  <w:tcW w:w="11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rPr>
                    <w:t>年平均径流量</w:t>
                  </w:r>
                </w:p>
              </w:tc>
              <w:tc>
                <w:tcPr>
                  <w:tcW w:w="8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引水</w:t>
                  </w:r>
                  <w:r>
                    <w:rPr>
                      <w:rFonts w:hint="eastAsia" w:ascii="Times New Roman" w:hAnsi="Times New Roman" w:eastAsia="宋体" w:cs="Times New Roman"/>
                      <w:i w:val="0"/>
                      <w:iCs w:val="0"/>
                      <w:color w:val="000000"/>
                      <w:kern w:val="0"/>
                      <w:sz w:val="21"/>
                      <w:szCs w:val="21"/>
                      <w:u w:val="none"/>
                      <w:lang w:val="en-US" w:eastAsia="zh-CN" w:bidi="ar"/>
                    </w:rPr>
                    <w:t>量</w:t>
                  </w:r>
                  <w:r>
                    <w:rPr>
                      <w:rFonts w:hint="default" w:ascii="Times New Roman" w:hAnsi="Times New Roman" w:eastAsia="宋体" w:cs="Times New Roman"/>
                      <w:i w:val="0"/>
                      <w:iCs w:val="0"/>
                      <w:color w:val="000000"/>
                      <w:kern w:val="0"/>
                      <w:sz w:val="21"/>
                      <w:szCs w:val="21"/>
                      <w:u w:val="none"/>
                      <w:lang w:val="en-US" w:eastAsia="zh-CN" w:bidi="ar"/>
                    </w:rPr>
                    <w:t>占比</w:t>
                  </w:r>
                  <w:r>
                    <w:rPr>
                      <w:rFonts w:hint="eastAsia" w:ascii="Times New Roman" w:hAnsi="Times New Roman" w:eastAsia="宋体" w:cs="Times New Roman"/>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64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却旦塘灌区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小麦</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325</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w:t>
                  </w:r>
                </w:p>
              </w:tc>
              <w:tc>
                <w:tcPr>
                  <w:tcW w:w="1104" w:type="pct"/>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rPr>
                    <w:t>角乎拉沟年平均径流量</w:t>
                  </w:r>
                  <w:r>
                    <w:rPr>
                      <w:rFonts w:hint="eastAsia"/>
                      <w:lang w:eastAsia="zh-CN"/>
                    </w:rPr>
                    <w:t>为</w:t>
                  </w:r>
                  <w:r>
                    <w:rPr>
                      <w:rFonts w:hint="eastAsia"/>
                      <w:lang w:val="en-US" w:eastAsia="zh-CN"/>
                    </w:rPr>
                    <w:t>788.4</w:t>
                  </w:r>
                  <w:r>
                    <w:rPr>
                      <w:rFonts w:hint="default" w:ascii="Times New Roman" w:hAnsi="Times New Roman" w:eastAsia="宋体" w:cs="Times New Roman"/>
                      <w:i w:val="0"/>
                      <w:iCs w:val="0"/>
                      <w:color w:val="000000"/>
                      <w:kern w:val="0"/>
                      <w:sz w:val="21"/>
                      <w:szCs w:val="21"/>
                      <w:u w:val="none"/>
                      <w:lang w:val="en-US" w:eastAsia="zh-CN" w:bidi="ar"/>
                    </w:rPr>
                    <w:t>万</w:t>
                  </w:r>
                  <w:r>
                    <w:rPr>
                      <w:rStyle w:val="28"/>
                      <w:rFonts w:hint="default" w:ascii="Times New Roman" w:hAnsi="Times New Roman" w:eastAsia="宋体" w:cs="Times New Roman"/>
                      <w:sz w:val="21"/>
                      <w:szCs w:val="21"/>
                      <w:lang w:val="en-US" w:eastAsia="zh-CN" w:bidi="ar"/>
                    </w:rPr>
                    <w:t>m</w:t>
                  </w:r>
                  <w:r>
                    <w:rPr>
                      <w:rStyle w:val="28"/>
                      <w:rFonts w:hint="default" w:ascii="Times New Roman" w:hAnsi="Times New Roman" w:eastAsia="宋体" w:cs="Times New Roman"/>
                      <w:sz w:val="21"/>
                      <w:szCs w:val="21"/>
                      <w:vertAlign w:val="superscript"/>
                      <w:lang w:val="en-US" w:eastAsia="zh-CN" w:bidi="ar"/>
                    </w:rPr>
                    <w:t>3</w:t>
                  </w:r>
                </w:p>
              </w:tc>
              <w:tc>
                <w:tcPr>
                  <w:tcW w:w="847" w:type="pct"/>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6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青稞</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525</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325</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17.06</w:t>
                  </w:r>
                </w:p>
              </w:tc>
              <w:tc>
                <w:tcPr>
                  <w:tcW w:w="1104"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847"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6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油菜</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420</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260</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10.92</w:t>
                  </w:r>
                </w:p>
              </w:tc>
              <w:tc>
                <w:tcPr>
                  <w:tcW w:w="1104"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847"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6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洋芋</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1104"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847"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6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林地</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240</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1104"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847"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108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sz w:val="21"/>
                      <w:szCs w:val="21"/>
                      <w:u w:val="none"/>
                      <w:lang w:eastAsia="zh-CN"/>
                    </w:rPr>
                    <w:t>小计</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1200</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34.88</w:t>
                  </w:r>
                </w:p>
              </w:tc>
              <w:tc>
                <w:tcPr>
                  <w:tcW w:w="1104" w:type="pct"/>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847" w:type="pct"/>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64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下洛哇灌区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小麦</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325</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1104" w:type="pct"/>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rPr>
                    <w:t>西龙曲年平均径流量为2944.04</w:t>
                  </w:r>
                  <w:r>
                    <w:rPr>
                      <w:rFonts w:hint="default" w:ascii="Times New Roman" w:hAnsi="Times New Roman" w:eastAsia="宋体" w:cs="Times New Roman"/>
                      <w:i w:val="0"/>
                      <w:iCs w:val="0"/>
                      <w:color w:val="000000"/>
                      <w:kern w:val="0"/>
                      <w:sz w:val="21"/>
                      <w:szCs w:val="21"/>
                      <w:u w:val="none"/>
                      <w:lang w:val="en-US" w:eastAsia="zh-CN" w:bidi="ar"/>
                    </w:rPr>
                    <w:t>万</w:t>
                  </w:r>
                  <w:r>
                    <w:rPr>
                      <w:rStyle w:val="28"/>
                      <w:rFonts w:hint="default" w:ascii="Times New Roman" w:hAnsi="Times New Roman" w:eastAsia="宋体" w:cs="Times New Roman"/>
                      <w:sz w:val="21"/>
                      <w:szCs w:val="21"/>
                      <w:lang w:val="en-US" w:eastAsia="zh-CN" w:bidi="ar"/>
                    </w:rPr>
                    <w:t>m</w:t>
                  </w:r>
                  <w:r>
                    <w:rPr>
                      <w:rStyle w:val="28"/>
                      <w:rFonts w:hint="default" w:ascii="Times New Roman" w:hAnsi="Times New Roman" w:eastAsia="宋体" w:cs="Times New Roman"/>
                      <w:sz w:val="21"/>
                      <w:szCs w:val="21"/>
                      <w:vertAlign w:val="superscript"/>
                      <w:lang w:val="en-US" w:eastAsia="zh-CN" w:bidi="ar"/>
                    </w:rPr>
                    <w:t>3</w:t>
                  </w:r>
                </w:p>
              </w:tc>
              <w:tc>
                <w:tcPr>
                  <w:tcW w:w="847" w:type="pct"/>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6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青稞</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340</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325</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11.05</w:t>
                  </w:r>
                </w:p>
              </w:tc>
              <w:tc>
                <w:tcPr>
                  <w:tcW w:w="1104"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847"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6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油菜</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280</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260</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7.28</w:t>
                  </w:r>
                </w:p>
              </w:tc>
              <w:tc>
                <w:tcPr>
                  <w:tcW w:w="1104"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847"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6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洋芋</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w:t>
                  </w:r>
                </w:p>
              </w:tc>
              <w:tc>
                <w:tcPr>
                  <w:tcW w:w="1104"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847"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6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林地</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240</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1.44</w:t>
                  </w:r>
                </w:p>
              </w:tc>
              <w:tc>
                <w:tcPr>
                  <w:tcW w:w="1104"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847"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108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sz w:val="21"/>
                      <w:szCs w:val="21"/>
                      <w:u w:val="none"/>
                      <w:lang w:eastAsia="zh-CN"/>
                    </w:rPr>
                    <w:t>小计</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800</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23.17</w:t>
                  </w:r>
                </w:p>
              </w:tc>
              <w:tc>
                <w:tcPr>
                  <w:tcW w:w="1104" w:type="pct"/>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847" w:type="pct"/>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08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合计</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2000</w:t>
                  </w:r>
                </w:p>
              </w:tc>
              <w:tc>
                <w:tcPr>
                  <w:tcW w:w="45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eastAsia="宋体" w:cs="Times New Roman"/>
                      <w:i w:val="0"/>
                      <w:iCs w:val="0"/>
                      <w:color w:val="000000"/>
                      <w:kern w:val="0"/>
                      <w:sz w:val="21"/>
                      <w:szCs w:val="21"/>
                      <w:u w:val="none"/>
                      <w:lang w:val="en-US" w:eastAsia="zh-CN" w:bidi="ar"/>
                    </w:rPr>
                    <w:t>58.05</w:t>
                  </w:r>
                </w:p>
              </w:tc>
              <w:tc>
                <w:tcPr>
                  <w:tcW w:w="11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8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r>
          </w:tbl>
          <w:p>
            <w:pPr>
              <w:pStyle w:val="3"/>
              <w:pageBreakBefore w:val="0"/>
              <w:kinsoku/>
              <w:wordWrap/>
              <w:topLinePunct w:val="0"/>
              <w:autoSpaceDE/>
              <w:autoSpaceDN/>
              <w:bidi w:val="0"/>
              <w:textAlignment w:val="auto"/>
            </w:pPr>
            <w:r>
              <w:rPr>
                <w:rFonts w:hint="eastAsia"/>
              </w:rPr>
              <w:t>6主要构筑物设计</w:t>
            </w:r>
          </w:p>
          <w:p>
            <w:pPr>
              <w:pStyle w:val="4"/>
              <w:pageBreakBefore w:val="0"/>
              <w:kinsoku/>
              <w:wordWrap/>
              <w:topLinePunct w:val="0"/>
              <w:autoSpaceDE/>
              <w:autoSpaceDN/>
              <w:bidi w:val="0"/>
              <w:textAlignment w:val="auto"/>
            </w:pPr>
            <w:r>
              <w:rPr>
                <w:rFonts w:hint="eastAsia"/>
              </w:rPr>
              <w:t>6.1管道</w:t>
            </w:r>
          </w:p>
          <w:p>
            <w:pPr>
              <w:pStyle w:val="13"/>
              <w:pageBreakBefore w:val="0"/>
              <w:kinsoku/>
              <w:wordWrap/>
              <w:topLinePunct w:val="0"/>
              <w:autoSpaceDE/>
              <w:autoSpaceDN/>
              <w:bidi w:val="0"/>
              <w:ind w:firstLine="480"/>
              <w:textAlignment w:val="auto"/>
            </w:pPr>
            <w:r>
              <w:rPr>
                <w:rFonts w:hint="eastAsia"/>
              </w:rPr>
              <w:t>（1）管材</w:t>
            </w:r>
          </w:p>
          <w:p>
            <w:pPr>
              <w:pStyle w:val="13"/>
              <w:pageBreakBefore w:val="0"/>
              <w:kinsoku/>
              <w:wordWrap/>
              <w:topLinePunct w:val="0"/>
              <w:autoSpaceDE/>
              <w:autoSpaceDN/>
              <w:bidi w:val="0"/>
              <w:ind w:firstLine="480"/>
              <w:textAlignment w:val="auto"/>
            </w:pPr>
            <w:r>
              <w:rPr>
                <w:rFonts w:hint="eastAsia"/>
              </w:rPr>
              <w:t>根据多方面因素综合分析比较，供水干管采用PE管，渡槽采用焊接钢管。</w:t>
            </w:r>
          </w:p>
          <w:p>
            <w:pPr>
              <w:pStyle w:val="13"/>
              <w:pageBreakBefore w:val="0"/>
              <w:kinsoku/>
              <w:wordWrap/>
              <w:topLinePunct w:val="0"/>
              <w:autoSpaceDE/>
              <w:autoSpaceDN/>
              <w:bidi w:val="0"/>
              <w:ind w:firstLine="480"/>
              <w:textAlignment w:val="auto"/>
            </w:pPr>
            <w:r>
              <w:rPr>
                <w:rFonts w:hint="eastAsia"/>
              </w:rPr>
              <w:t>（2）管沟</w:t>
            </w:r>
          </w:p>
          <w:p>
            <w:pPr>
              <w:pStyle w:val="13"/>
              <w:pageBreakBefore w:val="0"/>
              <w:kinsoku/>
              <w:wordWrap/>
              <w:topLinePunct w:val="0"/>
              <w:autoSpaceDE/>
              <w:autoSpaceDN/>
              <w:bidi w:val="0"/>
              <w:ind w:firstLine="480"/>
              <w:textAlignment w:val="auto"/>
              <w:rPr>
                <w:rFonts w:hint="eastAsia" w:eastAsia="宋体"/>
                <w:lang w:eastAsia="zh-CN"/>
              </w:rPr>
            </w:pPr>
            <w:r>
              <w:rPr>
                <w:rFonts w:hint="eastAsia"/>
              </w:rPr>
              <w:t>管沟开挖时，开挖边坡为1：0.3，下底宽为1.0m，开挖深度根据管道设计比降确定，管道管沟开挖严格按照设计比降开挖，管顶以上覆土不应小于0.7m。在不灌溉时，管内余水通过比降排至退水井，由退水井放空阀排出，或排至管道末端。整体管道不运行时需将管道内积水通过放空井排水，以免管道冻胀破坏。管道回填时，先将细土料回填0.5m，再在上面进行原土回填，以防回填时损坏PE管道。管沟夯实回填，压实度不小于0.9。</w:t>
            </w:r>
          </w:p>
          <w:p>
            <w:pPr>
              <w:pStyle w:val="13"/>
              <w:pageBreakBefore w:val="0"/>
              <w:kinsoku/>
              <w:wordWrap/>
              <w:topLinePunct w:val="0"/>
              <w:autoSpaceDE/>
              <w:autoSpaceDN/>
              <w:bidi w:val="0"/>
              <w:ind w:firstLine="480"/>
              <w:textAlignment w:val="auto"/>
            </w:pPr>
            <w:r>
              <w:rPr>
                <w:rFonts w:hint="eastAsia"/>
              </w:rPr>
              <w:t>（3）管径选择及水力特征</w:t>
            </w:r>
          </w:p>
          <w:p>
            <w:pPr>
              <w:pStyle w:val="21"/>
              <w:pageBreakBefore w:val="0"/>
              <w:kinsoku/>
              <w:wordWrap/>
              <w:topLinePunct w:val="0"/>
              <w:autoSpaceDE/>
              <w:autoSpaceDN/>
              <w:bidi w:val="0"/>
              <w:textAlignment w:val="auto"/>
            </w:pPr>
            <w:r>
              <w:rPr>
                <w:rFonts w:hint="eastAsia"/>
              </w:rPr>
              <w:t>表2-6却旦塘灌区管道水力特征表</w:t>
            </w:r>
          </w:p>
          <w:tbl>
            <w:tblPr>
              <w:tblStyle w:val="14"/>
              <w:tblW w:w="8974" w:type="dxa"/>
              <w:tblInd w:w="0" w:type="dxa"/>
              <w:tblLayout w:type="fixed"/>
              <w:tblCellMar>
                <w:top w:w="0" w:type="dxa"/>
                <w:left w:w="108" w:type="dxa"/>
                <w:bottom w:w="0" w:type="dxa"/>
                <w:right w:w="108" w:type="dxa"/>
              </w:tblCellMar>
            </w:tblPr>
            <w:tblGrid>
              <w:gridCol w:w="1512"/>
              <w:gridCol w:w="803"/>
              <w:gridCol w:w="776"/>
              <w:gridCol w:w="693"/>
              <w:gridCol w:w="771"/>
              <w:gridCol w:w="693"/>
              <w:gridCol w:w="699"/>
              <w:gridCol w:w="693"/>
              <w:gridCol w:w="765"/>
              <w:gridCol w:w="902"/>
              <w:gridCol w:w="667"/>
            </w:tblGrid>
            <w:tr>
              <w:tblPrEx>
                <w:tblCellMar>
                  <w:top w:w="0" w:type="dxa"/>
                  <w:left w:w="108" w:type="dxa"/>
                  <w:bottom w:w="0" w:type="dxa"/>
                  <w:right w:w="108" w:type="dxa"/>
                </w:tblCellMar>
              </w:tblPrEx>
              <w:trPr>
                <w:trHeight w:val="856" w:hRule="atLeast"/>
              </w:trPr>
              <w:tc>
                <w:tcPr>
                  <w:tcW w:w="842"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名称</w:t>
                  </w:r>
                </w:p>
              </w:tc>
              <w:tc>
                <w:tcPr>
                  <w:tcW w:w="447" w:type="pct"/>
                  <w:tcBorders>
                    <w:top w:val="single" w:color="000000" w:sz="4" w:space="0"/>
                    <w:left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设计</w:t>
                  </w:r>
                </w:p>
                <w:p>
                  <w:pPr>
                    <w:pStyle w:val="20"/>
                    <w:pageBreakBefore w:val="0"/>
                    <w:kinsoku/>
                    <w:wordWrap/>
                    <w:topLinePunct w:val="0"/>
                    <w:autoSpaceDE/>
                    <w:autoSpaceDN/>
                    <w:bidi w:val="0"/>
                    <w:textAlignment w:val="auto"/>
                  </w:pPr>
                  <w:r>
                    <w:rPr>
                      <w:rFonts w:hint="eastAsia"/>
                    </w:rPr>
                    <w:t>流量</w:t>
                  </w:r>
                </w:p>
                <w:p>
                  <w:pPr>
                    <w:pStyle w:val="20"/>
                    <w:pageBreakBefore w:val="0"/>
                    <w:kinsoku/>
                    <w:wordWrap/>
                    <w:topLinePunct w:val="0"/>
                    <w:autoSpaceDE/>
                    <w:autoSpaceDN/>
                    <w:bidi w:val="0"/>
                    <w:textAlignment w:val="auto"/>
                  </w:pPr>
                  <w:r>
                    <w:rPr>
                      <w:rFonts w:hint="eastAsia"/>
                    </w:rPr>
                    <w:t>m</w:t>
                  </w:r>
                  <w:r>
                    <w:rPr>
                      <w:rFonts w:hint="eastAsia"/>
                      <w:vertAlign w:val="superscript"/>
                    </w:rPr>
                    <w:t>3</w:t>
                  </w:r>
                  <w:r>
                    <w:rPr>
                      <w:rFonts w:hint="eastAsia"/>
                    </w:rPr>
                    <w:t>/s</w:t>
                  </w:r>
                </w:p>
              </w:tc>
              <w:tc>
                <w:tcPr>
                  <w:tcW w:w="432"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加大</w:t>
                  </w:r>
                </w:p>
                <w:p>
                  <w:pPr>
                    <w:pStyle w:val="20"/>
                    <w:pageBreakBefore w:val="0"/>
                    <w:kinsoku/>
                    <w:wordWrap/>
                    <w:topLinePunct w:val="0"/>
                    <w:autoSpaceDE/>
                    <w:autoSpaceDN/>
                    <w:bidi w:val="0"/>
                    <w:textAlignment w:val="auto"/>
                  </w:pPr>
                  <w:r>
                    <w:rPr>
                      <w:rFonts w:hint="eastAsia"/>
                    </w:rPr>
                    <w:t>流量</w:t>
                  </w:r>
                </w:p>
                <w:p>
                  <w:pPr>
                    <w:pStyle w:val="20"/>
                    <w:pageBreakBefore w:val="0"/>
                    <w:kinsoku/>
                    <w:wordWrap/>
                    <w:topLinePunct w:val="0"/>
                    <w:autoSpaceDE/>
                    <w:autoSpaceDN/>
                    <w:bidi w:val="0"/>
                    <w:textAlignment w:val="auto"/>
                  </w:pPr>
                  <w:r>
                    <w:rPr>
                      <w:rFonts w:hint="eastAsia"/>
                    </w:rPr>
                    <w:t>m</w:t>
                  </w:r>
                  <w:r>
                    <w:rPr>
                      <w:rFonts w:hint="eastAsia"/>
                      <w:vertAlign w:val="superscript"/>
                    </w:rPr>
                    <w:t>3</w:t>
                  </w:r>
                  <w:r>
                    <w:rPr>
                      <w:rFonts w:hint="eastAsia"/>
                    </w:rPr>
                    <w:t>/s</w:t>
                  </w:r>
                </w:p>
              </w:tc>
              <w:tc>
                <w:tcPr>
                  <w:tcW w:w="38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管径</w:t>
                  </w:r>
                </w:p>
                <w:p>
                  <w:pPr>
                    <w:pStyle w:val="20"/>
                    <w:pageBreakBefore w:val="0"/>
                    <w:kinsoku/>
                    <w:wordWrap/>
                    <w:topLinePunct w:val="0"/>
                    <w:autoSpaceDE/>
                    <w:autoSpaceDN/>
                    <w:bidi w:val="0"/>
                    <w:textAlignment w:val="auto"/>
                  </w:pPr>
                  <w:r>
                    <w:rPr>
                      <w:rFonts w:hint="eastAsia"/>
                    </w:rPr>
                    <w:t>m</w:t>
                  </w:r>
                </w:p>
              </w:tc>
              <w:tc>
                <w:tcPr>
                  <w:tcW w:w="42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比降</w:t>
                  </w:r>
                </w:p>
              </w:tc>
              <w:tc>
                <w:tcPr>
                  <w:tcW w:w="38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流速</w:t>
                  </w:r>
                </w:p>
                <w:p>
                  <w:pPr>
                    <w:pStyle w:val="20"/>
                    <w:pageBreakBefore w:val="0"/>
                    <w:kinsoku/>
                    <w:wordWrap/>
                    <w:topLinePunct w:val="0"/>
                    <w:autoSpaceDE/>
                    <w:autoSpaceDN/>
                    <w:bidi w:val="0"/>
                    <w:textAlignment w:val="auto"/>
                  </w:pPr>
                  <w:r>
                    <w:rPr>
                      <w:rFonts w:hint="eastAsia"/>
                    </w:rPr>
                    <w:t>m</w:t>
                  </w:r>
                  <w:r>
                    <w:rPr>
                      <w:rFonts w:hint="eastAsia"/>
                      <w:vertAlign w:val="superscript"/>
                      <w:lang w:val="en-US" w:eastAsia="zh-CN"/>
                    </w:rPr>
                    <w:t>3</w:t>
                  </w:r>
                  <w:r>
                    <w:rPr>
                      <w:rFonts w:hint="eastAsia"/>
                    </w:rPr>
                    <w:t>/s</w:t>
                  </w:r>
                </w:p>
              </w:tc>
              <w:tc>
                <w:tcPr>
                  <w:tcW w:w="38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净空</w:t>
                  </w:r>
                </w:p>
                <w:p>
                  <w:pPr>
                    <w:pStyle w:val="20"/>
                    <w:pageBreakBefore w:val="0"/>
                    <w:kinsoku/>
                    <w:wordWrap/>
                    <w:topLinePunct w:val="0"/>
                    <w:autoSpaceDE/>
                    <w:autoSpaceDN/>
                    <w:bidi w:val="0"/>
                    <w:textAlignment w:val="auto"/>
                  </w:pPr>
                  <w:r>
                    <w:rPr>
                      <w:rFonts w:hint="eastAsia"/>
                    </w:rPr>
                    <w:t>高度</w:t>
                  </w:r>
                </w:p>
                <w:p>
                  <w:pPr>
                    <w:pStyle w:val="20"/>
                    <w:pageBreakBefore w:val="0"/>
                    <w:kinsoku/>
                    <w:wordWrap/>
                    <w:topLinePunct w:val="0"/>
                    <w:autoSpaceDE/>
                    <w:autoSpaceDN/>
                    <w:bidi w:val="0"/>
                    <w:textAlignment w:val="auto"/>
                  </w:pPr>
                  <w:r>
                    <w:rPr>
                      <w:rFonts w:hint="eastAsia"/>
                    </w:rPr>
                    <w:t>m</w:t>
                  </w:r>
                </w:p>
              </w:tc>
              <w:tc>
                <w:tcPr>
                  <w:tcW w:w="38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净空</w:t>
                  </w:r>
                </w:p>
                <w:p>
                  <w:pPr>
                    <w:pStyle w:val="20"/>
                    <w:pageBreakBefore w:val="0"/>
                    <w:kinsoku/>
                    <w:wordWrap/>
                    <w:topLinePunct w:val="0"/>
                    <w:autoSpaceDE/>
                    <w:autoSpaceDN/>
                    <w:bidi w:val="0"/>
                    <w:textAlignment w:val="auto"/>
                  </w:pPr>
                  <w:r>
                    <w:rPr>
                      <w:rFonts w:hint="eastAsia"/>
                    </w:rPr>
                    <w:t>面积</w:t>
                  </w:r>
                </w:p>
                <w:p>
                  <w:pPr>
                    <w:pStyle w:val="20"/>
                    <w:pageBreakBefore w:val="0"/>
                    <w:kinsoku/>
                    <w:wordWrap/>
                    <w:topLinePunct w:val="0"/>
                    <w:autoSpaceDE/>
                    <w:autoSpaceDN/>
                    <w:bidi w:val="0"/>
                    <w:textAlignment w:val="auto"/>
                  </w:pPr>
                  <w:r>
                    <w:rPr>
                      <w:rFonts w:hint="eastAsia"/>
                    </w:rPr>
                    <w:t>比</w:t>
                  </w:r>
                </w:p>
              </w:tc>
              <w:tc>
                <w:tcPr>
                  <w:tcW w:w="42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水力</w:t>
                  </w:r>
                </w:p>
                <w:p>
                  <w:pPr>
                    <w:pStyle w:val="20"/>
                    <w:pageBreakBefore w:val="0"/>
                    <w:kinsoku/>
                    <w:wordWrap/>
                    <w:topLinePunct w:val="0"/>
                    <w:autoSpaceDE/>
                    <w:autoSpaceDN/>
                    <w:bidi w:val="0"/>
                    <w:textAlignment w:val="auto"/>
                  </w:pPr>
                  <w:r>
                    <w:rPr>
                      <w:rFonts w:hint="eastAsia"/>
                    </w:rPr>
                    <w:t>半径</w:t>
                  </w:r>
                </w:p>
                <w:p>
                  <w:pPr>
                    <w:pStyle w:val="20"/>
                    <w:pageBreakBefore w:val="0"/>
                    <w:kinsoku/>
                    <w:wordWrap/>
                    <w:topLinePunct w:val="0"/>
                    <w:autoSpaceDE/>
                    <w:autoSpaceDN/>
                    <w:bidi w:val="0"/>
                    <w:textAlignment w:val="auto"/>
                  </w:pPr>
                  <w:r>
                    <w:rPr>
                      <w:rFonts w:hint="eastAsia"/>
                    </w:rPr>
                    <w:t>m</w:t>
                  </w:r>
                </w:p>
              </w:tc>
              <w:tc>
                <w:tcPr>
                  <w:tcW w:w="502"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过水断</w:t>
                  </w:r>
                </w:p>
                <w:p>
                  <w:pPr>
                    <w:pStyle w:val="20"/>
                    <w:pageBreakBefore w:val="0"/>
                    <w:kinsoku/>
                    <w:wordWrap/>
                    <w:topLinePunct w:val="0"/>
                    <w:autoSpaceDE/>
                    <w:autoSpaceDN/>
                    <w:bidi w:val="0"/>
                    <w:textAlignment w:val="auto"/>
                  </w:pPr>
                  <w:r>
                    <w:rPr>
                      <w:rFonts w:hint="eastAsia"/>
                    </w:rPr>
                    <w:t>面面积</w:t>
                  </w:r>
                </w:p>
                <w:p>
                  <w:pPr>
                    <w:pStyle w:val="20"/>
                    <w:pageBreakBefore w:val="0"/>
                    <w:kinsoku/>
                    <w:wordWrap/>
                    <w:topLinePunct w:val="0"/>
                    <w:autoSpaceDE/>
                    <w:autoSpaceDN/>
                    <w:bidi w:val="0"/>
                    <w:textAlignment w:val="auto"/>
                    <w:rPr>
                      <w:rFonts w:hint="default" w:eastAsia="宋体"/>
                      <w:lang w:val="en-US" w:eastAsia="zh-CN"/>
                    </w:rPr>
                  </w:pPr>
                  <w:r>
                    <w:rPr>
                      <w:rFonts w:hint="eastAsia"/>
                      <w:lang w:val="en-US" w:eastAsia="zh-CN"/>
                    </w:rPr>
                    <w:t>m</w:t>
                  </w:r>
                  <w:r>
                    <w:rPr>
                      <w:rFonts w:hint="eastAsia"/>
                      <w:vertAlign w:val="superscript"/>
                      <w:lang w:val="en-US" w:eastAsia="zh-CN"/>
                    </w:rPr>
                    <w:t>2</w:t>
                  </w:r>
                </w:p>
              </w:tc>
              <w:tc>
                <w:tcPr>
                  <w:tcW w:w="371"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湿周</w:t>
                  </w:r>
                </w:p>
              </w:tc>
            </w:tr>
            <w:tr>
              <w:tblPrEx>
                <w:tblCellMar>
                  <w:top w:w="0" w:type="dxa"/>
                  <w:left w:w="108" w:type="dxa"/>
                  <w:bottom w:w="0" w:type="dxa"/>
                  <w:right w:w="108" w:type="dxa"/>
                </w:tblCellMar>
              </w:tblPrEx>
              <w:trPr>
                <w:trHeight w:val="259" w:hRule="atLeast"/>
              </w:trPr>
              <w:tc>
                <w:tcPr>
                  <w:tcW w:w="842"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0+000-0+401</w:t>
                  </w:r>
                </w:p>
              </w:tc>
              <w:tc>
                <w:tcPr>
                  <w:tcW w:w="447"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0.054</w:t>
                  </w:r>
                </w:p>
              </w:tc>
              <w:tc>
                <w:tcPr>
                  <w:tcW w:w="432"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0.071</w:t>
                  </w:r>
                </w:p>
              </w:tc>
              <w:tc>
                <w:tcPr>
                  <w:tcW w:w="38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0.4</w:t>
                  </w:r>
                </w:p>
              </w:tc>
              <w:tc>
                <w:tcPr>
                  <w:tcW w:w="42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1/154</w:t>
                  </w:r>
                </w:p>
              </w:tc>
              <w:tc>
                <w:tcPr>
                  <w:tcW w:w="38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1.45</w:t>
                  </w:r>
                </w:p>
              </w:tc>
              <w:tc>
                <w:tcPr>
                  <w:tcW w:w="38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0.67</w:t>
                  </w:r>
                </w:p>
              </w:tc>
              <w:tc>
                <w:tcPr>
                  <w:tcW w:w="38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90%</w:t>
                  </w:r>
                </w:p>
              </w:tc>
              <w:tc>
                <w:tcPr>
                  <w:tcW w:w="42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0.080</w:t>
                  </w:r>
                </w:p>
              </w:tc>
              <w:tc>
                <w:tcPr>
                  <w:tcW w:w="502"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0.049</w:t>
                  </w:r>
                </w:p>
              </w:tc>
              <w:tc>
                <w:tcPr>
                  <w:tcW w:w="371"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0.65</w:t>
                  </w:r>
                </w:p>
              </w:tc>
            </w:tr>
            <w:tr>
              <w:tblPrEx>
                <w:tblCellMar>
                  <w:top w:w="0" w:type="dxa"/>
                  <w:left w:w="108" w:type="dxa"/>
                  <w:bottom w:w="0" w:type="dxa"/>
                  <w:right w:w="108" w:type="dxa"/>
                </w:tblCellMar>
              </w:tblPrEx>
              <w:trPr>
                <w:trHeight w:val="259" w:hRule="atLeast"/>
              </w:trPr>
              <w:tc>
                <w:tcPr>
                  <w:tcW w:w="842"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0+401-1+327</w:t>
                  </w:r>
                </w:p>
              </w:tc>
              <w:tc>
                <w:tcPr>
                  <w:tcW w:w="447"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0.054</w:t>
                  </w:r>
                </w:p>
              </w:tc>
              <w:tc>
                <w:tcPr>
                  <w:tcW w:w="432"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0.071</w:t>
                  </w:r>
                </w:p>
              </w:tc>
              <w:tc>
                <w:tcPr>
                  <w:tcW w:w="38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0.4</w:t>
                  </w:r>
                </w:p>
              </w:tc>
              <w:tc>
                <w:tcPr>
                  <w:tcW w:w="42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1/274</w:t>
                  </w:r>
                </w:p>
              </w:tc>
              <w:tc>
                <w:tcPr>
                  <w:tcW w:w="38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1.18</w:t>
                  </w:r>
                </w:p>
              </w:tc>
              <w:tc>
                <w:tcPr>
                  <w:tcW w:w="38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0.70</w:t>
                  </w:r>
                </w:p>
              </w:tc>
              <w:tc>
                <w:tcPr>
                  <w:tcW w:w="38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88%</w:t>
                  </w:r>
                </w:p>
              </w:tc>
              <w:tc>
                <w:tcPr>
                  <w:tcW w:w="42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0.090</w:t>
                  </w:r>
                </w:p>
              </w:tc>
              <w:tc>
                <w:tcPr>
                  <w:tcW w:w="502"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0.060</w:t>
                  </w:r>
                </w:p>
              </w:tc>
              <w:tc>
                <w:tcPr>
                  <w:tcW w:w="371"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0.69</w:t>
                  </w:r>
                </w:p>
              </w:tc>
            </w:tr>
            <w:tr>
              <w:tblPrEx>
                <w:tblCellMar>
                  <w:top w:w="0" w:type="dxa"/>
                  <w:left w:w="108" w:type="dxa"/>
                  <w:bottom w:w="0" w:type="dxa"/>
                  <w:right w:w="108" w:type="dxa"/>
                </w:tblCellMar>
              </w:tblPrEx>
              <w:trPr>
                <w:trHeight w:val="259" w:hRule="atLeast"/>
              </w:trPr>
              <w:tc>
                <w:tcPr>
                  <w:tcW w:w="842"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1+327-2+995</w:t>
                  </w:r>
                </w:p>
              </w:tc>
              <w:tc>
                <w:tcPr>
                  <w:tcW w:w="447"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0.054</w:t>
                  </w:r>
                </w:p>
              </w:tc>
              <w:tc>
                <w:tcPr>
                  <w:tcW w:w="432"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0.071</w:t>
                  </w:r>
                </w:p>
              </w:tc>
              <w:tc>
                <w:tcPr>
                  <w:tcW w:w="38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0.4</w:t>
                  </w:r>
                </w:p>
              </w:tc>
              <w:tc>
                <w:tcPr>
                  <w:tcW w:w="42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1/179</w:t>
                  </w:r>
                </w:p>
              </w:tc>
              <w:tc>
                <w:tcPr>
                  <w:tcW w:w="38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1.79</w:t>
                  </w:r>
                </w:p>
              </w:tc>
              <w:tc>
                <w:tcPr>
                  <w:tcW w:w="38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0.67</w:t>
                  </w:r>
                </w:p>
              </w:tc>
              <w:tc>
                <w:tcPr>
                  <w:tcW w:w="38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90%</w:t>
                  </w:r>
                </w:p>
              </w:tc>
              <w:tc>
                <w:tcPr>
                  <w:tcW w:w="42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0.080</w:t>
                  </w:r>
                </w:p>
              </w:tc>
              <w:tc>
                <w:tcPr>
                  <w:tcW w:w="502"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0.052</w:t>
                  </w:r>
                </w:p>
              </w:tc>
              <w:tc>
                <w:tcPr>
                  <w:tcW w:w="371"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0.65</w:t>
                  </w:r>
                </w:p>
              </w:tc>
            </w:tr>
            <w:tr>
              <w:tblPrEx>
                <w:tblCellMar>
                  <w:top w:w="0" w:type="dxa"/>
                  <w:left w:w="108" w:type="dxa"/>
                  <w:bottom w:w="0" w:type="dxa"/>
                  <w:right w:w="108" w:type="dxa"/>
                </w:tblCellMar>
              </w:tblPrEx>
              <w:trPr>
                <w:trHeight w:val="259" w:hRule="atLeast"/>
              </w:trPr>
              <w:tc>
                <w:tcPr>
                  <w:tcW w:w="842"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3+402-3+511</w:t>
                  </w:r>
                </w:p>
              </w:tc>
              <w:tc>
                <w:tcPr>
                  <w:tcW w:w="447"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0.054</w:t>
                  </w:r>
                </w:p>
              </w:tc>
              <w:tc>
                <w:tcPr>
                  <w:tcW w:w="432"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0.071</w:t>
                  </w:r>
                </w:p>
              </w:tc>
              <w:tc>
                <w:tcPr>
                  <w:tcW w:w="38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0.4</w:t>
                  </w:r>
                </w:p>
              </w:tc>
              <w:tc>
                <w:tcPr>
                  <w:tcW w:w="42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1/9</w:t>
                  </w:r>
                </w:p>
              </w:tc>
              <w:tc>
                <w:tcPr>
                  <w:tcW w:w="38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4.06</w:t>
                  </w:r>
                </w:p>
              </w:tc>
              <w:tc>
                <w:tcPr>
                  <w:tcW w:w="38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0.74</w:t>
                  </w:r>
                </w:p>
              </w:tc>
              <w:tc>
                <w:tcPr>
                  <w:tcW w:w="38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96%</w:t>
                  </w:r>
                </w:p>
              </w:tc>
              <w:tc>
                <w:tcPr>
                  <w:tcW w:w="42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0.040</w:t>
                  </w:r>
                </w:p>
              </w:tc>
              <w:tc>
                <w:tcPr>
                  <w:tcW w:w="502"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0.018</w:t>
                  </w:r>
                </w:p>
              </w:tc>
              <w:tc>
                <w:tcPr>
                  <w:tcW w:w="371"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0.45</w:t>
                  </w:r>
                </w:p>
              </w:tc>
            </w:tr>
            <w:tr>
              <w:tblPrEx>
                <w:tblCellMar>
                  <w:top w:w="0" w:type="dxa"/>
                  <w:left w:w="108" w:type="dxa"/>
                  <w:bottom w:w="0" w:type="dxa"/>
                  <w:right w:w="108" w:type="dxa"/>
                </w:tblCellMar>
              </w:tblPrEx>
              <w:trPr>
                <w:trHeight w:val="270" w:hRule="atLeast"/>
              </w:trPr>
              <w:tc>
                <w:tcPr>
                  <w:tcW w:w="842"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3+511-4120</w:t>
                  </w:r>
                </w:p>
              </w:tc>
              <w:tc>
                <w:tcPr>
                  <w:tcW w:w="447"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0.054</w:t>
                  </w:r>
                </w:p>
              </w:tc>
              <w:tc>
                <w:tcPr>
                  <w:tcW w:w="432"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0.071</w:t>
                  </w:r>
                </w:p>
              </w:tc>
              <w:tc>
                <w:tcPr>
                  <w:tcW w:w="38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0.4</w:t>
                  </w:r>
                </w:p>
              </w:tc>
              <w:tc>
                <w:tcPr>
                  <w:tcW w:w="42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1/37</w:t>
                  </w:r>
                </w:p>
              </w:tc>
              <w:tc>
                <w:tcPr>
                  <w:tcW w:w="38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3.13</w:t>
                  </w:r>
                </w:p>
              </w:tc>
              <w:tc>
                <w:tcPr>
                  <w:tcW w:w="38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0.71</w:t>
                  </w:r>
                </w:p>
              </w:tc>
              <w:tc>
                <w:tcPr>
                  <w:tcW w:w="38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94%</w:t>
                  </w:r>
                </w:p>
              </w:tc>
              <w:tc>
                <w:tcPr>
                  <w:tcW w:w="42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0.055</w:t>
                  </w:r>
                </w:p>
              </w:tc>
              <w:tc>
                <w:tcPr>
                  <w:tcW w:w="502"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0.03</w:t>
                  </w:r>
                </w:p>
              </w:tc>
              <w:tc>
                <w:tcPr>
                  <w:tcW w:w="371"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0.54</w:t>
                  </w:r>
                </w:p>
              </w:tc>
            </w:tr>
          </w:tbl>
          <w:p>
            <w:pPr>
              <w:pStyle w:val="21"/>
              <w:pageBreakBefore w:val="0"/>
              <w:kinsoku/>
              <w:wordWrap/>
              <w:topLinePunct w:val="0"/>
              <w:autoSpaceDE/>
              <w:autoSpaceDN/>
              <w:bidi w:val="0"/>
              <w:textAlignment w:val="auto"/>
            </w:pPr>
            <w:r>
              <w:rPr>
                <w:rFonts w:hint="eastAsia"/>
              </w:rPr>
              <w:t>表2-7下洛哇灌区干管水力特征表</w:t>
            </w:r>
          </w:p>
          <w:tbl>
            <w:tblPr>
              <w:tblStyle w:val="14"/>
              <w:tblW w:w="4997" w:type="pct"/>
              <w:tblInd w:w="0" w:type="dxa"/>
              <w:tblLayout w:type="fixed"/>
              <w:tblCellMar>
                <w:top w:w="0" w:type="dxa"/>
                <w:left w:w="108" w:type="dxa"/>
                <w:bottom w:w="0" w:type="dxa"/>
                <w:right w:w="108" w:type="dxa"/>
              </w:tblCellMar>
            </w:tblPr>
            <w:tblGrid>
              <w:gridCol w:w="1384"/>
              <w:gridCol w:w="721"/>
              <w:gridCol w:w="699"/>
              <w:gridCol w:w="591"/>
              <w:gridCol w:w="706"/>
              <w:gridCol w:w="747"/>
              <w:gridCol w:w="658"/>
              <w:gridCol w:w="671"/>
              <w:gridCol w:w="699"/>
              <w:gridCol w:w="811"/>
              <w:gridCol w:w="608"/>
            </w:tblGrid>
            <w:tr>
              <w:tblPrEx>
                <w:tblCellMar>
                  <w:top w:w="0" w:type="dxa"/>
                  <w:left w:w="108" w:type="dxa"/>
                  <w:bottom w:w="0" w:type="dxa"/>
                  <w:right w:w="108" w:type="dxa"/>
                </w:tblCellMar>
              </w:tblPrEx>
              <w:tc>
                <w:tcPr>
                  <w:tcW w:w="833"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名称</w:t>
                  </w:r>
                </w:p>
              </w:tc>
              <w:tc>
                <w:tcPr>
                  <w:tcW w:w="434" w:type="pct"/>
                  <w:tcBorders>
                    <w:top w:val="single" w:color="000000" w:sz="4" w:space="0"/>
                    <w:left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设计</w:t>
                  </w:r>
                </w:p>
                <w:p>
                  <w:pPr>
                    <w:pStyle w:val="20"/>
                    <w:pageBreakBefore w:val="0"/>
                    <w:kinsoku/>
                    <w:wordWrap/>
                    <w:topLinePunct w:val="0"/>
                    <w:autoSpaceDE/>
                    <w:autoSpaceDN/>
                    <w:bidi w:val="0"/>
                    <w:textAlignment w:val="auto"/>
                  </w:pPr>
                  <w:r>
                    <w:rPr>
                      <w:rFonts w:hint="eastAsia"/>
                    </w:rPr>
                    <w:t>流量</w:t>
                  </w:r>
                </w:p>
                <w:p>
                  <w:pPr>
                    <w:pStyle w:val="20"/>
                    <w:pageBreakBefore w:val="0"/>
                    <w:kinsoku/>
                    <w:wordWrap/>
                    <w:topLinePunct w:val="0"/>
                    <w:autoSpaceDE/>
                    <w:autoSpaceDN/>
                    <w:bidi w:val="0"/>
                    <w:textAlignment w:val="auto"/>
                  </w:pPr>
                  <w:r>
                    <w:rPr>
                      <w:rFonts w:hint="eastAsia"/>
                    </w:rPr>
                    <w:t>m</w:t>
                  </w:r>
                  <w:r>
                    <w:rPr>
                      <w:rFonts w:hint="eastAsia"/>
                      <w:vertAlign w:val="superscript"/>
                    </w:rPr>
                    <w:t>3</w:t>
                  </w:r>
                  <w:r>
                    <w:rPr>
                      <w:rFonts w:hint="eastAsia"/>
                    </w:rPr>
                    <w:t>/s</w:t>
                  </w:r>
                </w:p>
              </w:tc>
              <w:tc>
                <w:tcPr>
                  <w:tcW w:w="421"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加大</w:t>
                  </w:r>
                </w:p>
                <w:p>
                  <w:pPr>
                    <w:pStyle w:val="20"/>
                    <w:pageBreakBefore w:val="0"/>
                    <w:kinsoku/>
                    <w:wordWrap/>
                    <w:topLinePunct w:val="0"/>
                    <w:autoSpaceDE/>
                    <w:autoSpaceDN/>
                    <w:bidi w:val="0"/>
                    <w:textAlignment w:val="auto"/>
                  </w:pPr>
                  <w:r>
                    <w:rPr>
                      <w:rFonts w:hint="eastAsia"/>
                    </w:rPr>
                    <w:t>流量</w:t>
                  </w:r>
                </w:p>
                <w:p>
                  <w:pPr>
                    <w:pStyle w:val="20"/>
                    <w:pageBreakBefore w:val="0"/>
                    <w:kinsoku/>
                    <w:wordWrap/>
                    <w:topLinePunct w:val="0"/>
                    <w:autoSpaceDE/>
                    <w:autoSpaceDN/>
                    <w:bidi w:val="0"/>
                    <w:textAlignment w:val="auto"/>
                  </w:pPr>
                  <w:r>
                    <w:rPr>
                      <w:rFonts w:hint="eastAsia"/>
                    </w:rPr>
                    <w:t>m</w:t>
                  </w:r>
                  <w:r>
                    <w:rPr>
                      <w:rFonts w:hint="eastAsia"/>
                      <w:vertAlign w:val="superscript"/>
                    </w:rPr>
                    <w:t>3</w:t>
                  </w:r>
                  <w:r>
                    <w:rPr>
                      <w:rFonts w:hint="eastAsia"/>
                    </w:rPr>
                    <w:t>/s</w:t>
                  </w:r>
                </w:p>
              </w:tc>
              <w:tc>
                <w:tcPr>
                  <w:tcW w:w="35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管径</w:t>
                  </w:r>
                </w:p>
                <w:p>
                  <w:pPr>
                    <w:pStyle w:val="20"/>
                    <w:pageBreakBefore w:val="0"/>
                    <w:kinsoku/>
                    <w:wordWrap/>
                    <w:topLinePunct w:val="0"/>
                    <w:autoSpaceDE/>
                    <w:autoSpaceDN/>
                    <w:bidi w:val="0"/>
                    <w:textAlignment w:val="auto"/>
                  </w:pPr>
                  <w:r>
                    <w:rPr>
                      <w:rFonts w:hint="eastAsia"/>
                    </w:rPr>
                    <w:t>m</w:t>
                  </w:r>
                </w:p>
              </w:tc>
              <w:tc>
                <w:tcPr>
                  <w:tcW w:w="425"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比降</w:t>
                  </w:r>
                </w:p>
              </w:tc>
              <w:tc>
                <w:tcPr>
                  <w:tcW w:w="450"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流速</w:t>
                  </w:r>
                </w:p>
                <w:p>
                  <w:pPr>
                    <w:pStyle w:val="20"/>
                    <w:pageBreakBefore w:val="0"/>
                    <w:kinsoku/>
                    <w:wordWrap/>
                    <w:topLinePunct w:val="0"/>
                    <w:autoSpaceDE/>
                    <w:autoSpaceDN/>
                    <w:bidi w:val="0"/>
                    <w:textAlignment w:val="auto"/>
                  </w:pPr>
                  <w:r>
                    <w:rPr>
                      <w:rFonts w:hint="eastAsia"/>
                    </w:rPr>
                    <w:t>m</w:t>
                  </w:r>
                  <w:r>
                    <w:rPr>
                      <w:rFonts w:hint="eastAsia"/>
                      <w:vertAlign w:val="superscript"/>
                    </w:rPr>
                    <w:t>3</w:t>
                  </w:r>
                  <w:r>
                    <w:rPr>
                      <w:rFonts w:hint="eastAsia"/>
                    </w:rPr>
                    <w:t>/s</w:t>
                  </w:r>
                </w:p>
              </w:tc>
              <w:tc>
                <w:tcPr>
                  <w:tcW w:w="39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净空</w:t>
                  </w:r>
                </w:p>
                <w:p>
                  <w:pPr>
                    <w:pStyle w:val="20"/>
                    <w:pageBreakBefore w:val="0"/>
                    <w:kinsoku/>
                    <w:wordWrap/>
                    <w:topLinePunct w:val="0"/>
                    <w:autoSpaceDE/>
                    <w:autoSpaceDN/>
                    <w:bidi w:val="0"/>
                    <w:textAlignment w:val="auto"/>
                  </w:pPr>
                  <w:r>
                    <w:rPr>
                      <w:rFonts w:hint="eastAsia"/>
                    </w:rPr>
                    <w:t>高度</w:t>
                  </w:r>
                </w:p>
                <w:p>
                  <w:pPr>
                    <w:pStyle w:val="20"/>
                    <w:pageBreakBefore w:val="0"/>
                    <w:kinsoku/>
                    <w:wordWrap/>
                    <w:topLinePunct w:val="0"/>
                    <w:autoSpaceDE/>
                    <w:autoSpaceDN/>
                    <w:bidi w:val="0"/>
                    <w:textAlignment w:val="auto"/>
                  </w:pPr>
                  <w:r>
                    <w:rPr>
                      <w:rFonts w:hint="eastAsia"/>
                    </w:rPr>
                    <w:t>m</w:t>
                  </w:r>
                </w:p>
              </w:tc>
              <w:tc>
                <w:tcPr>
                  <w:tcW w:w="404"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净空面积比</w:t>
                  </w:r>
                </w:p>
              </w:tc>
              <w:tc>
                <w:tcPr>
                  <w:tcW w:w="421"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水力</w:t>
                  </w:r>
                </w:p>
                <w:p>
                  <w:pPr>
                    <w:pStyle w:val="20"/>
                    <w:pageBreakBefore w:val="0"/>
                    <w:kinsoku/>
                    <w:wordWrap/>
                    <w:topLinePunct w:val="0"/>
                    <w:autoSpaceDE/>
                    <w:autoSpaceDN/>
                    <w:bidi w:val="0"/>
                    <w:textAlignment w:val="auto"/>
                  </w:pPr>
                  <w:r>
                    <w:rPr>
                      <w:rFonts w:hint="eastAsia"/>
                    </w:rPr>
                    <w:t>半径</w:t>
                  </w:r>
                </w:p>
                <w:p>
                  <w:pPr>
                    <w:pStyle w:val="20"/>
                    <w:pageBreakBefore w:val="0"/>
                    <w:kinsoku/>
                    <w:wordWrap/>
                    <w:topLinePunct w:val="0"/>
                    <w:autoSpaceDE/>
                    <w:autoSpaceDN/>
                    <w:bidi w:val="0"/>
                    <w:textAlignment w:val="auto"/>
                  </w:pPr>
                  <w:r>
                    <w:rPr>
                      <w:rFonts w:hint="eastAsia"/>
                    </w:rPr>
                    <w:t>m</w:t>
                  </w:r>
                </w:p>
              </w:tc>
              <w:tc>
                <w:tcPr>
                  <w:tcW w:w="48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过水断</w:t>
                  </w:r>
                </w:p>
                <w:p>
                  <w:pPr>
                    <w:pStyle w:val="20"/>
                    <w:pageBreakBefore w:val="0"/>
                    <w:kinsoku/>
                    <w:wordWrap/>
                    <w:topLinePunct w:val="0"/>
                    <w:autoSpaceDE/>
                    <w:autoSpaceDN/>
                    <w:bidi w:val="0"/>
                    <w:textAlignment w:val="auto"/>
                  </w:pPr>
                  <w:r>
                    <w:rPr>
                      <w:rFonts w:hint="eastAsia"/>
                    </w:rPr>
                    <w:t>面面积</w:t>
                  </w:r>
                </w:p>
                <w:p>
                  <w:pPr>
                    <w:pStyle w:val="20"/>
                    <w:pageBreakBefore w:val="0"/>
                    <w:kinsoku/>
                    <w:wordWrap/>
                    <w:topLinePunct w:val="0"/>
                    <w:autoSpaceDE/>
                    <w:autoSpaceDN/>
                    <w:bidi w:val="0"/>
                    <w:textAlignment w:val="auto"/>
                  </w:pPr>
                  <w:r>
                    <w:rPr>
                      <w:rFonts w:hint="eastAsia"/>
                    </w:rPr>
                    <w:t>m</w:t>
                  </w:r>
                  <w:r>
                    <w:rPr>
                      <w:rFonts w:hint="eastAsia"/>
                      <w:vertAlign w:val="superscript"/>
                    </w:rPr>
                    <w:t>2</w:t>
                  </w:r>
                </w:p>
              </w:tc>
              <w:tc>
                <w:tcPr>
                  <w:tcW w:w="36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湿周</w:t>
                  </w:r>
                </w:p>
              </w:tc>
            </w:tr>
            <w:tr>
              <w:tblPrEx>
                <w:tblCellMar>
                  <w:top w:w="0" w:type="dxa"/>
                  <w:left w:w="108" w:type="dxa"/>
                  <w:bottom w:w="0" w:type="dxa"/>
                  <w:right w:w="108" w:type="dxa"/>
                </w:tblCellMar>
              </w:tblPrEx>
              <w:tc>
                <w:tcPr>
                  <w:tcW w:w="833"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0+000-0+296</w:t>
                  </w:r>
                </w:p>
              </w:tc>
              <w:tc>
                <w:tcPr>
                  <w:tcW w:w="434"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0.036</w:t>
                  </w:r>
                </w:p>
              </w:tc>
              <w:tc>
                <w:tcPr>
                  <w:tcW w:w="421"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0.047</w:t>
                  </w:r>
                </w:p>
              </w:tc>
              <w:tc>
                <w:tcPr>
                  <w:tcW w:w="35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0.4</w:t>
                  </w:r>
                </w:p>
              </w:tc>
              <w:tc>
                <w:tcPr>
                  <w:tcW w:w="425"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1/30</w:t>
                  </w:r>
                </w:p>
              </w:tc>
              <w:tc>
                <w:tcPr>
                  <w:tcW w:w="450"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2.26</w:t>
                  </w:r>
                </w:p>
              </w:tc>
              <w:tc>
                <w:tcPr>
                  <w:tcW w:w="39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0.70</w:t>
                  </w:r>
                </w:p>
              </w:tc>
              <w:tc>
                <w:tcPr>
                  <w:tcW w:w="404"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96%</w:t>
                  </w:r>
                </w:p>
              </w:tc>
              <w:tc>
                <w:tcPr>
                  <w:tcW w:w="421"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0.044</w:t>
                  </w:r>
                </w:p>
              </w:tc>
              <w:tc>
                <w:tcPr>
                  <w:tcW w:w="48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0.021</w:t>
                  </w:r>
                </w:p>
              </w:tc>
              <w:tc>
                <w:tcPr>
                  <w:tcW w:w="36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0.47</w:t>
                  </w:r>
                </w:p>
              </w:tc>
            </w:tr>
            <w:tr>
              <w:tblPrEx>
                <w:tblCellMar>
                  <w:top w:w="0" w:type="dxa"/>
                  <w:left w:w="108" w:type="dxa"/>
                  <w:bottom w:w="0" w:type="dxa"/>
                  <w:right w:w="108" w:type="dxa"/>
                </w:tblCellMar>
              </w:tblPrEx>
              <w:tc>
                <w:tcPr>
                  <w:tcW w:w="833"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0+296-0+522</w:t>
                  </w:r>
                </w:p>
              </w:tc>
              <w:tc>
                <w:tcPr>
                  <w:tcW w:w="434"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0.036</w:t>
                  </w:r>
                </w:p>
              </w:tc>
              <w:tc>
                <w:tcPr>
                  <w:tcW w:w="421"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0.047</w:t>
                  </w:r>
                </w:p>
              </w:tc>
              <w:tc>
                <w:tcPr>
                  <w:tcW w:w="35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0.4</w:t>
                  </w:r>
                </w:p>
              </w:tc>
              <w:tc>
                <w:tcPr>
                  <w:tcW w:w="425"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1/56</w:t>
                  </w:r>
                </w:p>
              </w:tc>
              <w:tc>
                <w:tcPr>
                  <w:tcW w:w="450"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1.82</w:t>
                  </w:r>
                </w:p>
              </w:tc>
              <w:tc>
                <w:tcPr>
                  <w:tcW w:w="39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0.72</w:t>
                  </w:r>
                </w:p>
              </w:tc>
              <w:tc>
                <w:tcPr>
                  <w:tcW w:w="404"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95%</w:t>
                  </w:r>
                </w:p>
              </w:tc>
              <w:tc>
                <w:tcPr>
                  <w:tcW w:w="421"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0.05</w:t>
                  </w:r>
                </w:p>
              </w:tc>
              <w:tc>
                <w:tcPr>
                  <w:tcW w:w="48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0.026</w:t>
                  </w:r>
                </w:p>
              </w:tc>
              <w:tc>
                <w:tcPr>
                  <w:tcW w:w="36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0.51</w:t>
                  </w:r>
                </w:p>
              </w:tc>
            </w:tr>
            <w:tr>
              <w:tblPrEx>
                <w:tblCellMar>
                  <w:top w:w="0" w:type="dxa"/>
                  <w:left w:w="108" w:type="dxa"/>
                  <w:bottom w:w="0" w:type="dxa"/>
                  <w:right w:w="108" w:type="dxa"/>
                </w:tblCellMar>
              </w:tblPrEx>
              <w:tc>
                <w:tcPr>
                  <w:tcW w:w="833"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0+522-0+629</w:t>
                  </w:r>
                </w:p>
              </w:tc>
              <w:tc>
                <w:tcPr>
                  <w:tcW w:w="434"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0.036</w:t>
                  </w:r>
                </w:p>
              </w:tc>
              <w:tc>
                <w:tcPr>
                  <w:tcW w:w="421"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0.047</w:t>
                  </w:r>
                </w:p>
              </w:tc>
              <w:tc>
                <w:tcPr>
                  <w:tcW w:w="35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0.4</w:t>
                  </w:r>
                </w:p>
              </w:tc>
              <w:tc>
                <w:tcPr>
                  <w:tcW w:w="425"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1/44</w:t>
                  </w:r>
                </w:p>
              </w:tc>
              <w:tc>
                <w:tcPr>
                  <w:tcW w:w="450"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1.99</w:t>
                  </w:r>
                </w:p>
              </w:tc>
              <w:tc>
                <w:tcPr>
                  <w:tcW w:w="39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0.73</w:t>
                  </w:r>
                </w:p>
              </w:tc>
              <w:tc>
                <w:tcPr>
                  <w:tcW w:w="404"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95%</w:t>
                  </w:r>
                </w:p>
              </w:tc>
              <w:tc>
                <w:tcPr>
                  <w:tcW w:w="421"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0.047</w:t>
                  </w:r>
                </w:p>
              </w:tc>
              <w:tc>
                <w:tcPr>
                  <w:tcW w:w="48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0.024</w:t>
                  </w:r>
                </w:p>
              </w:tc>
              <w:tc>
                <w:tcPr>
                  <w:tcW w:w="36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0.5</w:t>
                  </w:r>
                </w:p>
              </w:tc>
            </w:tr>
            <w:tr>
              <w:tblPrEx>
                <w:tblCellMar>
                  <w:top w:w="0" w:type="dxa"/>
                  <w:left w:w="108" w:type="dxa"/>
                  <w:bottom w:w="0" w:type="dxa"/>
                  <w:right w:w="108" w:type="dxa"/>
                </w:tblCellMar>
              </w:tblPrEx>
              <w:tc>
                <w:tcPr>
                  <w:tcW w:w="833"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0+629-0+794</w:t>
                  </w:r>
                </w:p>
              </w:tc>
              <w:tc>
                <w:tcPr>
                  <w:tcW w:w="434"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0.036</w:t>
                  </w:r>
                </w:p>
              </w:tc>
              <w:tc>
                <w:tcPr>
                  <w:tcW w:w="421"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0.047</w:t>
                  </w:r>
                </w:p>
              </w:tc>
              <w:tc>
                <w:tcPr>
                  <w:tcW w:w="35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0.4</w:t>
                  </w:r>
                </w:p>
              </w:tc>
              <w:tc>
                <w:tcPr>
                  <w:tcW w:w="425"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1/125</w:t>
                  </w:r>
                </w:p>
              </w:tc>
              <w:tc>
                <w:tcPr>
                  <w:tcW w:w="450"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1.38</w:t>
                  </w:r>
                </w:p>
              </w:tc>
              <w:tc>
                <w:tcPr>
                  <w:tcW w:w="39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0.7</w:t>
                  </w:r>
                </w:p>
              </w:tc>
              <w:tc>
                <w:tcPr>
                  <w:tcW w:w="404"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93%</w:t>
                  </w:r>
                </w:p>
              </w:tc>
              <w:tc>
                <w:tcPr>
                  <w:tcW w:w="421"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0.06</w:t>
                  </w:r>
                </w:p>
              </w:tc>
              <w:tc>
                <w:tcPr>
                  <w:tcW w:w="488"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0.034</w:t>
                  </w:r>
                </w:p>
              </w:tc>
              <w:tc>
                <w:tcPr>
                  <w:tcW w:w="36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20"/>
                    <w:pageBreakBefore w:val="0"/>
                    <w:kinsoku/>
                    <w:wordWrap/>
                    <w:topLinePunct w:val="0"/>
                    <w:autoSpaceDE/>
                    <w:autoSpaceDN/>
                    <w:bidi w:val="0"/>
                    <w:textAlignment w:val="auto"/>
                  </w:pPr>
                  <w:r>
                    <w:rPr>
                      <w:rFonts w:hint="eastAsia"/>
                    </w:rPr>
                    <w:t>0.57</w:t>
                  </w:r>
                </w:p>
              </w:tc>
            </w:tr>
          </w:tbl>
          <w:p>
            <w:pPr>
              <w:pStyle w:val="4"/>
              <w:pageBreakBefore w:val="0"/>
              <w:kinsoku/>
              <w:wordWrap/>
              <w:topLinePunct w:val="0"/>
              <w:autoSpaceDE/>
              <w:autoSpaceDN/>
              <w:bidi w:val="0"/>
              <w:textAlignment w:val="auto"/>
            </w:pPr>
            <w:r>
              <w:rPr>
                <w:rFonts w:hint="eastAsia"/>
              </w:rPr>
              <w:t>6.2引水口</w:t>
            </w:r>
          </w:p>
          <w:p>
            <w:pPr>
              <w:pStyle w:val="13"/>
              <w:pageBreakBefore w:val="0"/>
              <w:kinsoku/>
              <w:wordWrap/>
              <w:topLinePunct w:val="0"/>
              <w:autoSpaceDE/>
              <w:autoSpaceDN/>
              <w:bidi w:val="0"/>
              <w:ind w:firstLine="480"/>
              <w:textAlignment w:val="auto"/>
              <w:rPr>
                <w:rFonts w:hint="eastAsia" w:eastAsia="宋体"/>
                <w:lang w:eastAsia="zh-CN"/>
              </w:rPr>
            </w:pPr>
            <w:r>
              <w:rPr>
                <w:rFonts w:hint="eastAsia"/>
              </w:rPr>
              <w:t>（1）进水闸</w:t>
            </w:r>
          </w:p>
          <w:p>
            <w:pPr>
              <w:pStyle w:val="13"/>
              <w:pageBreakBefore w:val="0"/>
              <w:kinsoku/>
              <w:wordWrap/>
              <w:topLinePunct w:val="0"/>
              <w:autoSpaceDE/>
              <w:autoSpaceDN/>
              <w:bidi w:val="0"/>
              <w:ind w:firstLine="480"/>
              <w:textAlignment w:val="auto"/>
              <w:rPr>
                <w:rFonts w:hint="default" w:eastAsia="宋体"/>
                <w:lang w:val="en-US" w:eastAsia="zh-CN"/>
              </w:rPr>
            </w:pPr>
            <w:r>
              <w:rPr>
                <w:rFonts w:hint="eastAsia"/>
              </w:rPr>
              <w:t>进水闸为单孔，采用现浇C25F200W4砼结构，为保证水工建筑物检修方便及协调统一，闸净宽0.5m，闸门高度0.5m，长2.0m，闸墩厚0.5m，高1.5m，起闭机QLC型手动侧摇式螺杆（起闭力1.0t），设计河床高程为2990.86m，闸底板高程为2991.36m，闸顶板高程为2992.86m。</w:t>
            </w:r>
            <w:r>
              <w:rPr>
                <w:rFonts w:hint="eastAsia"/>
                <w:lang w:val="en-US" w:eastAsia="zh-CN"/>
              </w:rPr>
              <w:t>引水口进水闸闸阀最大可开取到距离闸底板0.4m处（即最大引水量位置），灌区流量不大，且项目设置闸门可有效控制项目区的灌溉量及速度，落实灌溉制度，因此进水闸的设置合理可行。</w:t>
            </w:r>
          </w:p>
          <w:p>
            <w:pPr>
              <w:pStyle w:val="13"/>
              <w:pageBreakBefore w:val="0"/>
              <w:kinsoku/>
              <w:wordWrap/>
              <w:topLinePunct w:val="0"/>
              <w:autoSpaceDE/>
              <w:autoSpaceDN/>
              <w:bidi w:val="0"/>
              <w:ind w:firstLine="480"/>
              <w:textAlignment w:val="auto"/>
              <w:rPr>
                <w:rFonts w:hint="eastAsia" w:eastAsia="宋体"/>
                <w:lang w:eastAsia="zh-CN"/>
              </w:rPr>
            </w:pPr>
            <w:r>
              <w:rPr>
                <w:rFonts w:hint="eastAsia"/>
              </w:rPr>
              <w:t>（2）冲砂闸</w:t>
            </w:r>
          </w:p>
          <w:p>
            <w:pPr>
              <w:pStyle w:val="13"/>
              <w:pageBreakBefore w:val="0"/>
              <w:kinsoku/>
              <w:wordWrap/>
              <w:topLinePunct w:val="0"/>
              <w:autoSpaceDE/>
              <w:autoSpaceDN/>
              <w:bidi w:val="0"/>
              <w:ind w:firstLine="480"/>
              <w:textAlignment w:val="auto"/>
              <w:rPr>
                <w:rFonts w:hint="eastAsia" w:eastAsia="宋体"/>
                <w:lang w:eastAsia="zh-CN"/>
              </w:rPr>
            </w:pPr>
            <w:r>
              <w:rPr>
                <w:rFonts w:hint="eastAsia"/>
              </w:rPr>
              <w:t>冲砂闸采用现浇C25F200W4砼结构，闸底板高程为2991.06m，比进水闸底板低0.3m，闸顶板高程为2992.86m，闸门尺寸为1.0*0.8m（宽*高），冲砂闸后设干砌石护底长2m，厚0.5m，以便防冲。</w:t>
            </w:r>
          </w:p>
          <w:p>
            <w:pPr>
              <w:pStyle w:val="13"/>
              <w:pageBreakBefore w:val="0"/>
              <w:kinsoku/>
              <w:wordWrap/>
              <w:topLinePunct w:val="0"/>
              <w:autoSpaceDE/>
              <w:autoSpaceDN/>
              <w:bidi w:val="0"/>
              <w:ind w:firstLine="480"/>
              <w:textAlignment w:val="auto"/>
              <w:rPr>
                <w:rFonts w:hint="eastAsia" w:eastAsia="宋体"/>
                <w:lang w:eastAsia="zh-CN"/>
              </w:rPr>
            </w:pPr>
            <w:r>
              <w:rPr>
                <w:rFonts w:hint="eastAsia"/>
              </w:rPr>
              <w:t>（3）进水池</w:t>
            </w:r>
          </w:p>
          <w:p>
            <w:pPr>
              <w:pStyle w:val="13"/>
              <w:pageBreakBefore w:val="0"/>
              <w:kinsoku/>
              <w:wordWrap/>
              <w:topLinePunct w:val="0"/>
              <w:autoSpaceDE/>
              <w:autoSpaceDN/>
              <w:bidi w:val="0"/>
              <w:ind w:firstLine="480"/>
              <w:textAlignment w:val="auto"/>
              <w:rPr>
                <w:rFonts w:hint="eastAsia" w:eastAsia="宋体"/>
                <w:lang w:eastAsia="zh-CN"/>
              </w:rPr>
            </w:pPr>
            <w:r>
              <w:rPr>
                <w:rFonts w:hint="eastAsia"/>
              </w:rPr>
              <w:t>引水池长3.0m，高度2.5m，宽1.5m，采用现浇C25F200W4钢筋砼结构，进水池末端将引水管道浇筑固定，管道进口处设置拦污栅1处，防止杂物进入管道内。</w:t>
            </w:r>
          </w:p>
          <w:p>
            <w:pPr>
              <w:pStyle w:val="4"/>
              <w:pageBreakBefore w:val="0"/>
              <w:kinsoku/>
              <w:wordWrap/>
              <w:topLinePunct w:val="0"/>
              <w:autoSpaceDE/>
              <w:autoSpaceDN/>
              <w:bidi w:val="0"/>
              <w:textAlignment w:val="auto"/>
              <w:rPr>
                <w:rFonts w:hint="eastAsia" w:eastAsia="宋体"/>
                <w:lang w:eastAsia="zh-CN"/>
              </w:rPr>
            </w:pPr>
            <w:r>
              <w:rPr>
                <w:rFonts w:hint="eastAsia"/>
              </w:rPr>
              <w:t>6.3渡槽设计</w:t>
            </w:r>
          </w:p>
          <w:p>
            <w:pPr>
              <w:pStyle w:val="13"/>
              <w:pageBreakBefore w:val="0"/>
              <w:kinsoku/>
              <w:wordWrap/>
              <w:topLinePunct w:val="0"/>
              <w:autoSpaceDE/>
              <w:autoSpaceDN/>
              <w:bidi w:val="0"/>
              <w:ind w:firstLine="480"/>
              <w:textAlignment w:val="auto"/>
            </w:pPr>
            <w:r>
              <w:rPr>
                <w:rFonts w:hint="eastAsia"/>
              </w:rPr>
              <w:t>渡槽排架采用75cm×50cm角钢焊接排架，排架高度按照沟道下切深度为2~9m。排架基础尺寸为1.6*1.6m*1.8（长*宽*高），基础开挖边坡为1:0.75，基础开挖后需进行原基夯实再进行混凝土浇筑。</w:t>
            </w:r>
          </w:p>
          <w:p>
            <w:pPr>
              <w:pStyle w:val="13"/>
              <w:pageBreakBefore w:val="0"/>
              <w:kinsoku/>
              <w:wordWrap/>
              <w:topLinePunct w:val="0"/>
              <w:autoSpaceDE/>
              <w:autoSpaceDN/>
              <w:bidi w:val="0"/>
              <w:ind w:firstLine="480"/>
              <w:textAlignment w:val="auto"/>
            </w:pPr>
            <w:r>
              <w:rPr>
                <w:rFonts w:hint="eastAsia"/>
              </w:rPr>
              <w:t>却旦塘灌区修建渡槽3座，总长度67m。1#渡槽总长度41m，总共3跨，2#渡槽总长度14m，3#渡槽总长度13m，渡槽的断面形式均采用钢管渡槽，渡槽管径为DN426壁厚6mm，干管渡槽由于流量不大，采用普通钢管，材料为Q235，按规范要求做防腐涂装。</w:t>
            </w:r>
          </w:p>
          <w:p>
            <w:pPr>
              <w:pStyle w:val="4"/>
              <w:pageBreakBefore w:val="0"/>
              <w:kinsoku/>
              <w:wordWrap/>
              <w:topLinePunct w:val="0"/>
              <w:autoSpaceDE/>
              <w:autoSpaceDN/>
              <w:bidi w:val="0"/>
              <w:textAlignment w:val="auto"/>
              <w:rPr>
                <w:rFonts w:hint="eastAsia" w:eastAsia="宋体"/>
                <w:lang w:eastAsia="zh-CN"/>
              </w:rPr>
            </w:pPr>
            <w:r>
              <w:rPr>
                <w:rFonts w:hint="eastAsia"/>
              </w:rPr>
              <w:t>6.4阀门井设计</w:t>
            </w:r>
          </w:p>
          <w:p>
            <w:pPr>
              <w:pStyle w:val="13"/>
              <w:pageBreakBefore w:val="0"/>
              <w:kinsoku/>
              <w:wordWrap/>
              <w:topLinePunct w:val="0"/>
              <w:autoSpaceDE/>
              <w:autoSpaceDN/>
              <w:bidi w:val="0"/>
              <w:ind w:firstLine="480"/>
              <w:textAlignment w:val="auto"/>
            </w:pPr>
            <w:r>
              <w:rPr>
                <w:rFonts w:hint="eastAsia"/>
              </w:rPr>
              <w:t>本项目阀门井共24座，包括分水井7座（却旦塘灌区4座，下洛哇灌区3座）、检查井15座、退水井2座。本项目阀门井采用C25F200W4现浇钢筋砼方形结构，长2m，宽2m，为便于检修时站立，高度取2m。阀门井壁厚0.2m，根据阀门的功能不同，井内细部构件设置视具体情况而定。</w:t>
            </w:r>
          </w:p>
          <w:p>
            <w:pPr>
              <w:pStyle w:val="4"/>
              <w:pageBreakBefore w:val="0"/>
              <w:kinsoku/>
              <w:wordWrap/>
              <w:topLinePunct w:val="0"/>
              <w:autoSpaceDE/>
              <w:autoSpaceDN/>
              <w:bidi w:val="0"/>
              <w:textAlignment w:val="auto"/>
              <w:rPr>
                <w:rFonts w:hint="eastAsia" w:eastAsia="宋体"/>
                <w:lang w:eastAsia="zh-CN"/>
              </w:rPr>
            </w:pPr>
            <w:r>
              <w:rPr>
                <w:rFonts w:hint="eastAsia"/>
              </w:rPr>
              <w:t>6.5退水渠设计</w:t>
            </w:r>
          </w:p>
          <w:p>
            <w:pPr>
              <w:pStyle w:val="13"/>
              <w:pageBreakBefore w:val="0"/>
              <w:kinsoku/>
              <w:wordWrap/>
              <w:topLinePunct w:val="0"/>
              <w:autoSpaceDE/>
              <w:autoSpaceDN/>
              <w:bidi w:val="0"/>
              <w:ind w:firstLine="480"/>
              <w:textAlignment w:val="auto"/>
            </w:pPr>
            <w:r>
              <w:rPr>
                <w:rFonts w:hint="eastAsia"/>
              </w:rPr>
              <w:t>退水渠位于却旦塘干管桩号4+068.8处，退水渠长541m，采用C25F200W4现浇钢筋砼矩形渠，渠道断面为45×45cm，侧墙及底板厚均为10cm，每6m设一道沥青砂浆伸缩缝，缝宽2cm。</w:t>
            </w:r>
          </w:p>
          <w:p>
            <w:pPr>
              <w:pStyle w:val="4"/>
              <w:pageBreakBefore w:val="0"/>
              <w:kinsoku/>
              <w:wordWrap/>
              <w:topLinePunct w:val="0"/>
              <w:autoSpaceDE/>
              <w:autoSpaceDN/>
              <w:bidi w:val="0"/>
              <w:textAlignment w:val="auto"/>
            </w:pPr>
            <w:r>
              <w:rPr>
                <w:rFonts w:hint="eastAsia"/>
              </w:rPr>
              <w:t>6.6谷坊设计</w:t>
            </w:r>
          </w:p>
          <w:p>
            <w:pPr>
              <w:pStyle w:val="13"/>
              <w:pageBreakBefore w:val="0"/>
              <w:kinsoku/>
              <w:wordWrap/>
              <w:topLinePunct w:val="0"/>
              <w:autoSpaceDE/>
              <w:autoSpaceDN/>
              <w:bidi w:val="0"/>
              <w:ind w:firstLine="480"/>
              <w:textAlignment w:val="auto"/>
            </w:pPr>
            <w:r>
              <w:rPr>
                <w:rFonts w:hint="eastAsia"/>
              </w:rPr>
              <w:t>却旦塘灌区共设谷坊2座，</w:t>
            </w:r>
            <w:r>
              <w:t>谷坊采用生态格网结构，沟道高3-5m，由于流域面积较小，谷坊溢流口为3.0*1m（长*宽），谷坊底宽为5-7m，顶宽为8-18m，谷坊基础设齿墙，宽1.5m，高1.0m，消力池长6m，宽0.5m。</w:t>
            </w:r>
          </w:p>
          <w:p>
            <w:pPr>
              <w:pStyle w:val="4"/>
              <w:pageBreakBefore w:val="0"/>
              <w:kinsoku/>
              <w:wordWrap/>
              <w:topLinePunct w:val="0"/>
              <w:autoSpaceDE/>
              <w:autoSpaceDN/>
              <w:bidi w:val="0"/>
              <w:textAlignment w:val="auto"/>
            </w:pPr>
            <w:r>
              <w:rPr>
                <w:rFonts w:hint="eastAsia"/>
              </w:rPr>
              <w:t>6.7防冲坝设计</w:t>
            </w:r>
          </w:p>
          <w:p>
            <w:pPr>
              <w:pStyle w:val="13"/>
              <w:pageBreakBefore w:val="0"/>
              <w:kinsoku/>
              <w:wordWrap/>
              <w:topLinePunct w:val="0"/>
              <w:autoSpaceDE/>
              <w:autoSpaceDN/>
              <w:bidi w:val="0"/>
              <w:ind w:firstLine="480"/>
              <w:textAlignment w:val="auto"/>
              <w:rPr>
                <w:rFonts w:hint="eastAsia"/>
              </w:rPr>
            </w:pPr>
            <w:r>
              <w:t>本工程设计潜坝7座，总长163m，潜坝断面结构为：基础深2.0m，基础宽1.5m</w:t>
            </w:r>
            <w:r>
              <w:rPr>
                <w:rFonts w:hint="eastAsia"/>
              </w:rPr>
              <w:t>。防冲坝采用生态网格结构，工程生态格网结构采用固滨笼结构形式。</w:t>
            </w:r>
          </w:p>
          <w:p>
            <w:pPr>
              <w:pStyle w:val="13"/>
              <w:pageBreakBefore w:val="0"/>
              <w:kinsoku/>
              <w:wordWrap/>
              <w:topLinePunct w:val="0"/>
              <w:autoSpaceDE/>
              <w:autoSpaceDN/>
              <w:bidi w:val="0"/>
              <w:ind w:firstLine="480"/>
              <w:textAlignment w:val="auto"/>
            </w:pPr>
            <w:r>
              <w:t>固滨笼：网孔尺寸为100×120（mm），网丝直径2.5mm，边丝直径3.0mm，绑丝直径2.2mm，长度、宽度、高度尺寸的公差均为±5%。</w:t>
            </w:r>
          </w:p>
          <w:p>
            <w:pPr>
              <w:pStyle w:val="13"/>
              <w:pageBreakBefore w:val="0"/>
              <w:kinsoku/>
              <w:wordWrap/>
              <w:topLinePunct w:val="0"/>
              <w:autoSpaceDE/>
              <w:autoSpaceDN/>
              <w:bidi w:val="0"/>
              <w:ind w:firstLine="480"/>
              <w:textAlignment w:val="auto"/>
              <w:rPr>
                <w:rFonts w:hint="eastAsia" w:eastAsia="宋体"/>
                <w:lang w:eastAsia="zh-CN"/>
              </w:rPr>
            </w:pPr>
            <w:r>
              <w:t>网箱填石：要求填充材料为块石，填料应具有耐久性好、无风化迹象、不易碎，固滨笼填料的中值粒径宜介于150～200mm之间，不在外表面的填料可有15%的超出该范围。填充料宜进行级配实验分析，级配应合理，填充后生态格网结构的空隙率应小于30%。</w:t>
            </w:r>
          </w:p>
          <w:p>
            <w:pPr>
              <w:pStyle w:val="13"/>
              <w:pageBreakBefore w:val="0"/>
              <w:kinsoku/>
              <w:wordWrap/>
              <w:topLinePunct w:val="0"/>
              <w:autoSpaceDE/>
              <w:autoSpaceDN/>
              <w:bidi w:val="0"/>
              <w:ind w:firstLine="480"/>
              <w:textAlignment w:val="auto"/>
            </w:pPr>
            <w:r>
              <w:t>固滨笼规格：GAZ(10%)10025-1×1×1.50</w:t>
            </w:r>
            <w:r>
              <w:rPr>
                <w:rFonts w:hint="eastAsia"/>
              </w:rPr>
              <w:t>－</w:t>
            </w:r>
            <w:r>
              <w:t>本标准号。</w:t>
            </w:r>
          </w:p>
          <w:p>
            <w:pPr>
              <w:pStyle w:val="4"/>
              <w:pageBreakBefore w:val="0"/>
              <w:kinsoku/>
              <w:wordWrap/>
              <w:topLinePunct w:val="0"/>
              <w:autoSpaceDE/>
              <w:autoSpaceDN/>
              <w:bidi w:val="0"/>
              <w:textAlignment w:val="auto"/>
            </w:pPr>
            <w:r>
              <w:rPr>
                <w:rFonts w:hint="eastAsia"/>
              </w:rPr>
              <w:t>6.8出水池</w:t>
            </w:r>
          </w:p>
          <w:p>
            <w:pPr>
              <w:pStyle w:val="13"/>
              <w:pageBreakBefore w:val="0"/>
              <w:kinsoku/>
              <w:wordWrap/>
              <w:topLinePunct w:val="0"/>
              <w:autoSpaceDE/>
              <w:autoSpaceDN/>
              <w:bidi w:val="0"/>
              <w:ind w:firstLine="480"/>
              <w:textAlignment w:val="auto"/>
            </w:pPr>
            <w:r>
              <w:rPr>
                <w:rFonts w:hint="eastAsia"/>
              </w:rPr>
              <w:t>项目共设14座，其中却旦塘灌区10座，下洛哇灌区4座。</w:t>
            </w:r>
            <w:r>
              <w:t>支管经过的田块位置设置支管分水井及出水池，出水池采用C25F200W4现浇砼结构，出水池长1.9m，宽1.1m，深0.75m；却旦塘灌区主管末端与退水渠连接处和下洛哇灌区主管末端设置出水池，采用C25F200W4现浇砼结构，出水池长2.6m，宽1.5m。</w:t>
            </w:r>
          </w:p>
          <w:p>
            <w:pPr>
              <w:pStyle w:val="3"/>
              <w:pageBreakBefore w:val="0"/>
              <w:kinsoku/>
              <w:wordWrap/>
              <w:topLinePunct w:val="0"/>
              <w:autoSpaceDE/>
              <w:autoSpaceDN/>
              <w:bidi w:val="0"/>
              <w:textAlignment w:val="auto"/>
            </w:pPr>
            <w:r>
              <w:rPr>
                <w:rFonts w:hint="eastAsia"/>
              </w:rPr>
              <w:t>7依托工程</w:t>
            </w:r>
          </w:p>
          <w:p>
            <w:pPr>
              <w:pStyle w:val="4"/>
              <w:pageBreakBefore w:val="0"/>
              <w:kinsoku/>
              <w:wordWrap/>
              <w:topLinePunct w:val="0"/>
              <w:autoSpaceDE/>
              <w:autoSpaceDN/>
              <w:bidi w:val="0"/>
              <w:textAlignment w:val="auto"/>
              <w:rPr>
                <w:rFonts w:hint="eastAsia" w:eastAsia="宋体"/>
                <w:lang w:eastAsia="zh-CN"/>
              </w:rPr>
            </w:pPr>
            <w:r>
              <w:rPr>
                <w:rFonts w:hint="eastAsia"/>
              </w:rPr>
              <w:t>7.1运输道路</w:t>
            </w:r>
          </w:p>
          <w:p>
            <w:pPr>
              <w:pStyle w:val="13"/>
              <w:pageBreakBefore w:val="0"/>
              <w:kinsoku/>
              <w:wordWrap/>
              <w:topLinePunct w:val="0"/>
              <w:autoSpaceDE/>
              <w:autoSpaceDN/>
              <w:bidi w:val="0"/>
              <w:ind w:firstLine="480"/>
              <w:textAlignment w:val="auto"/>
            </w:pPr>
            <w:r>
              <w:rPr>
                <w:rFonts w:hint="eastAsia"/>
              </w:rPr>
              <w:t>本工程区附近有334县道通过，而且却旦塘村、下洛哇村均有乡村道路，项目施工建材的采购运输均可依托现有公路和道路。</w:t>
            </w:r>
          </w:p>
          <w:p>
            <w:pPr>
              <w:pStyle w:val="4"/>
              <w:pageBreakBefore w:val="0"/>
              <w:kinsoku/>
              <w:wordWrap/>
              <w:topLinePunct w:val="0"/>
              <w:autoSpaceDE/>
              <w:autoSpaceDN/>
              <w:bidi w:val="0"/>
              <w:textAlignment w:val="auto"/>
            </w:pPr>
            <w:r>
              <w:rPr>
                <w:rFonts w:hint="eastAsia"/>
              </w:rPr>
              <w:t>7.2施工用电</w:t>
            </w:r>
          </w:p>
          <w:p>
            <w:pPr>
              <w:pStyle w:val="13"/>
              <w:pageBreakBefore w:val="0"/>
              <w:kinsoku/>
              <w:wordWrap/>
              <w:topLinePunct w:val="0"/>
              <w:autoSpaceDE/>
              <w:autoSpaceDN/>
              <w:bidi w:val="0"/>
              <w:ind w:firstLine="480"/>
              <w:textAlignment w:val="auto"/>
            </w:pPr>
            <w:r>
              <w:rPr>
                <w:rFonts w:hint="eastAsia"/>
              </w:rPr>
              <w:t>本工程用电主要为施工用电和生活用电，</w:t>
            </w:r>
            <w:r>
              <w:t>工程施工营地用电从附近村庄农</w:t>
            </w:r>
            <w:r>
              <w:rPr>
                <w:rFonts w:hint="eastAsia"/>
              </w:rPr>
              <w:t>电网</w:t>
            </w:r>
            <w:r>
              <w:t>接出，</w:t>
            </w:r>
            <w:r>
              <w:rPr>
                <w:rFonts w:hint="eastAsia"/>
              </w:rPr>
              <w:t>项目工程沿线用地</w:t>
            </w:r>
            <w:r>
              <w:t>由施工单位自备柴油发电机进行解决</w:t>
            </w:r>
            <w:r>
              <w:rPr>
                <w:rFonts w:hint="eastAsia"/>
              </w:rPr>
              <w:t>。</w:t>
            </w:r>
          </w:p>
          <w:p>
            <w:pPr>
              <w:pStyle w:val="4"/>
              <w:pageBreakBefore w:val="0"/>
              <w:kinsoku/>
              <w:wordWrap/>
              <w:topLinePunct w:val="0"/>
              <w:autoSpaceDE/>
              <w:autoSpaceDN/>
              <w:bidi w:val="0"/>
              <w:textAlignment w:val="auto"/>
              <w:rPr>
                <w:rFonts w:hint="eastAsia" w:eastAsia="宋体"/>
                <w:lang w:eastAsia="zh-CN"/>
              </w:rPr>
            </w:pPr>
            <w:r>
              <w:rPr>
                <w:rFonts w:hint="eastAsia"/>
              </w:rPr>
              <w:t>7.3施工供水</w:t>
            </w:r>
          </w:p>
          <w:p>
            <w:pPr>
              <w:pStyle w:val="13"/>
              <w:pageBreakBefore w:val="0"/>
              <w:kinsoku/>
              <w:wordWrap/>
              <w:topLinePunct w:val="0"/>
              <w:autoSpaceDE/>
              <w:autoSpaceDN/>
              <w:bidi w:val="0"/>
              <w:ind w:firstLine="480"/>
              <w:textAlignment w:val="auto"/>
            </w:pPr>
            <w:r>
              <w:rPr>
                <w:rFonts w:hint="eastAsia"/>
              </w:rPr>
              <w:t>施工用水可由沟道中抽取，生活用水可从附近居民家中接取。</w:t>
            </w:r>
          </w:p>
          <w:p>
            <w:pPr>
              <w:pStyle w:val="4"/>
              <w:pageBreakBefore w:val="0"/>
              <w:kinsoku/>
              <w:wordWrap/>
              <w:topLinePunct w:val="0"/>
              <w:autoSpaceDE/>
              <w:autoSpaceDN/>
              <w:bidi w:val="0"/>
              <w:textAlignment w:val="auto"/>
            </w:pPr>
            <w:r>
              <w:rPr>
                <w:rFonts w:hint="eastAsia"/>
              </w:rPr>
              <w:t>7.4料场</w:t>
            </w:r>
          </w:p>
          <w:p>
            <w:pPr>
              <w:pStyle w:val="13"/>
              <w:pageBreakBefore w:val="0"/>
              <w:kinsoku/>
              <w:wordWrap/>
              <w:topLinePunct w:val="0"/>
              <w:autoSpaceDE/>
              <w:autoSpaceDN/>
              <w:bidi w:val="0"/>
              <w:ind w:firstLine="480"/>
              <w:textAlignment w:val="auto"/>
            </w:pPr>
            <w:r>
              <w:rPr>
                <w:rFonts w:hint="eastAsia"/>
              </w:rPr>
              <w:t>目前森多镇有料场，主要生产块石料，块石岩性为砂岩，为硬质岩类。本工程混凝土粗、细骨料用量较少，项目开工建设时，到项目区有乡级公路相通，交通较为方便，运距离50km。</w:t>
            </w:r>
          </w:p>
          <w:p>
            <w:pPr>
              <w:pStyle w:val="3"/>
              <w:pageBreakBefore w:val="0"/>
              <w:kinsoku/>
              <w:wordWrap/>
              <w:topLinePunct w:val="0"/>
              <w:autoSpaceDE/>
              <w:autoSpaceDN/>
              <w:bidi w:val="0"/>
              <w:textAlignment w:val="auto"/>
            </w:pPr>
            <w:r>
              <w:rPr>
                <w:rFonts w:hint="eastAsia"/>
              </w:rPr>
              <w:t>8临时工程</w:t>
            </w:r>
          </w:p>
          <w:p>
            <w:pPr>
              <w:pStyle w:val="4"/>
              <w:pageBreakBefore w:val="0"/>
              <w:kinsoku/>
              <w:wordWrap/>
              <w:topLinePunct w:val="0"/>
              <w:autoSpaceDE/>
              <w:autoSpaceDN/>
              <w:bidi w:val="0"/>
              <w:textAlignment w:val="auto"/>
            </w:pPr>
            <w:r>
              <w:rPr>
                <w:rFonts w:hint="eastAsia"/>
              </w:rPr>
              <w:t>8.1施工营地</w:t>
            </w:r>
          </w:p>
          <w:p>
            <w:pPr>
              <w:pStyle w:val="13"/>
              <w:pageBreakBefore w:val="0"/>
              <w:kinsoku/>
              <w:wordWrap/>
              <w:topLinePunct w:val="0"/>
              <w:autoSpaceDE/>
              <w:autoSpaceDN/>
              <w:bidi w:val="0"/>
              <w:ind w:firstLine="480"/>
              <w:textAlignment w:val="auto"/>
            </w:pPr>
            <w:r>
              <w:rPr>
                <w:rFonts w:hint="eastAsia"/>
              </w:rPr>
              <w:t>项目施工营地设于却旦塘村南侧（E100°36′9.000″，N35°38′55.000″），占地面积约为2000m</w:t>
            </w:r>
            <w:r>
              <w:rPr>
                <w:rFonts w:hint="eastAsia"/>
                <w:vertAlign w:val="superscript"/>
              </w:rPr>
              <w:t>2</w:t>
            </w:r>
            <w:r>
              <w:rPr>
                <w:rFonts w:hint="eastAsia"/>
              </w:rPr>
              <w:t>，占地类型为荒草地，主要用于建材堆放、机械临时停放场</w:t>
            </w:r>
            <w:r>
              <w:rPr>
                <w:rFonts w:hint="eastAsia" w:cs="Times New Roman"/>
              </w:rPr>
              <w:t>，以及</w:t>
            </w:r>
            <w:r>
              <w:rPr>
                <w:rFonts w:cs="Times New Roman"/>
              </w:rPr>
              <w:t>施工人员临时休息</w:t>
            </w:r>
            <w:r>
              <w:rPr>
                <w:rFonts w:hint="eastAsia" w:cs="Times New Roman"/>
              </w:rPr>
              <w:t>。</w:t>
            </w:r>
          </w:p>
          <w:p>
            <w:pPr>
              <w:pStyle w:val="4"/>
              <w:pageBreakBefore w:val="0"/>
              <w:kinsoku/>
              <w:wordWrap/>
              <w:topLinePunct w:val="0"/>
              <w:autoSpaceDE/>
              <w:autoSpaceDN/>
              <w:bidi w:val="0"/>
              <w:textAlignment w:val="auto"/>
            </w:pPr>
            <w:r>
              <w:rPr>
                <w:rFonts w:hint="eastAsia"/>
              </w:rPr>
              <w:t>8.2临时便道</w:t>
            </w:r>
          </w:p>
          <w:p>
            <w:pPr>
              <w:pStyle w:val="13"/>
              <w:pageBreakBefore w:val="0"/>
              <w:kinsoku/>
              <w:wordWrap/>
              <w:topLinePunct w:val="0"/>
              <w:autoSpaceDE/>
              <w:autoSpaceDN/>
              <w:bidi w:val="0"/>
              <w:ind w:firstLine="480"/>
              <w:textAlignment w:val="auto"/>
            </w:pPr>
            <w:r>
              <w:rPr>
                <w:rFonts w:hint="eastAsia"/>
              </w:rPr>
              <w:t>项目施工临时便道在工程管沟施工作业带范围内设置，即利用工程现有便道，仅对沿线因洪水冲刷塌方路段及安全施工作业宽度不足路段进行平整，工程不新设施工便道，以避免增加施工临时占地面积。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23" w:type="pct"/>
            <w:vAlign w:val="center"/>
          </w:tcPr>
          <w:p>
            <w:pPr>
              <w:pageBreakBefore w:val="0"/>
              <w:kinsoku/>
              <w:wordWrap/>
              <w:topLinePunct w:val="0"/>
              <w:autoSpaceDE/>
              <w:autoSpaceDN/>
              <w:bidi w:val="0"/>
              <w:adjustRightInd w:val="0"/>
              <w:snapToGrid w:val="0"/>
              <w:jc w:val="center"/>
              <w:textAlignment w:val="auto"/>
              <w:rPr>
                <w:rFonts w:ascii="宋体" w:hAnsi="宋体" w:cs="宋体"/>
                <w:kern w:val="0"/>
                <w:szCs w:val="21"/>
              </w:rPr>
            </w:pPr>
            <w:r>
              <w:rPr>
                <w:rFonts w:hint="eastAsia" w:ascii="宋体" w:hAnsi="宋体" w:cs="宋体"/>
                <w:kern w:val="0"/>
                <w:szCs w:val="21"/>
              </w:rPr>
              <w:t>总平面及现场布置</w:t>
            </w:r>
          </w:p>
        </w:tc>
        <w:tc>
          <w:tcPr>
            <w:tcW w:w="4276" w:type="pct"/>
            <w:vAlign w:val="center"/>
          </w:tcPr>
          <w:p>
            <w:pPr>
              <w:pStyle w:val="3"/>
              <w:pageBreakBefore w:val="0"/>
              <w:kinsoku/>
              <w:wordWrap/>
              <w:topLinePunct w:val="0"/>
              <w:autoSpaceDE/>
              <w:autoSpaceDN/>
              <w:bidi w:val="0"/>
              <w:textAlignment w:val="auto"/>
            </w:pPr>
            <w:r>
              <w:rPr>
                <w:rFonts w:hint="eastAsia"/>
              </w:rPr>
              <w:t>9.工程总体布置</w:t>
            </w:r>
          </w:p>
          <w:p>
            <w:pPr>
              <w:pStyle w:val="13"/>
              <w:pageBreakBefore w:val="0"/>
              <w:kinsoku/>
              <w:wordWrap/>
              <w:topLinePunct w:val="0"/>
              <w:autoSpaceDE/>
              <w:autoSpaceDN/>
              <w:bidi w:val="0"/>
              <w:ind w:firstLine="480"/>
              <w:textAlignment w:val="auto"/>
            </w:pPr>
            <w:r>
              <w:rPr>
                <w:rFonts w:hint="eastAsia"/>
              </w:rPr>
              <w:t>（1）项目总平面图布置情况</w:t>
            </w:r>
          </w:p>
          <w:p>
            <w:pPr>
              <w:pStyle w:val="13"/>
              <w:pageBreakBefore w:val="0"/>
              <w:kinsoku/>
              <w:wordWrap/>
              <w:topLinePunct w:val="0"/>
              <w:autoSpaceDE/>
              <w:autoSpaceDN/>
              <w:bidi w:val="0"/>
              <w:ind w:firstLine="480"/>
              <w:textAlignment w:val="auto"/>
              <w:rPr>
                <w:rFonts w:hint="eastAsia" w:eastAsia="宋体"/>
                <w:lang w:eastAsia="zh-CN"/>
              </w:rPr>
            </w:pPr>
            <w:r>
              <w:rPr>
                <w:rFonts w:hint="eastAsia"/>
              </w:rPr>
              <w:t>根据项目区现状，确定却旦塘灌区利用角乎拉沟泉水灌溉水源。贵南县常年风沙大，管道淤堵，原先渠道维修改造时采用无压管道，由于项目区地势较为平缓，为了与已建工程很好地结合，保证项目区拟建管道安全稳定运行，本次维修时干管根据原有渠道分段按坡降设计布置，宜采用无压管输水，管线与原管道线路一</w:t>
            </w:r>
            <w:r>
              <w:rPr>
                <w:rFonts w:hint="eastAsia"/>
                <w:lang w:eastAsia="zh-CN"/>
              </w:rPr>
              <w:t>致，详见</w:t>
            </w:r>
            <w:r>
              <w:rPr>
                <w:rFonts w:hint="eastAsia"/>
              </w:rPr>
              <w:t>附图7。</w:t>
            </w:r>
          </w:p>
          <w:p>
            <w:pPr>
              <w:pStyle w:val="13"/>
              <w:pageBreakBefore w:val="0"/>
              <w:kinsoku/>
              <w:wordWrap/>
              <w:topLinePunct w:val="0"/>
              <w:autoSpaceDE/>
              <w:autoSpaceDN/>
              <w:bidi w:val="0"/>
              <w:ind w:firstLine="480"/>
              <w:textAlignment w:val="auto"/>
            </w:pPr>
            <w:r>
              <w:t>却旦塘片区修建干管4120m，管道为Φ400PE管，控制灌溉面积为</w:t>
            </w:r>
            <w:r>
              <w:rPr>
                <w:rFonts w:hint="eastAsia"/>
              </w:rPr>
              <w:t>1200</w:t>
            </w:r>
            <w:r>
              <w:t>亩，其中在干管桩号0+000位置修建引水口1座；在桩号1+720～1+740、1+910～1+930、2+040～2+060、2+181～2+206、2+271～2+293、2+345～2+370、2+840～2+871处各修建护管坝1处；在桩号0+400～0+440、1+490～1+504、1+543～1+556处修建渡槽；在桩号0+120、0+400、0+440、1+050、1+490、1+504、1+610、1+730、1+920、2+050、2+193、2+280、2+353、2+620处新建检查井各1座，并在井内安置检修闸阀及排气阀，在桩号3+347、3+626、3+760、3+909处各设分水井1座，其中：1#分水井为预留分水口主要考虑附近林地灌溉，支管长110m；2#分水井控制2#支管长123m，控制灌溉面积为302亩；3#分水井控制3#支管长541m，控制灌溉面积为130亩，在桩号4+068.8处设退水口，退水渠长541m。</w:t>
            </w:r>
          </w:p>
          <w:p>
            <w:pPr>
              <w:pStyle w:val="13"/>
              <w:pageBreakBefore w:val="0"/>
              <w:kinsoku/>
              <w:wordWrap/>
              <w:topLinePunct w:val="0"/>
              <w:autoSpaceDE/>
              <w:autoSpaceDN/>
              <w:bidi w:val="0"/>
              <w:ind w:firstLine="480"/>
              <w:textAlignment w:val="auto"/>
            </w:pPr>
            <w:r>
              <w:t>下洛哇灌区修建干管长794m，位于桩号0+000～0+794处，管道为Φ400PE管，控制灌溉面积为</w:t>
            </w:r>
            <w:r>
              <w:rPr>
                <w:rFonts w:hint="eastAsia"/>
              </w:rPr>
              <w:t>800</w:t>
            </w:r>
            <w:r>
              <w:t>亩，在桩号0+650、0+700、0+750处设分水井，在管道末端修建出水池1座，出水池与渠道相接。在0+000～0+400段，将管道沿线淤泥全部清除，并在管底回填0.5m砂砾石垫层。</w:t>
            </w:r>
          </w:p>
          <w:p>
            <w:pPr>
              <w:pStyle w:val="13"/>
              <w:pageBreakBefore w:val="0"/>
              <w:numPr>
                <w:ilvl w:val="255"/>
                <w:numId w:val="0"/>
              </w:numPr>
              <w:kinsoku/>
              <w:wordWrap/>
              <w:topLinePunct w:val="0"/>
              <w:autoSpaceDE/>
              <w:autoSpaceDN/>
              <w:bidi w:val="0"/>
              <w:ind w:left="240"/>
              <w:textAlignment w:val="auto"/>
            </w:pPr>
            <w:r>
              <w:rPr>
                <w:rFonts w:hint="eastAsia"/>
              </w:rPr>
              <w:t>（2）施工营地平面布置情况</w:t>
            </w:r>
          </w:p>
          <w:p>
            <w:pPr>
              <w:pageBreakBefore w:val="0"/>
              <w:kinsoku/>
              <w:wordWrap/>
              <w:topLinePunct w:val="0"/>
              <w:autoSpaceDE/>
              <w:autoSpaceDN/>
              <w:bidi w:val="0"/>
              <w:ind w:firstLine="480" w:firstLineChars="200"/>
              <w:textAlignment w:val="auto"/>
            </w:pPr>
            <w:r>
              <w:rPr>
                <w:rFonts w:hint="eastAsia"/>
              </w:rPr>
              <w:t>项目区布置2个集中营地，即工程指挥部、现场办公室、仓库和管理住房集中在一起布置，有利于组织材料、设备和人员。施工营地平面布置图见附图7。</w:t>
            </w:r>
          </w:p>
          <w:p>
            <w:pPr>
              <w:pStyle w:val="2"/>
              <w:pageBreakBefore w:val="0"/>
              <w:kinsoku/>
              <w:wordWrap/>
              <w:topLinePunct w:val="0"/>
              <w:autoSpaceDE/>
              <w:autoSpaceDN/>
              <w:bidi w:val="0"/>
              <w:textAlignment w:val="auto"/>
              <w:rPr>
                <w:color w:val="auto"/>
              </w:rPr>
            </w:pPr>
            <w:r>
              <w:rPr>
                <w:rFonts w:hint="eastAsia"/>
                <w:color w:val="auto"/>
              </w:rPr>
              <w:t>10.项目工程占地</w:t>
            </w:r>
          </w:p>
          <w:p>
            <w:pPr>
              <w:pStyle w:val="13"/>
              <w:pageBreakBefore w:val="0"/>
              <w:kinsoku/>
              <w:wordWrap/>
              <w:topLinePunct w:val="0"/>
              <w:autoSpaceDE/>
              <w:autoSpaceDN/>
              <w:bidi w:val="0"/>
              <w:ind w:firstLine="480"/>
              <w:textAlignment w:val="auto"/>
            </w:pPr>
            <w:r>
              <w:t>本工程修建时总占地面积为</w:t>
            </w:r>
            <w:r>
              <w:rPr>
                <w:rFonts w:hint="eastAsia"/>
              </w:rPr>
              <w:t>1.65hm</w:t>
            </w:r>
            <w:r>
              <w:rPr>
                <w:rFonts w:hint="eastAsia"/>
                <w:vertAlign w:val="superscript"/>
              </w:rPr>
              <w:t>2</w:t>
            </w:r>
            <w:r>
              <w:t>，</w:t>
            </w:r>
            <w:r>
              <w:rPr>
                <w:rFonts w:hint="eastAsia"/>
              </w:rPr>
              <w:t>包括永久占地面积和临时占地面积。其中</w:t>
            </w:r>
            <w:r>
              <w:t>永久占地面积</w:t>
            </w:r>
            <w:r>
              <w:rPr>
                <w:rFonts w:hint="eastAsia"/>
              </w:rPr>
              <w:t>约</w:t>
            </w:r>
            <w:r>
              <w:t>0.0</w:t>
            </w:r>
            <w:r>
              <w:rPr>
                <w:rFonts w:hint="eastAsia"/>
              </w:rPr>
              <w:t>2hm</w:t>
            </w:r>
            <w:r>
              <w:rPr>
                <w:rFonts w:hint="eastAsia"/>
                <w:vertAlign w:val="superscript"/>
              </w:rPr>
              <w:t>2</w:t>
            </w:r>
            <w:r>
              <w:t>，占地类型为</w:t>
            </w:r>
            <w:r>
              <w:rPr>
                <w:rFonts w:hint="eastAsia"/>
              </w:rPr>
              <w:t>平坦荒草地</w:t>
            </w:r>
            <w:r>
              <w:t>及</w:t>
            </w:r>
            <w:r>
              <w:rPr>
                <w:rFonts w:hint="eastAsia"/>
              </w:rPr>
              <w:t>荒坡地；</w:t>
            </w:r>
            <w:r>
              <w:t>临时占地</w:t>
            </w:r>
            <w:r>
              <w:rPr>
                <w:rFonts w:hint="eastAsia"/>
              </w:rPr>
              <w:t>约</w:t>
            </w:r>
            <w:r>
              <w:t>为</w:t>
            </w:r>
            <w:r>
              <w:rPr>
                <w:rFonts w:hint="eastAsia"/>
              </w:rPr>
              <w:t>1.63hm</w:t>
            </w:r>
            <w:r>
              <w:rPr>
                <w:rFonts w:hint="eastAsia"/>
                <w:vertAlign w:val="superscript"/>
              </w:rPr>
              <w:t>2</w:t>
            </w:r>
            <w:r>
              <w:t>，占地类型为</w:t>
            </w:r>
            <w:r>
              <w:rPr>
                <w:rFonts w:hint="eastAsia"/>
              </w:rPr>
              <w:t>荒草地</w:t>
            </w:r>
            <w:r>
              <w:t>。工程属于维修改造工程，主体工程布设时按原来工程线路布置，原工程修建时建设方案已选最优路线，布局合理。</w:t>
            </w:r>
          </w:p>
          <w:p>
            <w:pPr>
              <w:pStyle w:val="4"/>
              <w:pageBreakBefore w:val="0"/>
              <w:kinsoku/>
              <w:wordWrap/>
              <w:topLinePunct w:val="0"/>
              <w:autoSpaceDE/>
              <w:autoSpaceDN/>
              <w:bidi w:val="0"/>
              <w:textAlignment w:val="auto"/>
            </w:pPr>
            <w:r>
              <w:rPr>
                <w:rFonts w:hint="eastAsia"/>
              </w:rPr>
              <w:t>10.1永久占地</w:t>
            </w:r>
          </w:p>
          <w:p>
            <w:pPr>
              <w:pStyle w:val="13"/>
              <w:pageBreakBefore w:val="0"/>
              <w:kinsoku/>
              <w:wordWrap/>
              <w:topLinePunct w:val="0"/>
              <w:autoSpaceDE/>
              <w:autoSpaceDN/>
              <w:bidi w:val="0"/>
              <w:ind w:firstLine="480"/>
              <w:textAlignment w:val="auto"/>
              <w:rPr>
                <w:highlight w:val="yellow"/>
              </w:rPr>
            </w:pPr>
            <w:r>
              <w:t>本工程修建时永久占地主要建筑为引水口、渡槽基础、阀门井等，永久占地面积</w:t>
            </w:r>
            <w:r>
              <w:rPr>
                <w:rFonts w:hint="eastAsia"/>
              </w:rPr>
              <w:t>0.02hm</w:t>
            </w:r>
            <w:r>
              <w:rPr>
                <w:rFonts w:hint="eastAsia"/>
                <w:vertAlign w:val="superscript"/>
              </w:rPr>
              <w:t>2</w:t>
            </w:r>
            <w:r>
              <w:t>，占地类型为</w:t>
            </w:r>
            <w:r>
              <w:rPr>
                <w:rFonts w:hint="eastAsia"/>
              </w:rPr>
              <w:t>平坦荒草地和荒坡地。</w:t>
            </w:r>
          </w:p>
          <w:p>
            <w:pPr>
              <w:pStyle w:val="13"/>
              <w:pageBreakBefore w:val="0"/>
              <w:kinsoku/>
              <w:wordWrap/>
              <w:topLinePunct w:val="0"/>
              <w:autoSpaceDE/>
              <w:autoSpaceDN/>
              <w:bidi w:val="0"/>
              <w:ind w:firstLine="480"/>
              <w:textAlignment w:val="auto"/>
            </w:pPr>
            <w:r>
              <w:rPr>
                <w:rFonts w:hint="eastAsia"/>
              </w:rPr>
              <w:t>本次工程共修建引水口1座，总占地面积0.01hm</w:t>
            </w:r>
            <w:r>
              <w:rPr>
                <w:rFonts w:hint="eastAsia"/>
                <w:vertAlign w:val="superscript"/>
              </w:rPr>
              <w:t>2</w:t>
            </w:r>
            <w:r>
              <w:rPr>
                <w:rFonts w:hint="eastAsia"/>
              </w:rPr>
              <w:t>，按占地类型划分为占用平坦荒草地0.006hm</w:t>
            </w:r>
            <w:r>
              <w:rPr>
                <w:rFonts w:hint="eastAsia"/>
                <w:vertAlign w:val="superscript"/>
              </w:rPr>
              <w:t>2</w:t>
            </w:r>
            <w:r>
              <w:rPr>
                <w:rFonts w:hint="eastAsia"/>
              </w:rPr>
              <w:t>，占用内陆河滩地0.004hm</w:t>
            </w:r>
            <w:r>
              <w:rPr>
                <w:rFonts w:hint="eastAsia"/>
                <w:vertAlign w:val="superscript"/>
              </w:rPr>
              <w:t>2</w:t>
            </w:r>
            <w:r>
              <w:rPr>
                <w:rFonts w:hint="eastAsia"/>
              </w:rPr>
              <w:t>。项目共修建渡槽3座、检查井15座、分水井14座、出水池14座、退水渠541m、防冲坝7座，永久占地面积约0.01hm</w:t>
            </w:r>
            <w:r>
              <w:rPr>
                <w:rFonts w:hint="eastAsia"/>
                <w:vertAlign w:val="superscript"/>
              </w:rPr>
              <w:t>2</w:t>
            </w:r>
            <w:r>
              <w:rPr>
                <w:rFonts w:hint="eastAsia"/>
              </w:rPr>
              <w:t>。</w:t>
            </w:r>
          </w:p>
          <w:p>
            <w:pPr>
              <w:pStyle w:val="4"/>
              <w:pageBreakBefore w:val="0"/>
              <w:kinsoku/>
              <w:wordWrap/>
              <w:topLinePunct w:val="0"/>
              <w:autoSpaceDE/>
              <w:autoSpaceDN/>
              <w:bidi w:val="0"/>
              <w:textAlignment w:val="auto"/>
            </w:pPr>
            <w:r>
              <w:rPr>
                <w:rFonts w:hint="eastAsia"/>
              </w:rPr>
              <w:t>10.2临时占地</w:t>
            </w:r>
          </w:p>
          <w:p>
            <w:pPr>
              <w:pStyle w:val="13"/>
              <w:pageBreakBefore w:val="0"/>
              <w:numPr>
                <w:ilvl w:val="0"/>
                <w:numId w:val="1"/>
              </w:numPr>
              <w:kinsoku/>
              <w:wordWrap/>
              <w:topLinePunct w:val="0"/>
              <w:autoSpaceDE/>
              <w:autoSpaceDN/>
              <w:bidi w:val="0"/>
              <w:ind w:firstLine="480"/>
              <w:textAlignment w:val="auto"/>
            </w:pPr>
            <w:r>
              <w:rPr>
                <w:rFonts w:hint="eastAsia"/>
              </w:rPr>
              <w:t>施工便道临时占地</w:t>
            </w:r>
          </w:p>
          <w:p>
            <w:pPr>
              <w:pageBreakBefore w:val="0"/>
              <w:kinsoku/>
              <w:wordWrap/>
              <w:topLinePunct w:val="0"/>
              <w:autoSpaceDE/>
              <w:autoSpaceDN/>
              <w:bidi w:val="0"/>
              <w:ind w:firstLine="480" w:firstLineChars="200"/>
              <w:textAlignment w:val="auto"/>
            </w:pPr>
            <w:r>
              <w:rPr>
                <w:rFonts w:hint="eastAsia"/>
              </w:rPr>
              <w:t>项目施工临时便道在工程管沟施工作业带范围内设置，即利用工程现有便道，仅对沿线因洪水冲刷塌方路段及安全施工作业宽度不足路段进行平整，工程不新设施工便道，以避免增加施工临时占地面积。</w:t>
            </w:r>
          </w:p>
          <w:p>
            <w:pPr>
              <w:pStyle w:val="13"/>
              <w:pageBreakBefore w:val="0"/>
              <w:kinsoku/>
              <w:wordWrap/>
              <w:topLinePunct w:val="0"/>
              <w:autoSpaceDE/>
              <w:autoSpaceDN/>
              <w:bidi w:val="0"/>
              <w:ind w:firstLine="240" w:firstLineChars="100"/>
              <w:textAlignment w:val="auto"/>
            </w:pPr>
            <w:r>
              <w:rPr>
                <w:rFonts w:hint="eastAsia"/>
              </w:rPr>
              <w:t>（2）施工营地临时占地</w:t>
            </w:r>
          </w:p>
          <w:p>
            <w:pPr>
              <w:pStyle w:val="13"/>
              <w:pageBreakBefore w:val="0"/>
              <w:kinsoku/>
              <w:wordWrap/>
              <w:topLinePunct w:val="0"/>
              <w:autoSpaceDE/>
              <w:autoSpaceDN/>
              <w:bidi w:val="0"/>
              <w:ind w:firstLine="480"/>
              <w:textAlignment w:val="auto"/>
              <w:rPr>
                <w:rFonts w:cs="Times New Roman"/>
              </w:rPr>
            </w:pPr>
            <w:r>
              <w:rPr>
                <w:rFonts w:hint="eastAsia"/>
              </w:rPr>
              <w:t>项目施工营地设于却旦塘村南侧，占地面积约为0.2hm</w:t>
            </w:r>
            <w:r>
              <w:rPr>
                <w:rFonts w:hint="eastAsia"/>
                <w:vertAlign w:val="superscript"/>
              </w:rPr>
              <w:t>2</w:t>
            </w:r>
            <w:r>
              <w:rPr>
                <w:rFonts w:hint="eastAsia"/>
              </w:rPr>
              <w:t>，占地类型为荒草地。主要用于建材堆放</w:t>
            </w:r>
            <w:r>
              <w:rPr>
                <w:rFonts w:hint="eastAsia" w:cs="Times New Roman"/>
              </w:rPr>
              <w:t>以及</w:t>
            </w:r>
            <w:r>
              <w:rPr>
                <w:rFonts w:cs="Times New Roman"/>
              </w:rPr>
              <w:t>施工人员临时休息</w:t>
            </w:r>
            <w:r>
              <w:rPr>
                <w:rFonts w:hint="eastAsia" w:cs="Times New Roman"/>
              </w:rPr>
              <w:t>。</w:t>
            </w:r>
          </w:p>
          <w:p>
            <w:pPr>
              <w:pageBreakBefore w:val="0"/>
              <w:kinsoku/>
              <w:wordWrap/>
              <w:topLinePunct w:val="0"/>
              <w:autoSpaceDE/>
              <w:autoSpaceDN/>
              <w:bidi w:val="0"/>
              <w:ind w:firstLine="480" w:firstLineChars="200"/>
              <w:textAlignment w:val="auto"/>
            </w:pPr>
            <w:r>
              <w:rPr>
                <w:rFonts w:hint="eastAsia"/>
              </w:rPr>
              <w:t>综上所述，项目占地面积及类型具体见下表：</w:t>
            </w:r>
          </w:p>
          <w:p>
            <w:pPr>
              <w:pageBreakBefore w:val="0"/>
              <w:kinsoku/>
              <w:wordWrap/>
              <w:topLinePunct w:val="0"/>
              <w:autoSpaceDE/>
              <w:autoSpaceDN/>
              <w:bidi w:val="0"/>
              <w:ind w:firstLine="422" w:firstLineChars="200"/>
              <w:jc w:val="center"/>
              <w:textAlignment w:val="auto"/>
              <w:rPr>
                <w:b/>
                <w:bCs/>
                <w:sz w:val="21"/>
                <w:szCs w:val="21"/>
              </w:rPr>
            </w:pPr>
            <w:r>
              <w:rPr>
                <w:b/>
                <w:bCs/>
                <w:sz w:val="21"/>
                <w:szCs w:val="21"/>
              </w:rPr>
              <w:t>表</w:t>
            </w:r>
            <w:r>
              <w:rPr>
                <w:rFonts w:hint="eastAsia"/>
                <w:b/>
                <w:bCs/>
                <w:sz w:val="21"/>
                <w:szCs w:val="21"/>
              </w:rPr>
              <w:t>2-8</w:t>
            </w:r>
            <w:r>
              <w:rPr>
                <w:b/>
                <w:bCs/>
                <w:sz w:val="21"/>
                <w:szCs w:val="21"/>
              </w:rPr>
              <w:t xml:space="preserve">  项目占地类型及面积</w:t>
            </w:r>
          </w:p>
          <w:tbl>
            <w:tblPr>
              <w:tblStyle w:val="14"/>
              <w:tblW w:w="49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2598"/>
              <w:gridCol w:w="4082"/>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0" w:type="pct"/>
                  <w:vMerge w:val="restart"/>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kinsoku/>
                    <w:wordWrap/>
                    <w:topLinePunct w:val="0"/>
                    <w:autoSpaceDE/>
                    <w:autoSpaceDN/>
                    <w:bidi w:val="0"/>
                    <w:spacing w:line="340" w:lineRule="exact"/>
                    <w:ind w:firstLine="0" w:firstLineChars="0"/>
                    <w:jc w:val="center"/>
                    <w:textAlignment w:val="auto"/>
                    <w:rPr>
                      <w:sz w:val="21"/>
                      <w:szCs w:val="21"/>
                    </w:rPr>
                  </w:pPr>
                  <w:bookmarkStart w:id="3" w:name="_Toc26957058"/>
                  <w:bookmarkStart w:id="4" w:name="_Toc26956970"/>
                  <w:r>
                    <w:rPr>
                      <w:rFonts w:hAnsi="宋体"/>
                      <w:sz w:val="21"/>
                      <w:szCs w:val="21"/>
                    </w:rPr>
                    <w:t>占地性质</w:t>
                  </w:r>
                  <w:bookmarkEnd w:id="3"/>
                  <w:bookmarkEnd w:id="4"/>
                </w:p>
              </w:tc>
              <w:tc>
                <w:tcPr>
                  <w:tcW w:w="1573" w:type="pct"/>
                  <w:vMerge w:val="restart"/>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kinsoku/>
                    <w:wordWrap/>
                    <w:topLinePunct w:val="0"/>
                    <w:autoSpaceDE/>
                    <w:autoSpaceDN/>
                    <w:bidi w:val="0"/>
                    <w:spacing w:line="340" w:lineRule="exact"/>
                    <w:ind w:firstLine="0" w:firstLineChars="0"/>
                    <w:jc w:val="center"/>
                    <w:textAlignment w:val="auto"/>
                    <w:rPr>
                      <w:sz w:val="21"/>
                      <w:szCs w:val="21"/>
                    </w:rPr>
                  </w:pPr>
                  <w:bookmarkStart w:id="5" w:name="_Toc26957059"/>
                  <w:bookmarkStart w:id="6" w:name="_Toc26956971"/>
                  <w:r>
                    <w:rPr>
                      <w:rFonts w:hAnsi="宋体"/>
                      <w:sz w:val="21"/>
                      <w:szCs w:val="21"/>
                    </w:rPr>
                    <w:t>占地用途</w:t>
                  </w:r>
                  <w:bookmarkEnd w:id="5"/>
                  <w:bookmarkEnd w:id="6"/>
                </w:p>
              </w:tc>
              <w:tc>
                <w:tcPr>
                  <w:tcW w:w="2472" w:type="pct"/>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kinsoku/>
                    <w:wordWrap/>
                    <w:topLinePunct w:val="0"/>
                    <w:autoSpaceDE/>
                    <w:autoSpaceDN/>
                    <w:bidi w:val="0"/>
                    <w:spacing w:line="340" w:lineRule="exact"/>
                    <w:ind w:firstLine="0" w:firstLineChars="0"/>
                    <w:jc w:val="center"/>
                    <w:textAlignment w:val="auto"/>
                    <w:rPr>
                      <w:rFonts w:hAnsi="宋体"/>
                      <w:sz w:val="21"/>
                      <w:szCs w:val="21"/>
                    </w:rPr>
                  </w:pPr>
                  <w:bookmarkStart w:id="7" w:name="_Toc26957061"/>
                  <w:bookmarkStart w:id="8" w:name="_Toc26956973"/>
                  <w:r>
                    <w:rPr>
                      <w:rFonts w:hAnsi="宋体"/>
                      <w:sz w:val="21"/>
                      <w:szCs w:val="21"/>
                    </w:rPr>
                    <w:t>占地类型</w:t>
                  </w:r>
                  <w:bookmarkEnd w:id="7"/>
                  <w:bookmarkEnd w:id="8"/>
                </w:p>
              </w:tc>
              <w:tc>
                <w:tcPr>
                  <w:tcW w:w="542" w:type="pct"/>
                  <w:vMerge w:val="restart"/>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kinsoku/>
                    <w:wordWrap/>
                    <w:topLinePunct w:val="0"/>
                    <w:autoSpaceDE/>
                    <w:autoSpaceDN/>
                    <w:bidi w:val="0"/>
                    <w:spacing w:line="340" w:lineRule="exact"/>
                    <w:ind w:firstLine="0" w:firstLineChars="0"/>
                    <w:jc w:val="center"/>
                    <w:textAlignment w:val="auto"/>
                    <w:rPr>
                      <w:rFonts w:hAnsi="宋体"/>
                      <w:sz w:val="21"/>
                      <w:szCs w:val="21"/>
                    </w:rPr>
                  </w:pPr>
                  <w:r>
                    <w:rPr>
                      <w:rFonts w:hAnsi="宋体"/>
                      <w:sz w:val="21"/>
                      <w:szCs w:val="21"/>
                    </w:rPr>
                    <w:t>合计</w:t>
                  </w:r>
                </w:p>
                <w:p>
                  <w:pPr>
                    <w:pStyle w:val="23"/>
                    <w:keepNext w:val="0"/>
                    <w:keepLines w:val="0"/>
                    <w:pageBreakBefore w:val="0"/>
                    <w:kinsoku/>
                    <w:wordWrap/>
                    <w:topLinePunct w:val="0"/>
                    <w:autoSpaceDE/>
                    <w:autoSpaceDN/>
                    <w:bidi w:val="0"/>
                    <w:spacing w:line="340" w:lineRule="exact"/>
                    <w:ind w:firstLine="0" w:firstLineChars="0"/>
                    <w:jc w:val="center"/>
                    <w:textAlignment w:val="auto"/>
                    <w:rPr>
                      <w:sz w:val="21"/>
                      <w:szCs w:val="21"/>
                    </w:rPr>
                  </w:pPr>
                  <w:r>
                    <w:rPr>
                      <w:rFonts w:hAnsi="宋体"/>
                      <w:sz w:val="21"/>
                      <w:szCs w:val="21"/>
                    </w:rPr>
                    <w:t>（</w:t>
                  </w:r>
                  <w:r>
                    <w:rPr>
                      <w:rFonts w:hint="eastAsia" w:hAnsi="宋体"/>
                      <w:sz w:val="21"/>
                      <w:szCs w:val="21"/>
                    </w:rPr>
                    <w:t>h</w:t>
                  </w:r>
                  <w:r>
                    <w:rPr>
                      <w:sz w:val="21"/>
                      <w:szCs w:val="21"/>
                    </w:rPr>
                    <w:t>m</w:t>
                  </w:r>
                  <w:r>
                    <w:rPr>
                      <w:sz w:val="21"/>
                      <w:szCs w:val="21"/>
                      <w:vertAlign w:val="superscript"/>
                    </w:rPr>
                    <w:t>2</w:t>
                  </w:r>
                  <w:r>
                    <w:rPr>
                      <w:rFonts w:hAnsi="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410" w:type="pct"/>
                  <w:vMerge w:val="restart"/>
                  <w:tcBorders>
                    <w:top w:val="single" w:color="auto" w:sz="4" w:space="0"/>
                    <w:left w:val="single" w:color="auto" w:sz="4" w:space="0"/>
                    <w:right w:val="single" w:color="auto" w:sz="4" w:space="0"/>
                  </w:tcBorders>
                  <w:vAlign w:val="center"/>
                </w:tcPr>
                <w:p>
                  <w:pPr>
                    <w:pStyle w:val="23"/>
                    <w:keepNext w:val="0"/>
                    <w:keepLines w:val="0"/>
                    <w:pageBreakBefore w:val="0"/>
                    <w:kinsoku/>
                    <w:wordWrap/>
                    <w:topLinePunct w:val="0"/>
                    <w:autoSpaceDE/>
                    <w:autoSpaceDN/>
                    <w:bidi w:val="0"/>
                    <w:spacing w:line="340" w:lineRule="exact"/>
                    <w:ind w:firstLine="0" w:firstLineChars="0"/>
                    <w:jc w:val="center"/>
                    <w:textAlignment w:val="auto"/>
                    <w:rPr>
                      <w:rFonts w:hAnsi="宋体"/>
                      <w:sz w:val="21"/>
                      <w:szCs w:val="21"/>
                    </w:rPr>
                  </w:pPr>
                  <w:r>
                    <w:rPr>
                      <w:rFonts w:hint="eastAsia" w:hAnsi="宋体"/>
                      <w:sz w:val="21"/>
                      <w:szCs w:val="21"/>
                    </w:rPr>
                    <w:t>永久占地</w:t>
                  </w:r>
                </w:p>
              </w:tc>
              <w:tc>
                <w:tcPr>
                  <w:tcW w:w="1573" w:type="pct"/>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kinsoku/>
                    <w:wordWrap/>
                    <w:topLinePunct w:val="0"/>
                    <w:autoSpaceDE/>
                    <w:autoSpaceDN/>
                    <w:bidi w:val="0"/>
                    <w:spacing w:line="340" w:lineRule="exact"/>
                    <w:ind w:firstLine="0" w:firstLineChars="0"/>
                    <w:jc w:val="center"/>
                    <w:textAlignment w:val="auto"/>
                    <w:rPr>
                      <w:rFonts w:hAnsi="宋体"/>
                      <w:sz w:val="21"/>
                      <w:szCs w:val="21"/>
                    </w:rPr>
                  </w:pPr>
                  <w:r>
                    <w:rPr>
                      <w:rFonts w:hint="eastAsia"/>
                      <w:sz w:val="21"/>
                      <w:szCs w:val="21"/>
                    </w:rPr>
                    <w:t>灌渠及渠系建筑物</w:t>
                  </w:r>
                </w:p>
              </w:tc>
              <w:tc>
                <w:tcPr>
                  <w:tcW w:w="2472" w:type="pct"/>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kinsoku/>
                    <w:wordWrap/>
                    <w:topLinePunct w:val="0"/>
                    <w:autoSpaceDE/>
                    <w:autoSpaceDN/>
                    <w:bidi w:val="0"/>
                    <w:spacing w:line="340" w:lineRule="exact"/>
                    <w:ind w:firstLine="0" w:firstLineChars="0"/>
                    <w:jc w:val="center"/>
                    <w:textAlignment w:val="auto"/>
                    <w:rPr>
                      <w:rFonts w:hAnsi="宋体"/>
                      <w:sz w:val="21"/>
                      <w:szCs w:val="21"/>
                    </w:rPr>
                  </w:pPr>
                  <w:r>
                    <w:rPr>
                      <w:rFonts w:hint="eastAsia" w:hAnsi="宋体"/>
                      <w:sz w:val="21"/>
                      <w:szCs w:val="21"/>
                    </w:rPr>
                    <w:t>平坦荒草地及荒坡地</w:t>
                  </w:r>
                </w:p>
              </w:tc>
              <w:tc>
                <w:tcPr>
                  <w:tcW w:w="542" w:type="pct"/>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kinsoku/>
                    <w:wordWrap/>
                    <w:topLinePunct w:val="0"/>
                    <w:autoSpaceDE/>
                    <w:autoSpaceDN/>
                    <w:bidi w:val="0"/>
                    <w:spacing w:line="340" w:lineRule="exact"/>
                    <w:ind w:firstLine="0" w:firstLineChars="0"/>
                    <w:jc w:val="center"/>
                    <w:textAlignment w:val="auto"/>
                    <w:rPr>
                      <w:rFonts w:hAnsi="宋体"/>
                      <w:sz w:val="21"/>
                      <w:szCs w:val="21"/>
                    </w:rPr>
                  </w:pPr>
                  <w:r>
                    <w:rPr>
                      <w:rFonts w:hint="eastAsia" w:hAnsi="宋体"/>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410" w:type="pct"/>
                  <w:vMerge w:val="continue"/>
                  <w:tcBorders>
                    <w:left w:val="single" w:color="auto" w:sz="4" w:space="0"/>
                    <w:bottom w:val="single" w:color="auto" w:sz="4" w:space="0"/>
                    <w:right w:val="single" w:color="auto" w:sz="4" w:space="0"/>
                  </w:tcBorders>
                  <w:vAlign w:val="center"/>
                </w:tcPr>
                <w:p>
                  <w:pPr>
                    <w:pStyle w:val="23"/>
                    <w:keepNext w:val="0"/>
                    <w:keepLines w:val="0"/>
                    <w:pageBreakBefore w:val="0"/>
                    <w:kinsoku/>
                    <w:wordWrap/>
                    <w:topLinePunct w:val="0"/>
                    <w:autoSpaceDE/>
                    <w:autoSpaceDN/>
                    <w:bidi w:val="0"/>
                    <w:spacing w:line="340" w:lineRule="exact"/>
                    <w:ind w:firstLine="0" w:firstLineChars="0"/>
                    <w:jc w:val="center"/>
                    <w:textAlignment w:val="auto"/>
                    <w:rPr>
                      <w:rFonts w:hAnsi="宋体"/>
                      <w:sz w:val="21"/>
                      <w:szCs w:val="21"/>
                    </w:rPr>
                  </w:pPr>
                </w:p>
              </w:tc>
              <w:tc>
                <w:tcPr>
                  <w:tcW w:w="1573" w:type="pct"/>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kinsoku/>
                    <w:wordWrap/>
                    <w:topLinePunct w:val="0"/>
                    <w:autoSpaceDE/>
                    <w:autoSpaceDN/>
                    <w:bidi w:val="0"/>
                    <w:spacing w:line="340" w:lineRule="exact"/>
                    <w:ind w:firstLine="0" w:firstLineChars="0"/>
                    <w:jc w:val="center"/>
                    <w:textAlignment w:val="auto"/>
                    <w:rPr>
                      <w:sz w:val="21"/>
                      <w:szCs w:val="21"/>
                    </w:rPr>
                  </w:pPr>
                  <w:r>
                    <w:rPr>
                      <w:rFonts w:hint="eastAsia"/>
                      <w:sz w:val="21"/>
                      <w:szCs w:val="21"/>
                    </w:rPr>
                    <w:t>引水口</w:t>
                  </w:r>
                </w:p>
              </w:tc>
              <w:tc>
                <w:tcPr>
                  <w:tcW w:w="2472" w:type="pct"/>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kinsoku/>
                    <w:wordWrap/>
                    <w:topLinePunct w:val="0"/>
                    <w:autoSpaceDE/>
                    <w:autoSpaceDN/>
                    <w:bidi w:val="0"/>
                    <w:spacing w:line="340" w:lineRule="exact"/>
                    <w:ind w:firstLine="0" w:firstLineChars="0"/>
                    <w:jc w:val="center"/>
                    <w:textAlignment w:val="auto"/>
                    <w:rPr>
                      <w:rFonts w:hAnsi="宋体"/>
                      <w:sz w:val="21"/>
                      <w:szCs w:val="21"/>
                    </w:rPr>
                  </w:pPr>
                  <w:r>
                    <w:rPr>
                      <w:rFonts w:hint="eastAsia" w:hAnsi="宋体"/>
                      <w:sz w:val="21"/>
                      <w:szCs w:val="21"/>
                    </w:rPr>
                    <w:t>平坦荒草地0.006h</w:t>
                  </w:r>
                  <w:r>
                    <w:rPr>
                      <w:sz w:val="21"/>
                      <w:szCs w:val="21"/>
                    </w:rPr>
                    <w:t>m</w:t>
                  </w:r>
                  <w:r>
                    <w:rPr>
                      <w:sz w:val="21"/>
                      <w:szCs w:val="21"/>
                      <w:vertAlign w:val="superscript"/>
                    </w:rPr>
                    <w:t>2</w:t>
                  </w:r>
                  <w:r>
                    <w:rPr>
                      <w:rFonts w:hint="eastAsia" w:hAnsi="宋体"/>
                      <w:sz w:val="21"/>
                      <w:szCs w:val="21"/>
                    </w:rPr>
                    <w:t>及河滩地0.004h</w:t>
                  </w:r>
                  <w:r>
                    <w:rPr>
                      <w:sz w:val="21"/>
                      <w:szCs w:val="21"/>
                    </w:rPr>
                    <w:t>m</w:t>
                  </w:r>
                  <w:r>
                    <w:rPr>
                      <w:sz w:val="21"/>
                      <w:szCs w:val="21"/>
                      <w:vertAlign w:val="superscript"/>
                    </w:rPr>
                    <w:t>2</w:t>
                  </w:r>
                </w:p>
              </w:tc>
              <w:tc>
                <w:tcPr>
                  <w:tcW w:w="542" w:type="pct"/>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kinsoku/>
                    <w:wordWrap/>
                    <w:topLinePunct w:val="0"/>
                    <w:autoSpaceDE/>
                    <w:autoSpaceDN/>
                    <w:bidi w:val="0"/>
                    <w:spacing w:line="340" w:lineRule="exact"/>
                    <w:ind w:firstLine="0" w:firstLineChars="0"/>
                    <w:jc w:val="center"/>
                    <w:textAlignment w:val="auto"/>
                    <w:rPr>
                      <w:rFonts w:hAnsi="宋体"/>
                      <w:sz w:val="21"/>
                      <w:szCs w:val="21"/>
                    </w:rPr>
                  </w:pPr>
                  <w:r>
                    <w:rPr>
                      <w:rFonts w:hint="eastAsia" w:hAnsi="宋体"/>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410" w:type="pct"/>
                  <w:tcBorders>
                    <w:top w:val="single" w:color="auto" w:sz="4" w:space="0"/>
                    <w:left w:val="single" w:color="auto" w:sz="4" w:space="0"/>
                    <w:right w:val="single" w:color="auto" w:sz="4" w:space="0"/>
                  </w:tcBorders>
                  <w:vAlign w:val="center"/>
                </w:tcPr>
                <w:p>
                  <w:pPr>
                    <w:pStyle w:val="23"/>
                    <w:keepNext w:val="0"/>
                    <w:keepLines w:val="0"/>
                    <w:pageBreakBefore w:val="0"/>
                    <w:kinsoku/>
                    <w:wordWrap/>
                    <w:topLinePunct w:val="0"/>
                    <w:autoSpaceDE/>
                    <w:autoSpaceDN/>
                    <w:bidi w:val="0"/>
                    <w:spacing w:line="340" w:lineRule="exact"/>
                    <w:ind w:firstLine="0" w:firstLineChars="0"/>
                    <w:jc w:val="center"/>
                    <w:textAlignment w:val="auto"/>
                    <w:rPr>
                      <w:rFonts w:hAnsi="宋体"/>
                      <w:sz w:val="21"/>
                      <w:szCs w:val="21"/>
                    </w:rPr>
                  </w:pPr>
                  <w:r>
                    <w:rPr>
                      <w:rFonts w:hint="eastAsia" w:hAnsi="宋体"/>
                      <w:sz w:val="21"/>
                      <w:szCs w:val="21"/>
                    </w:rPr>
                    <w:t>临时占地</w:t>
                  </w:r>
                </w:p>
              </w:tc>
              <w:tc>
                <w:tcPr>
                  <w:tcW w:w="1573" w:type="pct"/>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kinsoku/>
                    <w:wordWrap/>
                    <w:topLinePunct w:val="0"/>
                    <w:autoSpaceDE/>
                    <w:autoSpaceDN/>
                    <w:bidi w:val="0"/>
                    <w:spacing w:line="340" w:lineRule="exact"/>
                    <w:ind w:firstLine="0" w:firstLineChars="0"/>
                    <w:jc w:val="center"/>
                    <w:textAlignment w:val="auto"/>
                    <w:rPr>
                      <w:sz w:val="21"/>
                      <w:szCs w:val="21"/>
                    </w:rPr>
                  </w:pPr>
                  <w:r>
                    <w:rPr>
                      <w:rFonts w:hint="eastAsia"/>
                      <w:sz w:val="21"/>
                      <w:szCs w:val="21"/>
                    </w:rPr>
                    <w:t>施工营地</w:t>
                  </w:r>
                </w:p>
              </w:tc>
              <w:tc>
                <w:tcPr>
                  <w:tcW w:w="2472" w:type="pct"/>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kinsoku/>
                    <w:wordWrap/>
                    <w:topLinePunct w:val="0"/>
                    <w:autoSpaceDE/>
                    <w:autoSpaceDN/>
                    <w:bidi w:val="0"/>
                    <w:spacing w:line="340" w:lineRule="exact"/>
                    <w:ind w:firstLine="0" w:firstLineChars="0"/>
                    <w:jc w:val="center"/>
                    <w:textAlignment w:val="auto"/>
                    <w:rPr>
                      <w:rFonts w:hAnsi="宋体"/>
                      <w:sz w:val="21"/>
                      <w:szCs w:val="21"/>
                    </w:rPr>
                  </w:pPr>
                  <w:r>
                    <w:rPr>
                      <w:rFonts w:hint="eastAsia" w:hAnsi="宋体"/>
                      <w:sz w:val="21"/>
                      <w:szCs w:val="21"/>
                    </w:rPr>
                    <w:t>荒草地</w:t>
                  </w:r>
                </w:p>
              </w:tc>
              <w:tc>
                <w:tcPr>
                  <w:tcW w:w="542" w:type="pct"/>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kinsoku/>
                    <w:wordWrap/>
                    <w:topLinePunct w:val="0"/>
                    <w:autoSpaceDE/>
                    <w:autoSpaceDN/>
                    <w:bidi w:val="0"/>
                    <w:spacing w:line="340" w:lineRule="exact"/>
                    <w:ind w:firstLine="0" w:firstLineChars="0"/>
                    <w:jc w:val="center"/>
                    <w:textAlignment w:val="auto"/>
                    <w:rPr>
                      <w:rFonts w:hAnsi="宋体"/>
                      <w:sz w:val="21"/>
                      <w:szCs w:val="21"/>
                    </w:rPr>
                  </w:pPr>
                  <w:r>
                    <w:rPr>
                      <w:rFonts w:hint="eastAsia" w:hAnsi="宋体"/>
                      <w:sz w:val="21"/>
                      <w:szCs w:val="21"/>
                    </w:rPr>
                    <w:t>0.2</w:t>
                  </w:r>
                </w:p>
              </w:tc>
            </w:tr>
          </w:tbl>
          <w:p>
            <w:pPr>
              <w:pStyle w:val="3"/>
              <w:pageBreakBefore w:val="0"/>
              <w:kinsoku/>
              <w:wordWrap/>
              <w:topLinePunct w:val="0"/>
              <w:autoSpaceDE/>
              <w:autoSpaceDN/>
              <w:bidi w:val="0"/>
              <w:textAlignment w:val="auto"/>
            </w:pPr>
            <w:r>
              <w:rPr>
                <w:rFonts w:hint="eastAsia"/>
              </w:rPr>
              <w:t>11项目土石方平衡</w:t>
            </w:r>
          </w:p>
          <w:p>
            <w:pPr>
              <w:pageBreakBefore w:val="0"/>
              <w:widowControl/>
              <w:kinsoku/>
              <w:wordWrap/>
              <w:topLinePunct w:val="0"/>
              <w:autoSpaceDE/>
              <w:autoSpaceDN/>
              <w:bidi w:val="0"/>
              <w:ind w:firstLine="480" w:firstLineChars="200"/>
              <w:jc w:val="left"/>
              <w:textAlignment w:val="auto"/>
              <w:rPr>
                <w:rFonts w:ascii="宋体" w:hAnsi="宋体" w:cs="宋体"/>
                <w:kern w:val="0"/>
                <w:szCs w:val="24"/>
              </w:rPr>
            </w:pPr>
            <w:r>
              <w:rPr>
                <w:rFonts w:hint="eastAsia" w:ascii="宋体" w:hAnsi="宋体" w:cs="宋体"/>
                <w:kern w:val="0"/>
                <w:szCs w:val="24"/>
              </w:rPr>
              <w:t>本工程土石方开挖主要为引水口、支墩基础、阀门井基础以及管道沿线开挖等工程。</w:t>
            </w:r>
            <w:r>
              <w:rPr>
                <w:rFonts w:hAnsi="宋体"/>
              </w:rPr>
              <w:t>根据工程量表，项目土石方平衡一览表如下：</w:t>
            </w:r>
          </w:p>
          <w:p>
            <w:pPr>
              <w:pStyle w:val="21"/>
              <w:pageBreakBefore w:val="0"/>
              <w:kinsoku/>
              <w:wordWrap/>
              <w:topLinePunct w:val="0"/>
              <w:autoSpaceDE/>
              <w:autoSpaceDN/>
              <w:bidi w:val="0"/>
              <w:textAlignment w:val="auto"/>
            </w:pPr>
            <w:r>
              <w:rPr>
                <w:rFonts w:hint="eastAsia"/>
              </w:rPr>
              <w:t>表2-9项目土石方平衡情况一览表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3"/>
              <w:gridCol w:w="850"/>
              <w:gridCol w:w="1050"/>
              <w:gridCol w:w="816"/>
              <w:gridCol w:w="3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1713" w:type="dxa"/>
                </w:tcPr>
                <w:p>
                  <w:pPr>
                    <w:pStyle w:val="20"/>
                    <w:pageBreakBefore w:val="0"/>
                    <w:widowControl w:val="0"/>
                    <w:kinsoku/>
                    <w:wordWrap/>
                    <w:topLinePunct w:val="0"/>
                    <w:autoSpaceDE/>
                    <w:autoSpaceDN/>
                    <w:bidi w:val="0"/>
                    <w:textAlignment w:val="auto"/>
                  </w:pPr>
                  <w:r>
                    <w:rPr>
                      <w:rFonts w:hint="eastAsia"/>
                    </w:rPr>
                    <w:t>项目土方分区</w:t>
                  </w:r>
                </w:p>
              </w:tc>
              <w:tc>
                <w:tcPr>
                  <w:tcW w:w="850" w:type="dxa"/>
                </w:tcPr>
                <w:p>
                  <w:pPr>
                    <w:pStyle w:val="20"/>
                    <w:pageBreakBefore w:val="0"/>
                    <w:widowControl w:val="0"/>
                    <w:kinsoku/>
                    <w:wordWrap/>
                    <w:topLinePunct w:val="0"/>
                    <w:autoSpaceDE/>
                    <w:autoSpaceDN/>
                    <w:bidi w:val="0"/>
                    <w:textAlignment w:val="auto"/>
                  </w:pPr>
                  <w:r>
                    <w:rPr>
                      <w:rFonts w:hint="eastAsia"/>
                    </w:rPr>
                    <w:t>挖方（m</w:t>
                  </w:r>
                  <w:r>
                    <w:rPr>
                      <w:rFonts w:hint="eastAsia"/>
                      <w:vertAlign w:val="superscript"/>
                    </w:rPr>
                    <w:t>3</w:t>
                  </w:r>
                  <w:r>
                    <w:rPr>
                      <w:rFonts w:hint="eastAsia"/>
                    </w:rPr>
                    <w:t>）</w:t>
                  </w:r>
                </w:p>
              </w:tc>
              <w:tc>
                <w:tcPr>
                  <w:tcW w:w="1050" w:type="dxa"/>
                </w:tcPr>
                <w:p>
                  <w:pPr>
                    <w:pStyle w:val="20"/>
                    <w:pageBreakBefore w:val="0"/>
                    <w:widowControl w:val="0"/>
                    <w:kinsoku/>
                    <w:wordWrap/>
                    <w:topLinePunct w:val="0"/>
                    <w:autoSpaceDE/>
                    <w:autoSpaceDN/>
                    <w:bidi w:val="0"/>
                    <w:textAlignment w:val="auto"/>
                  </w:pPr>
                  <w:r>
                    <w:rPr>
                      <w:rFonts w:hint="eastAsia"/>
                    </w:rPr>
                    <w:t>填方（m</w:t>
                  </w:r>
                  <w:r>
                    <w:rPr>
                      <w:rFonts w:hint="eastAsia"/>
                      <w:vertAlign w:val="superscript"/>
                    </w:rPr>
                    <w:t>3</w:t>
                  </w:r>
                  <w:r>
                    <w:rPr>
                      <w:rFonts w:hint="eastAsia"/>
                    </w:rPr>
                    <w:t>）</w:t>
                  </w:r>
                </w:p>
              </w:tc>
              <w:tc>
                <w:tcPr>
                  <w:tcW w:w="816" w:type="dxa"/>
                </w:tcPr>
                <w:p>
                  <w:pPr>
                    <w:pStyle w:val="20"/>
                    <w:pageBreakBefore w:val="0"/>
                    <w:widowControl w:val="0"/>
                    <w:kinsoku/>
                    <w:wordWrap/>
                    <w:topLinePunct w:val="0"/>
                    <w:autoSpaceDE/>
                    <w:autoSpaceDN/>
                    <w:bidi w:val="0"/>
                    <w:textAlignment w:val="auto"/>
                  </w:pPr>
                  <w:r>
                    <w:rPr>
                      <w:rFonts w:hint="eastAsia"/>
                    </w:rPr>
                    <w:t>余方（m</w:t>
                  </w:r>
                  <w:r>
                    <w:rPr>
                      <w:rFonts w:hint="eastAsia"/>
                      <w:vertAlign w:val="superscript"/>
                    </w:rPr>
                    <w:t>3</w:t>
                  </w:r>
                  <w:r>
                    <w:rPr>
                      <w:rFonts w:hint="eastAsia"/>
                    </w:rPr>
                    <w:t>）</w:t>
                  </w:r>
                </w:p>
              </w:tc>
              <w:tc>
                <w:tcPr>
                  <w:tcW w:w="3817" w:type="dxa"/>
                </w:tcPr>
                <w:p>
                  <w:pPr>
                    <w:pStyle w:val="20"/>
                    <w:pageBreakBefore w:val="0"/>
                    <w:widowControl w:val="0"/>
                    <w:kinsoku/>
                    <w:wordWrap/>
                    <w:topLinePunct w:val="0"/>
                    <w:autoSpaceDE/>
                    <w:autoSpaceDN/>
                    <w:bidi w:val="0"/>
                    <w:textAlignment w:val="auto"/>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1713" w:type="dxa"/>
                </w:tcPr>
                <w:p>
                  <w:pPr>
                    <w:pStyle w:val="20"/>
                    <w:pageBreakBefore w:val="0"/>
                    <w:widowControl w:val="0"/>
                    <w:kinsoku/>
                    <w:wordWrap/>
                    <w:topLinePunct w:val="0"/>
                    <w:autoSpaceDE/>
                    <w:autoSpaceDN/>
                    <w:bidi w:val="0"/>
                    <w:textAlignment w:val="auto"/>
                  </w:pPr>
                  <w:r>
                    <w:rPr>
                      <w:rFonts w:hint="eastAsia"/>
                    </w:rPr>
                    <w:t>引水口</w:t>
                  </w:r>
                </w:p>
              </w:tc>
              <w:tc>
                <w:tcPr>
                  <w:tcW w:w="850" w:type="dxa"/>
                </w:tcPr>
                <w:p>
                  <w:pPr>
                    <w:pStyle w:val="20"/>
                    <w:pageBreakBefore w:val="0"/>
                    <w:widowControl w:val="0"/>
                    <w:kinsoku/>
                    <w:wordWrap/>
                    <w:topLinePunct w:val="0"/>
                    <w:autoSpaceDE/>
                    <w:autoSpaceDN/>
                    <w:bidi w:val="0"/>
                    <w:textAlignment w:val="auto"/>
                  </w:pPr>
                  <w:r>
                    <w:rPr>
                      <w:rFonts w:hint="eastAsia"/>
                    </w:rPr>
                    <w:t>2300</w:t>
                  </w:r>
                </w:p>
              </w:tc>
              <w:tc>
                <w:tcPr>
                  <w:tcW w:w="1050" w:type="dxa"/>
                </w:tcPr>
                <w:p>
                  <w:pPr>
                    <w:pStyle w:val="20"/>
                    <w:pageBreakBefore w:val="0"/>
                    <w:widowControl w:val="0"/>
                    <w:kinsoku/>
                    <w:wordWrap/>
                    <w:topLinePunct w:val="0"/>
                    <w:autoSpaceDE/>
                    <w:autoSpaceDN/>
                    <w:bidi w:val="0"/>
                    <w:textAlignment w:val="auto"/>
                  </w:pPr>
                  <w:r>
                    <w:rPr>
                      <w:rFonts w:hint="eastAsia"/>
                    </w:rPr>
                    <w:t>1000</w:t>
                  </w:r>
                </w:p>
              </w:tc>
              <w:tc>
                <w:tcPr>
                  <w:tcW w:w="816" w:type="dxa"/>
                </w:tcPr>
                <w:p>
                  <w:pPr>
                    <w:pStyle w:val="20"/>
                    <w:pageBreakBefore w:val="0"/>
                    <w:widowControl w:val="0"/>
                    <w:kinsoku/>
                    <w:wordWrap/>
                    <w:topLinePunct w:val="0"/>
                    <w:autoSpaceDE/>
                    <w:autoSpaceDN/>
                    <w:bidi w:val="0"/>
                    <w:textAlignment w:val="auto"/>
                  </w:pPr>
                  <w:r>
                    <w:rPr>
                      <w:rFonts w:hint="eastAsia"/>
                    </w:rPr>
                    <w:t>1300</w:t>
                  </w:r>
                </w:p>
              </w:tc>
              <w:tc>
                <w:tcPr>
                  <w:tcW w:w="3817" w:type="dxa"/>
                </w:tcPr>
                <w:p>
                  <w:pPr>
                    <w:pStyle w:val="20"/>
                    <w:pageBreakBefore w:val="0"/>
                    <w:widowControl w:val="0"/>
                    <w:kinsoku/>
                    <w:wordWrap/>
                    <w:topLinePunct w:val="0"/>
                    <w:autoSpaceDE/>
                    <w:autoSpaceDN/>
                    <w:bidi w:val="0"/>
                    <w:textAlignment w:val="auto"/>
                  </w:pPr>
                  <w:r>
                    <w:rPr>
                      <w:rFonts w:hint="eastAsia"/>
                    </w:rPr>
                    <w:t>余方用于场地整理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1713" w:type="dxa"/>
                </w:tcPr>
                <w:p>
                  <w:pPr>
                    <w:pStyle w:val="20"/>
                    <w:pageBreakBefore w:val="0"/>
                    <w:widowControl w:val="0"/>
                    <w:kinsoku/>
                    <w:wordWrap/>
                    <w:topLinePunct w:val="0"/>
                    <w:autoSpaceDE/>
                    <w:autoSpaceDN/>
                    <w:bidi w:val="0"/>
                    <w:textAlignment w:val="auto"/>
                  </w:pPr>
                  <w:r>
                    <w:rPr>
                      <w:rFonts w:hint="eastAsia"/>
                    </w:rPr>
                    <w:t>渡槽</w:t>
                  </w:r>
                </w:p>
              </w:tc>
              <w:tc>
                <w:tcPr>
                  <w:tcW w:w="850" w:type="dxa"/>
                </w:tcPr>
                <w:p>
                  <w:pPr>
                    <w:pStyle w:val="20"/>
                    <w:pageBreakBefore w:val="0"/>
                    <w:widowControl w:val="0"/>
                    <w:kinsoku/>
                    <w:wordWrap/>
                    <w:topLinePunct w:val="0"/>
                    <w:autoSpaceDE/>
                    <w:autoSpaceDN/>
                    <w:bidi w:val="0"/>
                    <w:textAlignment w:val="auto"/>
                  </w:pPr>
                  <w:r>
                    <w:rPr>
                      <w:rFonts w:hint="eastAsia"/>
                    </w:rPr>
                    <w:t>308</w:t>
                  </w:r>
                </w:p>
              </w:tc>
              <w:tc>
                <w:tcPr>
                  <w:tcW w:w="1050" w:type="dxa"/>
                </w:tcPr>
                <w:p>
                  <w:pPr>
                    <w:pStyle w:val="20"/>
                    <w:pageBreakBefore w:val="0"/>
                    <w:widowControl w:val="0"/>
                    <w:kinsoku/>
                    <w:wordWrap/>
                    <w:topLinePunct w:val="0"/>
                    <w:autoSpaceDE/>
                    <w:autoSpaceDN/>
                    <w:bidi w:val="0"/>
                    <w:textAlignment w:val="auto"/>
                  </w:pPr>
                  <w:r>
                    <w:rPr>
                      <w:rFonts w:hint="eastAsia"/>
                    </w:rPr>
                    <w:t>308</w:t>
                  </w:r>
                </w:p>
              </w:tc>
              <w:tc>
                <w:tcPr>
                  <w:tcW w:w="816" w:type="dxa"/>
                </w:tcPr>
                <w:p>
                  <w:pPr>
                    <w:pStyle w:val="20"/>
                    <w:pageBreakBefore w:val="0"/>
                    <w:widowControl w:val="0"/>
                    <w:kinsoku/>
                    <w:wordWrap/>
                    <w:topLinePunct w:val="0"/>
                    <w:autoSpaceDE/>
                    <w:autoSpaceDN/>
                    <w:bidi w:val="0"/>
                    <w:textAlignment w:val="auto"/>
                  </w:pPr>
                  <w:r>
                    <w:rPr>
                      <w:rFonts w:hint="eastAsia"/>
                    </w:rPr>
                    <w:t>0</w:t>
                  </w:r>
                </w:p>
              </w:tc>
              <w:tc>
                <w:tcPr>
                  <w:tcW w:w="3817" w:type="dxa"/>
                </w:tcPr>
                <w:p>
                  <w:pPr>
                    <w:pStyle w:val="20"/>
                    <w:pageBreakBefore w:val="0"/>
                    <w:widowControl w:val="0"/>
                    <w:kinsoku/>
                    <w:wordWrap/>
                    <w:topLinePunct w:val="0"/>
                    <w:autoSpaceDE/>
                    <w:autoSpaceDN/>
                    <w:bidi w:val="0"/>
                    <w:textAlignment w:val="auto"/>
                  </w:pPr>
                  <w:r>
                    <w:rPr>
                      <w:szCs w:val="21"/>
                    </w:rPr>
                    <w:t>用于渡槽基础铺填及沿边护土回用。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atLeast"/>
              </w:trPr>
              <w:tc>
                <w:tcPr>
                  <w:tcW w:w="1713" w:type="dxa"/>
                  <w:vAlign w:val="center"/>
                </w:tcPr>
                <w:p>
                  <w:pPr>
                    <w:pStyle w:val="20"/>
                    <w:pageBreakBefore w:val="0"/>
                    <w:widowControl w:val="0"/>
                    <w:kinsoku/>
                    <w:wordWrap/>
                    <w:topLinePunct w:val="0"/>
                    <w:autoSpaceDE/>
                    <w:autoSpaceDN/>
                    <w:bidi w:val="0"/>
                    <w:textAlignment w:val="auto"/>
                  </w:pPr>
                  <w:r>
                    <w:rPr>
                      <w:bCs/>
                      <w:szCs w:val="21"/>
                    </w:rPr>
                    <w:t>田间区系建筑工程（包括斗门、分水闸、引水口消力池）</w:t>
                  </w:r>
                </w:p>
              </w:tc>
              <w:tc>
                <w:tcPr>
                  <w:tcW w:w="850" w:type="dxa"/>
                  <w:vAlign w:val="center"/>
                </w:tcPr>
                <w:p>
                  <w:pPr>
                    <w:pStyle w:val="20"/>
                    <w:pageBreakBefore w:val="0"/>
                    <w:widowControl w:val="0"/>
                    <w:kinsoku/>
                    <w:wordWrap/>
                    <w:topLinePunct w:val="0"/>
                    <w:autoSpaceDE/>
                    <w:autoSpaceDN/>
                    <w:bidi w:val="0"/>
                    <w:textAlignment w:val="auto"/>
                  </w:pPr>
                  <w:r>
                    <w:rPr>
                      <w:rFonts w:hint="eastAsia"/>
                    </w:rPr>
                    <w:t>131</w:t>
                  </w:r>
                </w:p>
              </w:tc>
              <w:tc>
                <w:tcPr>
                  <w:tcW w:w="1050" w:type="dxa"/>
                  <w:vAlign w:val="center"/>
                </w:tcPr>
                <w:p>
                  <w:pPr>
                    <w:pStyle w:val="20"/>
                    <w:pageBreakBefore w:val="0"/>
                    <w:widowControl w:val="0"/>
                    <w:kinsoku/>
                    <w:wordWrap/>
                    <w:topLinePunct w:val="0"/>
                    <w:autoSpaceDE/>
                    <w:autoSpaceDN/>
                    <w:bidi w:val="0"/>
                    <w:textAlignment w:val="auto"/>
                  </w:pPr>
                  <w:r>
                    <w:rPr>
                      <w:rFonts w:hint="eastAsia"/>
                    </w:rPr>
                    <w:t>131</w:t>
                  </w:r>
                </w:p>
              </w:tc>
              <w:tc>
                <w:tcPr>
                  <w:tcW w:w="816" w:type="dxa"/>
                  <w:vAlign w:val="center"/>
                </w:tcPr>
                <w:p>
                  <w:pPr>
                    <w:pStyle w:val="20"/>
                    <w:pageBreakBefore w:val="0"/>
                    <w:widowControl w:val="0"/>
                    <w:kinsoku/>
                    <w:wordWrap/>
                    <w:topLinePunct w:val="0"/>
                    <w:autoSpaceDE/>
                    <w:autoSpaceDN/>
                    <w:bidi w:val="0"/>
                    <w:textAlignment w:val="auto"/>
                  </w:pPr>
                  <w:r>
                    <w:rPr>
                      <w:rFonts w:hint="eastAsia"/>
                    </w:rPr>
                    <w:t>0</w:t>
                  </w:r>
                </w:p>
              </w:tc>
              <w:tc>
                <w:tcPr>
                  <w:tcW w:w="3817" w:type="dxa"/>
                  <w:vAlign w:val="center"/>
                </w:tcPr>
                <w:p>
                  <w:pPr>
                    <w:pStyle w:val="20"/>
                    <w:pageBreakBefore w:val="0"/>
                    <w:widowControl w:val="0"/>
                    <w:kinsoku/>
                    <w:wordWrap/>
                    <w:topLinePunct w:val="0"/>
                    <w:autoSpaceDE/>
                    <w:autoSpaceDN/>
                    <w:bidi w:val="0"/>
                    <w:textAlignment w:val="auto"/>
                  </w:pPr>
                  <w:r>
                    <w:t>其中，引水口消力池开挖产生量约</w:t>
                  </w:r>
                  <w:r>
                    <w:rPr>
                      <w:rFonts w:hint="eastAsia"/>
                    </w:rPr>
                    <w:t>3</w:t>
                  </w:r>
                  <w:r>
                    <w:t>m</w:t>
                  </w:r>
                  <w:r>
                    <w:rPr>
                      <w:vertAlign w:val="superscript"/>
                    </w:rPr>
                    <w:t>3</w:t>
                  </w:r>
                  <w:r>
                    <w:t>，用于就近挖坑铺填；斗门和分水闸产生的土方用于就近外边坡护土使用。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1713" w:type="dxa"/>
                </w:tcPr>
                <w:p>
                  <w:pPr>
                    <w:pStyle w:val="20"/>
                    <w:pageBreakBefore w:val="0"/>
                    <w:widowControl w:val="0"/>
                    <w:kinsoku/>
                    <w:wordWrap/>
                    <w:topLinePunct w:val="0"/>
                    <w:autoSpaceDE/>
                    <w:autoSpaceDN/>
                    <w:bidi w:val="0"/>
                    <w:textAlignment w:val="auto"/>
                  </w:pPr>
                  <w:r>
                    <w:rPr>
                      <w:rFonts w:hint="eastAsia"/>
                    </w:rPr>
                    <w:t>管道工程</w:t>
                  </w:r>
                </w:p>
              </w:tc>
              <w:tc>
                <w:tcPr>
                  <w:tcW w:w="850" w:type="dxa"/>
                </w:tcPr>
                <w:p>
                  <w:pPr>
                    <w:pStyle w:val="20"/>
                    <w:pageBreakBefore w:val="0"/>
                    <w:widowControl w:val="0"/>
                    <w:kinsoku/>
                    <w:wordWrap/>
                    <w:topLinePunct w:val="0"/>
                    <w:autoSpaceDE/>
                    <w:autoSpaceDN/>
                    <w:bidi w:val="0"/>
                    <w:textAlignment w:val="auto"/>
                  </w:pPr>
                  <w:r>
                    <w:rPr>
                      <w:rFonts w:hint="eastAsia"/>
                    </w:rPr>
                    <w:t>20600</w:t>
                  </w:r>
                </w:p>
              </w:tc>
              <w:tc>
                <w:tcPr>
                  <w:tcW w:w="1050" w:type="dxa"/>
                </w:tcPr>
                <w:p>
                  <w:pPr>
                    <w:pStyle w:val="20"/>
                    <w:pageBreakBefore w:val="0"/>
                    <w:widowControl w:val="0"/>
                    <w:kinsoku/>
                    <w:wordWrap/>
                    <w:topLinePunct w:val="0"/>
                    <w:autoSpaceDE/>
                    <w:autoSpaceDN/>
                    <w:bidi w:val="0"/>
                    <w:textAlignment w:val="auto"/>
                  </w:pPr>
                  <w:r>
                    <w:rPr>
                      <w:rFonts w:hint="eastAsia"/>
                    </w:rPr>
                    <w:t>19994</w:t>
                  </w:r>
                </w:p>
              </w:tc>
              <w:tc>
                <w:tcPr>
                  <w:tcW w:w="816" w:type="dxa"/>
                </w:tcPr>
                <w:p>
                  <w:pPr>
                    <w:pStyle w:val="20"/>
                    <w:pageBreakBefore w:val="0"/>
                    <w:widowControl w:val="0"/>
                    <w:kinsoku/>
                    <w:wordWrap/>
                    <w:topLinePunct w:val="0"/>
                    <w:autoSpaceDE/>
                    <w:autoSpaceDN/>
                    <w:bidi w:val="0"/>
                    <w:textAlignment w:val="auto"/>
                  </w:pPr>
                  <w:r>
                    <w:rPr>
                      <w:rFonts w:hint="eastAsia"/>
                    </w:rPr>
                    <w:t>606</w:t>
                  </w:r>
                </w:p>
              </w:tc>
              <w:tc>
                <w:tcPr>
                  <w:tcW w:w="3817" w:type="dxa"/>
                </w:tcPr>
                <w:p>
                  <w:pPr>
                    <w:pStyle w:val="20"/>
                    <w:pageBreakBefore w:val="0"/>
                    <w:widowControl w:val="0"/>
                    <w:kinsoku/>
                    <w:wordWrap/>
                    <w:topLinePunct w:val="0"/>
                    <w:autoSpaceDE/>
                    <w:autoSpaceDN/>
                    <w:bidi w:val="0"/>
                    <w:textAlignment w:val="auto"/>
                  </w:pPr>
                  <w:r>
                    <w:rPr>
                      <w:rFonts w:hint="eastAsia"/>
                    </w:rPr>
                    <w:t>余方用于</w:t>
                  </w:r>
                  <w:r>
                    <w:rPr>
                      <w:szCs w:val="21"/>
                    </w:rPr>
                    <w:t>渠道沿边铺填及渠道两侧外边坡护土使用。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713" w:type="dxa"/>
                </w:tcPr>
                <w:p>
                  <w:pPr>
                    <w:pStyle w:val="20"/>
                    <w:pageBreakBefore w:val="0"/>
                    <w:widowControl w:val="0"/>
                    <w:kinsoku/>
                    <w:wordWrap/>
                    <w:topLinePunct w:val="0"/>
                    <w:autoSpaceDE/>
                    <w:autoSpaceDN/>
                    <w:bidi w:val="0"/>
                    <w:textAlignment w:val="auto"/>
                  </w:pPr>
                  <w:r>
                    <w:rPr>
                      <w:rFonts w:hint="eastAsia"/>
                    </w:rPr>
                    <w:t>合计</w:t>
                  </w:r>
                </w:p>
              </w:tc>
              <w:tc>
                <w:tcPr>
                  <w:tcW w:w="850" w:type="dxa"/>
                </w:tcPr>
                <w:p>
                  <w:pPr>
                    <w:pStyle w:val="20"/>
                    <w:pageBreakBefore w:val="0"/>
                    <w:widowControl w:val="0"/>
                    <w:kinsoku/>
                    <w:wordWrap/>
                    <w:topLinePunct w:val="0"/>
                    <w:autoSpaceDE/>
                    <w:autoSpaceDN/>
                    <w:bidi w:val="0"/>
                    <w:textAlignment w:val="auto"/>
                  </w:pPr>
                  <w:r>
                    <w:rPr>
                      <w:rFonts w:hint="eastAsia"/>
                    </w:rPr>
                    <w:t>23339</w:t>
                  </w:r>
                </w:p>
              </w:tc>
              <w:tc>
                <w:tcPr>
                  <w:tcW w:w="1050" w:type="dxa"/>
                </w:tcPr>
                <w:p>
                  <w:pPr>
                    <w:pStyle w:val="20"/>
                    <w:pageBreakBefore w:val="0"/>
                    <w:widowControl w:val="0"/>
                    <w:kinsoku/>
                    <w:wordWrap/>
                    <w:topLinePunct w:val="0"/>
                    <w:autoSpaceDE/>
                    <w:autoSpaceDN/>
                    <w:bidi w:val="0"/>
                    <w:textAlignment w:val="auto"/>
                  </w:pPr>
                  <w:r>
                    <w:rPr>
                      <w:rFonts w:hint="eastAsia"/>
                    </w:rPr>
                    <w:t>21433</w:t>
                  </w:r>
                </w:p>
              </w:tc>
              <w:tc>
                <w:tcPr>
                  <w:tcW w:w="816" w:type="dxa"/>
                </w:tcPr>
                <w:p>
                  <w:pPr>
                    <w:pStyle w:val="20"/>
                    <w:pageBreakBefore w:val="0"/>
                    <w:widowControl w:val="0"/>
                    <w:kinsoku/>
                    <w:wordWrap/>
                    <w:topLinePunct w:val="0"/>
                    <w:autoSpaceDE/>
                    <w:autoSpaceDN/>
                    <w:bidi w:val="0"/>
                    <w:textAlignment w:val="auto"/>
                  </w:pPr>
                  <w:r>
                    <w:rPr>
                      <w:rFonts w:hint="eastAsia"/>
                    </w:rPr>
                    <w:t>1906</w:t>
                  </w:r>
                </w:p>
              </w:tc>
              <w:tc>
                <w:tcPr>
                  <w:tcW w:w="3817" w:type="dxa"/>
                </w:tcPr>
                <w:p>
                  <w:pPr>
                    <w:pStyle w:val="20"/>
                    <w:pageBreakBefore w:val="0"/>
                    <w:widowControl w:val="0"/>
                    <w:kinsoku/>
                    <w:wordWrap/>
                    <w:topLinePunct w:val="0"/>
                    <w:autoSpaceDE/>
                    <w:autoSpaceDN/>
                    <w:bidi w:val="0"/>
                    <w:textAlignment w:val="auto"/>
                  </w:pPr>
                </w:p>
              </w:tc>
            </w:tr>
          </w:tbl>
          <w:p>
            <w:pPr>
              <w:pStyle w:val="13"/>
              <w:pageBreakBefore w:val="0"/>
              <w:kinsoku/>
              <w:wordWrap/>
              <w:topLinePunct w:val="0"/>
              <w:autoSpaceDE/>
              <w:autoSpaceDN/>
              <w:bidi w:val="0"/>
              <w:ind w:firstLine="480"/>
              <w:textAlignment w:val="auto"/>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3" w:type="pct"/>
            <w:vAlign w:val="center"/>
          </w:tcPr>
          <w:p>
            <w:pPr>
              <w:pageBreakBefore w:val="0"/>
              <w:kinsoku/>
              <w:wordWrap/>
              <w:topLinePunct w:val="0"/>
              <w:autoSpaceDE/>
              <w:autoSpaceDN/>
              <w:bidi w:val="0"/>
              <w:adjustRightInd w:val="0"/>
              <w:snapToGrid w:val="0"/>
              <w:jc w:val="center"/>
              <w:textAlignment w:val="auto"/>
              <w:rPr>
                <w:rFonts w:ascii="宋体" w:hAnsi="宋体" w:cs="宋体"/>
                <w:kern w:val="0"/>
                <w:szCs w:val="21"/>
              </w:rPr>
            </w:pPr>
            <w:r>
              <w:rPr>
                <w:rFonts w:hint="eastAsia" w:ascii="宋体" w:hAnsi="宋体" w:cs="宋体"/>
                <w:kern w:val="0"/>
                <w:szCs w:val="21"/>
              </w:rPr>
              <w:t>施工方案</w:t>
            </w:r>
          </w:p>
        </w:tc>
        <w:tc>
          <w:tcPr>
            <w:tcW w:w="4276" w:type="pct"/>
            <w:vAlign w:val="center"/>
          </w:tcPr>
          <w:p>
            <w:pPr>
              <w:pStyle w:val="3"/>
              <w:pageBreakBefore w:val="0"/>
              <w:kinsoku/>
              <w:wordWrap/>
              <w:topLinePunct w:val="0"/>
              <w:autoSpaceDE/>
              <w:autoSpaceDN/>
              <w:bidi w:val="0"/>
              <w:textAlignment w:val="auto"/>
            </w:pPr>
            <w:r>
              <w:rPr>
                <w:rFonts w:hint="eastAsia"/>
              </w:rPr>
              <w:t>12.项目施工工艺</w:t>
            </w:r>
          </w:p>
          <w:p>
            <w:pPr>
              <w:pStyle w:val="13"/>
              <w:pageBreakBefore w:val="0"/>
              <w:kinsoku/>
              <w:wordWrap/>
              <w:topLinePunct w:val="0"/>
              <w:autoSpaceDE/>
              <w:autoSpaceDN/>
              <w:bidi w:val="0"/>
              <w:ind w:firstLine="480"/>
              <w:textAlignment w:val="auto"/>
            </w:pPr>
            <w:r>
              <w:rPr>
                <w:rFonts w:hint="eastAsia"/>
              </w:rPr>
              <w:t>项目施工期主要工艺流程见下图：</w:t>
            </w:r>
          </w:p>
          <w:p>
            <w:pPr>
              <w:pageBreakBefore w:val="0"/>
              <w:kinsoku/>
              <w:wordWrap/>
              <w:topLinePunct w:val="0"/>
              <w:autoSpaceDE/>
              <w:autoSpaceDN/>
              <w:bidi w:val="0"/>
              <w:jc w:val="center"/>
              <w:textAlignment w:val="auto"/>
              <w:rPr>
                <w:b/>
                <w:bCs/>
              </w:rPr>
            </w:pPr>
            <w:r>
              <w:rPr>
                <w:b/>
                <w:bCs/>
              </w:rPr>
              <w:pict>
                <v:shape id="_x0000_s1026" o:spid="_x0000_s1026" o:spt="32" type="#_x0000_t32" style="position:absolute;left:0pt;flip:x;margin-left:367.6pt;margin-top:56.95pt;height:22.5pt;width:0.55pt;z-index:251660288;mso-width-relative:page;mso-height-relative:page;" filled="f" coordsize="21600,21600" o:gfxdata="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MQA+I2QAAAAsBAAAPAAAAAAAAAAEAIAAAACIAAABkcnMvZG93bnJldi54bWxQSwEC&#10;FAAUAAAACACHTuJA2bF8XCwCAAAaBAAADgAAAAAAAAABACAAAAAoAQAAZHJzL2Uyb0RvYy54bWxQ&#10;SwUGAAAAAAYABgBZAQAAxgUAAAAA&#10;">
                  <v:path arrowok="t"/>
                  <v:fill on="f" focussize="0,0"/>
                  <v:stroke weight="1.25pt" joinstyle="miter" endarrow="block" endarrowwidth="narrow" endarrowlength="long"/>
                  <v:imagedata o:title=""/>
                  <o:lock v:ext="edit"/>
                </v:shape>
              </w:pict>
            </w:r>
            <w:r>
              <w:rPr>
                <w:b/>
                <w:bCs/>
              </w:rPr>
              <w:drawing>
                <wp:inline distT="0" distB="0" distL="114300" distR="114300">
                  <wp:extent cx="5222240" cy="3439160"/>
                  <wp:effectExtent l="0" t="0" r="16510" b="8890"/>
                  <wp:docPr id="12" name="图片 12" descr="1618384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18384205(1)"/>
                          <pic:cNvPicPr>
                            <a:picLocks noChangeAspect="1"/>
                          </pic:cNvPicPr>
                        </pic:nvPicPr>
                        <pic:blipFill>
                          <a:blip r:embed="rId10" cstate="print">
                            <a:lum bright="-6000" contrast="12000"/>
                          </a:blip>
                          <a:stretch>
                            <a:fillRect/>
                          </a:stretch>
                        </pic:blipFill>
                        <pic:spPr>
                          <a:xfrm>
                            <a:off x="0" y="0"/>
                            <a:ext cx="5222240" cy="3439160"/>
                          </a:xfrm>
                          <a:prstGeom prst="rect">
                            <a:avLst/>
                          </a:prstGeom>
                        </pic:spPr>
                      </pic:pic>
                    </a:graphicData>
                  </a:graphic>
                </wp:inline>
              </w:drawing>
            </w:r>
          </w:p>
          <w:p>
            <w:pPr>
              <w:pStyle w:val="21"/>
              <w:pageBreakBefore w:val="0"/>
              <w:kinsoku/>
              <w:wordWrap/>
              <w:topLinePunct w:val="0"/>
              <w:autoSpaceDE/>
              <w:autoSpaceDN/>
              <w:bidi w:val="0"/>
              <w:ind w:firstLine="240" w:firstLineChars="100"/>
              <w:jc w:val="both"/>
              <w:textAlignment w:val="auto"/>
              <w:rPr>
                <w:bCs/>
              </w:rPr>
            </w:pPr>
            <w:r>
              <w:rPr>
                <w:rFonts w:hint="eastAsia"/>
                <w:b w:val="0"/>
              </w:rPr>
              <w:t>注：</w:t>
            </w:r>
            <w:r>
              <w:rPr>
                <w:rFonts w:hint="eastAsia"/>
                <w:b w:val="0"/>
                <w:lang w:eastAsia="zh-CN"/>
              </w:rPr>
              <w:t>本项目涉水工程为引水口，</w:t>
            </w:r>
            <w:r>
              <w:rPr>
                <w:rFonts w:hint="eastAsia"/>
                <w:b w:val="0"/>
              </w:rPr>
              <w:t>①却旦塘灌区沟道内水量较小，且引水口施工在非汛期进行，故施工导流用土石引导即可，导流难度小；渡槽所在沟道内水量较小，渡槽在非汛期施工，不涉及涉水作业。下洛哇灌区不修建引水口，不存在施工导流。②渡槽及引水口需对原有基础进行拆除后进行重建。</w:t>
            </w:r>
          </w:p>
          <w:p>
            <w:pPr>
              <w:pStyle w:val="21"/>
              <w:pageBreakBefore w:val="0"/>
              <w:kinsoku/>
              <w:wordWrap/>
              <w:topLinePunct w:val="0"/>
              <w:autoSpaceDE/>
              <w:autoSpaceDN/>
              <w:bidi w:val="0"/>
              <w:textAlignment w:val="auto"/>
            </w:pPr>
            <w:r>
              <w:rPr>
                <w:rFonts w:hint="eastAsia"/>
              </w:rPr>
              <w:t>图2-1项目施工工艺流程图</w:t>
            </w:r>
          </w:p>
          <w:p>
            <w:pPr>
              <w:pStyle w:val="3"/>
              <w:pageBreakBefore w:val="0"/>
              <w:kinsoku/>
              <w:wordWrap/>
              <w:topLinePunct w:val="0"/>
              <w:autoSpaceDE/>
              <w:autoSpaceDN/>
              <w:bidi w:val="0"/>
              <w:textAlignment w:val="auto"/>
            </w:pPr>
            <w:r>
              <w:rPr>
                <w:rFonts w:hint="eastAsia"/>
              </w:rPr>
              <w:t>13项目施工时序</w:t>
            </w:r>
          </w:p>
          <w:p>
            <w:pPr>
              <w:pStyle w:val="4"/>
              <w:pageBreakBefore w:val="0"/>
              <w:kinsoku/>
              <w:wordWrap/>
              <w:topLinePunct w:val="0"/>
              <w:autoSpaceDE/>
              <w:autoSpaceDN/>
              <w:bidi w:val="0"/>
              <w:textAlignment w:val="auto"/>
            </w:pPr>
            <w:r>
              <w:rPr>
                <w:rFonts w:hint="eastAsia"/>
              </w:rPr>
              <w:t>13.1土石方工程</w:t>
            </w:r>
          </w:p>
          <w:p>
            <w:pPr>
              <w:pStyle w:val="13"/>
              <w:pageBreakBefore w:val="0"/>
              <w:kinsoku/>
              <w:wordWrap/>
              <w:topLinePunct w:val="0"/>
              <w:autoSpaceDE/>
              <w:autoSpaceDN/>
              <w:bidi w:val="0"/>
              <w:ind w:firstLine="480"/>
              <w:textAlignment w:val="auto"/>
            </w:pPr>
            <w:r>
              <w:t>本工程土石方开挖主要为引水口、支墩基础、阀门井基础以及管道沿线开挖等工程。开挖</w:t>
            </w:r>
            <w:r>
              <w:rPr>
                <w:rFonts w:hint="eastAsia"/>
              </w:rPr>
              <w:t>以人工开挖为主、机械开挖为辅</w:t>
            </w:r>
            <w:r>
              <w:t>，弃渣可就近堆放，工程完工后，对弃渣进行处理。工程土方量主要产生于管道管沟开挖，工程施工完成后，将管沟回填，基本能做到挖填平衡。</w:t>
            </w:r>
          </w:p>
          <w:p>
            <w:pPr>
              <w:pStyle w:val="4"/>
              <w:pageBreakBefore w:val="0"/>
              <w:kinsoku/>
              <w:wordWrap/>
              <w:topLinePunct w:val="0"/>
              <w:autoSpaceDE/>
              <w:autoSpaceDN/>
              <w:bidi w:val="0"/>
              <w:textAlignment w:val="auto"/>
            </w:pPr>
            <w:r>
              <w:rPr>
                <w:rFonts w:hint="eastAsia"/>
              </w:rPr>
              <w:t>13.2管道施工</w:t>
            </w:r>
          </w:p>
          <w:p>
            <w:pPr>
              <w:pStyle w:val="13"/>
              <w:pageBreakBefore w:val="0"/>
              <w:kinsoku/>
              <w:wordWrap/>
              <w:topLinePunct w:val="0"/>
              <w:autoSpaceDE/>
              <w:autoSpaceDN/>
              <w:bidi w:val="0"/>
              <w:ind w:firstLine="480"/>
              <w:textAlignment w:val="auto"/>
              <w:rPr>
                <w:rFonts w:hint="eastAsia" w:eastAsia="宋体"/>
                <w:lang w:eastAsia="zh-CN"/>
              </w:rPr>
            </w:pPr>
            <w:r>
              <w:t>（1）管道安装：在安装连接前，应一一检查管身有无弊病，并严格检查管内有无污物、积垢和其他杂物堵塞，必须事先清除干净，方可进行连接。连接钢管采用焊接的方法，焊接后按照有关防腐标准做好接头防腐工作。PE管应采用</w:t>
            </w:r>
            <w:r>
              <w:rPr>
                <w:rFonts w:hint="eastAsia"/>
              </w:rPr>
              <w:t>热熔</w:t>
            </w:r>
            <w:r>
              <w:t>连接。管线在遇平面或平竖急转弯时，必须改设短管过渡。总之，无论在任何情况下，均不得人为强制弯曲管身。尤其在低温时施工，PE管材很脆，更应注意。下沟就位时，不得任意滚摔，应徐徐放落就位。</w:t>
            </w:r>
          </w:p>
          <w:p>
            <w:pPr>
              <w:pStyle w:val="13"/>
              <w:pageBreakBefore w:val="0"/>
              <w:kinsoku/>
              <w:wordWrap/>
              <w:topLinePunct w:val="0"/>
              <w:autoSpaceDE/>
              <w:autoSpaceDN/>
              <w:bidi w:val="0"/>
              <w:ind w:firstLine="480"/>
              <w:textAlignment w:val="auto"/>
            </w:pPr>
            <w:r>
              <w:t>（2）管道试压：安装好后的水管，应在掩埋前先进行逐段水压试验，以检查安装和管材的质量，是否符合设计要求。试验压力规定为1.5倍的该段设计工作压力，试验时，先充水加压至试验压力后，须稳定压力时间不少于10分钟，如未发现水管、附件及接头损坏，可降压至设计工作压力，再进行外观检查，如仍未发现渗漏，即认为水管试压合格。水压试验时，应有记录，以备工程竣工验收质量评定和管理运行时使用。</w:t>
            </w:r>
          </w:p>
          <w:p>
            <w:pPr>
              <w:pStyle w:val="13"/>
              <w:pageBreakBefore w:val="0"/>
              <w:kinsoku/>
              <w:wordWrap/>
              <w:topLinePunct w:val="0"/>
              <w:autoSpaceDE/>
              <w:autoSpaceDN/>
              <w:bidi w:val="0"/>
              <w:ind w:firstLine="480"/>
              <w:textAlignment w:val="auto"/>
            </w:pPr>
            <w:r>
              <w:t>（3）</w:t>
            </w:r>
            <w:r>
              <w:rPr>
                <w:rFonts w:hint="eastAsia"/>
              </w:rPr>
              <w:t>土方回填</w:t>
            </w:r>
            <w:r>
              <w:t>：管道埋于地面以下1.9m，下底宽为1.0m，开挖边坡为1</w:t>
            </w:r>
            <w:r>
              <w:rPr>
                <w:rFonts w:hint="eastAsia"/>
              </w:rPr>
              <w:t>：</w:t>
            </w:r>
            <w:r>
              <w:t>0.3。管道回填时，先将细土料回填0.5m，再在上面进行原土回填，以防回填时损坏</w:t>
            </w:r>
            <w:r>
              <w:rPr>
                <w:rFonts w:hint="eastAsia"/>
              </w:rPr>
              <w:t>PE</w:t>
            </w:r>
            <w:r>
              <w:t>管道。采用原土回填不加夯，但必须酌留虚土回填的沉陷超高。管道在埋设前必须先检查管沟底部有无尖刺，锐角刃石等有碍管身安全的情况，均应事先清除。管道埋设时，其四周边应先回填细土保护层，然后进行原土回填，原土回填时，应防止冻土块、重石等高落撞击、砸伤管身，造成隐患，管道未经试压合格，均不得进行回填掩埋。</w:t>
            </w:r>
          </w:p>
          <w:p>
            <w:pPr>
              <w:pStyle w:val="4"/>
              <w:pageBreakBefore w:val="0"/>
              <w:kinsoku/>
              <w:wordWrap/>
              <w:topLinePunct w:val="0"/>
              <w:autoSpaceDE/>
              <w:autoSpaceDN/>
              <w:bidi w:val="0"/>
              <w:textAlignment w:val="auto"/>
            </w:pPr>
            <w:r>
              <w:rPr>
                <w:rFonts w:hint="eastAsia"/>
              </w:rPr>
              <w:t>13.3渡槽施工</w:t>
            </w:r>
          </w:p>
          <w:p>
            <w:pPr>
              <w:pStyle w:val="13"/>
              <w:pageBreakBefore w:val="0"/>
              <w:kinsoku/>
              <w:wordWrap/>
              <w:topLinePunct w:val="0"/>
              <w:autoSpaceDE/>
              <w:autoSpaceDN/>
              <w:bidi w:val="0"/>
              <w:ind w:firstLine="480"/>
              <w:textAlignment w:val="auto"/>
              <w:rPr>
                <w:rFonts w:hint="eastAsia" w:eastAsia="宋体"/>
                <w:lang w:eastAsia="zh-CN"/>
              </w:rPr>
            </w:pPr>
            <w:r>
              <w:rPr>
                <w:rFonts w:hint="eastAsia"/>
              </w:rPr>
              <w:t>（1）渡槽基础开挖</w:t>
            </w:r>
          </w:p>
          <w:p>
            <w:pPr>
              <w:pStyle w:val="13"/>
              <w:pageBreakBefore w:val="0"/>
              <w:kinsoku/>
              <w:wordWrap/>
              <w:topLinePunct w:val="0"/>
              <w:autoSpaceDE/>
              <w:autoSpaceDN/>
              <w:bidi w:val="0"/>
              <w:ind w:firstLine="480"/>
              <w:textAlignment w:val="auto"/>
            </w:pPr>
            <w:r>
              <w:rPr>
                <w:rFonts w:hint="eastAsia"/>
              </w:rPr>
              <w:t>渡槽基础开挖主要为</w:t>
            </w:r>
            <w:r>
              <w:rPr>
                <w:rFonts w:hint="eastAsia" w:ascii="微软雅黑" w:hAnsi="微软雅黑" w:eastAsia="微软雅黑" w:cs="微软雅黑"/>
              </w:rPr>
              <w:t>Ⅲ</w:t>
            </w:r>
            <w:r>
              <w:rPr>
                <w:rFonts w:hint="eastAsia"/>
              </w:rPr>
              <w:t>级土，渡槽基础开挖宜在枯水期开始，防止山沟洪水暴发，冲垮基坑围堰造成损失，开挖时以人工开挖为主，机械开挖为辅，采用人工推平，基础开挖时留部分土方用作土方回填，此部分土方采用挖掘机开挖，人工推运的施工方法。渡槽排架采用75cm×50cm角钢焊接排架，排架高度按照沟道下切深度为2~9m，</w:t>
            </w:r>
            <w:r>
              <w:t>排架基础尺寸为1.6*1.6m*1.8（长*宽*高），</w:t>
            </w:r>
            <w:r>
              <w:rPr>
                <w:rFonts w:hint="eastAsia"/>
              </w:rPr>
              <w:t>渡槽基础挖深约1.0m，区域地下水埋深约2.5~3.5m，因此，项目渡槽无基坑排水，砂砾石地基边坡应根据地下水情况确定，一般取1:1为宜。</w:t>
            </w:r>
          </w:p>
          <w:p>
            <w:pPr>
              <w:pStyle w:val="13"/>
              <w:pageBreakBefore w:val="0"/>
              <w:kinsoku/>
              <w:wordWrap/>
              <w:topLinePunct w:val="0"/>
              <w:autoSpaceDE/>
              <w:autoSpaceDN/>
              <w:bidi w:val="0"/>
              <w:ind w:firstLine="480"/>
              <w:textAlignment w:val="auto"/>
              <w:rPr>
                <w:b/>
                <w:bCs/>
              </w:rPr>
            </w:pPr>
            <w:r>
              <w:rPr>
                <w:rFonts w:hint="eastAsia"/>
              </w:rPr>
              <w:t>（2）渡槽主体施工</w:t>
            </w:r>
          </w:p>
          <w:p>
            <w:pPr>
              <w:pStyle w:val="13"/>
              <w:pageBreakBefore w:val="0"/>
              <w:kinsoku/>
              <w:wordWrap/>
              <w:topLinePunct w:val="0"/>
              <w:autoSpaceDE/>
              <w:autoSpaceDN/>
              <w:bidi w:val="0"/>
              <w:ind w:firstLine="480"/>
              <w:textAlignment w:val="auto"/>
              <w:rPr>
                <w:b/>
                <w:bCs/>
              </w:rPr>
            </w:pPr>
            <w:r>
              <w:t>渡槽基础混凝土施工有条件的应在洪水期以前浇筑至洪水位以上，无条件的应做好施工导流措施，以防洪水造成损失，基础混凝土浇筑前应做好基础垫层，承载力达到设计要求，防止基础的不均匀沉陷。基础混凝土的浇筑采用小型混凝土搅拌站拌和，溜筒溜至仓面，人工平仓振捣或插入式振捣器振捣的方法进行浇筑。混凝土用小型混凝土搅拌站拌合，用V型斗车或机动三轮车水平运输，塔式起重机垂直运输，人工入仓，用插入式混凝土振捣棒分层振捣，每层厚度不大于30cm，严防漏振和过振。浇筑时要做好出料口的取样工作，现场测试坍落度严格控制水灰比，浇筑时要做好出料质量。</w:t>
            </w:r>
          </w:p>
          <w:p>
            <w:pPr>
              <w:pStyle w:val="13"/>
              <w:pageBreakBefore w:val="0"/>
              <w:kinsoku/>
              <w:wordWrap/>
              <w:topLinePunct w:val="0"/>
              <w:autoSpaceDE/>
              <w:autoSpaceDN/>
              <w:bidi w:val="0"/>
              <w:ind w:firstLine="480"/>
              <w:textAlignment w:val="auto"/>
              <w:rPr>
                <w:rFonts w:hint="eastAsia" w:eastAsia="宋体"/>
                <w:b/>
                <w:bCs/>
                <w:lang w:eastAsia="zh-CN"/>
              </w:rPr>
            </w:pPr>
            <w:r>
              <w:t>排架施工金属构件施工，金属构件组装检查合格后，应进行预处理，预处理前，应将金属构件表面修正完毕，并将金属表面铁锈、氧化皮、油污、灰尘、水分等污物</w:t>
            </w:r>
            <w:r>
              <w:rPr>
                <w:rFonts w:hint="eastAsia"/>
              </w:rPr>
              <w:t>清除干净</w:t>
            </w:r>
            <w:r>
              <w:t>。表面预处理应采用喷射或抛射除锈，所用磨料表面应清洁干净。喷射用的压缩空气应进行过滤，除去油和水。埋入混凝土段角钢及锚筋包括焊接头，必须在安装前做好接头防腐工作再埋入混凝土内。金属构件表面除锈等级应符合GB8923《涂装前钢材表面锈蚀等级和除锈等级》中规定的等级，除锈后，表面粗糙度数值应达到40～70um，用表面粗糙度专用测量器具或比较样块检测。</w:t>
            </w:r>
          </w:p>
          <w:p>
            <w:pPr>
              <w:pStyle w:val="13"/>
              <w:pageBreakBefore w:val="0"/>
              <w:kinsoku/>
              <w:wordWrap/>
              <w:topLinePunct w:val="0"/>
              <w:autoSpaceDE/>
              <w:autoSpaceDN/>
              <w:bidi w:val="0"/>
              <w:ind w:firstLine="480"/>
              <w:textAlignment w:val="auto"/>
              <w:rPr>
                <w:rFonts w:hint="eastAsia" w:eastAsia="宋体"/>
                <w:b/>
                <w:bCs/>
                <w:lang w:eastAsia="zh-CN"/>
              </w:rPr>
            </w:pPr>
            <w:r>
              <w:rPr>
                <w:rFonts w:hint="eastAsia"/>
              </w:rPr>
              <w:t>（3）</w:t>
            </w:r>
            <w:r>
              <w:t>土方基础回填</w:t>
            </w:r>
          </w:p>
          <w:p>
            <w:pPr>
              <w:pStyle w:val="13"/>
              <w:pageBreakBefore w:val="0"/>
              <w:kinsoku/>
              <w:wordWrap/>
              <w:topLinePunct w:val="0"/>
              <w:autoSpaceDE/>
              <w:autoSpaceDN/>
              <w:bidi w:val="0"/>
              <w:ind w:firstLine="480"/>
              <w:textAlignment w:val="auto"/>
              <w:rPr>
                <w:b/>
                <w:bCs/>
              </w:rPr>
            </w:pPr>
            <w:r>
              <w:t>回填采用分层回填碾压夯实，碾压干容重应达到设计要求，并做好边坡的防水处理，施工时先回填至渠道平台，再开挖基础</w:t>
            </w:r>
            <w:r>
              <w:rPr>
                <w:rFonts w:hint="eastAsia"/>
              </w:rPr>
              <w:t>。</w:t>
            </w:r>
          </w:p>
          <w:p>
            <w:pPr>
              <w:pStyle w:val="4"/>
              <w:pageBreakBefore w:val="0"/>
              <w:kinsoku/>
              <w:wordWrap/>
              <w:topLinePunct w:val="0"/>
              <w:autoSpaceDE/>
              <w:autoSpaceDN/>
              <w:bidi w:val="0"/>
              <w:textAlignment w:val="auto"/>
            </w:pPr>
            <w:r>
              <w:rPr>
                <w:rFonts w:hint="eastAsia"/>
              </w:rPr>
              <w:t>13.4阀门井施工</w:t>
            </w:r>
          </w:p>
          <w:p>
            <w:pPr>
              <w:pStyle w:val="13"/>
              <w:pageBreakBefore w:val="0"/>
              <w:kinsoku/>
              <w:wordWrap/>
              <w:topLinePunct w:val="0"/>
              <w:autoSpaceDE/>
              <w:autoSpaceDN/>
              <w:bidi w:val="0"/>
              <w:ind w:firstLine="480"/>
              <w:textAlignment w:val="auto"/>
              <w:rPr>
                <w:highlight w:val="yellow"/>
              </w:rPr>
            </w:pPr>
            <w:r>
              <w:rPr>
                <w:rFonts w:hint="eastAsia"/>
              </w:rPr>
              <w:t>阀门井土方开挖以机械开挖为主，人力配合为辅，开挖后的土方暂存于阀门井附近，开挖至设计深度后，进行砼浇筑。混凝土拌和集中在拌和场进行，混凝土、石料水平运输用1t机动翻斗车运抵工作仓面。待混凝土养护结束后，将基础周围土方进行回填。根据不同阀门井功能类型安装井盖。</w:t>
            </w:r>
          </w:p>
          <w:p>
            <w:pPr>
              <w:pStyle w:val="4"/>
              <w:pageBreakBefore w:val="0"/>
              <w:kinsoku/>
              <w:wordWrap/>
              <w:topLinePunct w:val="0"/>
              <w:autoSpaceDE/>
              <w:autoSpaceDN/>
              <w:bidi w:val="0"/>
              <w:textAlignment w:val="auto"/>
            </w:pPr>
            <w:r>
              <w:rPr>
                <w:rFonts w:hint="eastAsia"/>
              </w:rPr>
              <w:t>13.5谷坊、防冲坝施工</w:t>
            </w:r>
          </w:p>
          <w:p>
            <w:pPr>
              <w:pStyle w:val="13"/>
              <w:pageBreakBefore w:val="0"/>
              <w:kinsoku/>
              <w:wordWrap/>
              <w:topLinePunct w:val="0"/>
              <w:autoSpaceDE/>
              <w:autoSpaceDN/>
              <w:bidi w:val="0"/>
              <w:ind w:firstLine="480"/>
              <w:textAlignment w:val="auto"/>
            </w:pPr>
            <w:r>
              <w:rPr>
                <w:rFonts w:hint="eastAsia"/>
              </w:rPr>
              <w:t>考虑到当地气象、地形、地质、土壤状况及多年来修建谷坊的经验，谷坊和防冲坝采用生态格网结构，根据设计尺寸进行基础开挖，并对基础进行夯实，铺设防水土工布，然后将绑扎好的固滨笼安装固定，固滨笼填料的中值粒径宜介于150～200mm之间，不在外表面的填料可有15%的超出该范围。</w:t>
            </w:r>
          </w:p>
          <w:p>
            <w:pPr>
              <w:pStyle w:val="4"/>
              <w:pageBreakBefore w:val="0"/>
              <w:kinsoku/>
              <w:wordWrap/>
              <w:topLinePunct w:val="0"/>
              <w:autoSpaceDE/>
              <w:autoSpaceDN/>
              <w:bidi w:val="0"/>
              <w:textAlignment w:val="auto"/>
              <w:rPr>
                <w:rFonts w:hint="eastAsia" w:eastAsia="宋体"/>
                <w:lang w:eastAsia="zh-CN"/>
              </w:rPr>
            </w:pPr>
            <w:r>
              <w:rPr>
                <w:rFonts w:hint="eastAsia"/>
              </w:rPr>
              <w:t>13.6引水口施工</w:t>
            </w:r>
          </w:p>
          <w:p>
            <w:pPr>
              <w:pStyle w:val="13"/>
              <w:pageBreakBefore w:val="0"/>
              <w:kinsoku/>
              <w:wordWrap/>
              <w:topLinePunct w:val="0"/>
              <w:autoSpaceDE/>
              <w:autoSpaceDN/>
              <w:bidi w:val="0"/>
              <w:ind w:firstLine="480"/>
              <w:textAlignment w:val="auto"/>
            </w:pPr>
            <w:r>
              <w:rPr>
                <w:rFonts w:hint="eastAsia"/>
              </w:rPr>
              <w:t>引水口要求各部位施工前均需清基厚度0.5～2.4m，必须设置排水设施，各分项工程应同时开工，清基以人工为主，弃渣应清出河槽内，以免影响出流。基坑排水采用明沟与水泵联合作业。地表渗水采用明沟集水，并自然排向下游，深挖基础采用水泵排水，闸坝施工要根据设计图纸，严格按砌石、混凝土的相关施工规范执行，要求混凝土施工必须具备必需的施工机械，以保证工程质量。</w:t>
            </w:r>
          </w:p>
          <w:p>
            <w:pPr>
              <w:pStyle w:val="13"/>
              <w:pageBreakBefore w:val="0"/>
              <w:kinsoku/>
              <w:wordWrap/>
              <w:topLinePunct w:val="0"/>
              <w:autoSpaceDE/>
              <w:autoSpaceDN/>
              <w:bidi w:val="0"/>
              <w:ind w:firstLine="480"/>
              <w:textAlignment w:val="auto"/>
              <w:rPr>
                <w:b/>
                <w:bCs/>
              </w:rPr>
            </w:pPr>
            <w:r>
              <w:rPr>
                <w:rFonts w:hint="eastAsia"/>
              </w:rPr>
              <w:t>引水口施工导截流设计如下：</w:t>
            </w:r>
          </w:p>
          <w:p>
            <w:pPr>
              <w:pStyle w:val="13"/>
              <w:pageBreakBefore w:val="0"/>
              <w:kinsoku/>
              <w:wordWrap/>
              <w:topLinePunct w:val="0"/>
              <w:autoSpaceDE/>
              <w:autoSpaceDN/>
              <w:bidi w:val="0"/>
              <w:ind w:firstLine="480"/>
              <w:textAlignment w:val="auto"/>
              <w:rPr>
                <w:rFonts w:hint="eastAsia" w:eastAsia="宋体"/>
                <w:b/>
                <w:bCs/>
                <w:lang w:eastAsia="zh-CN"/>
              </w:rPr>
            </w:pPr>
            <w:r>
              <w:rPr>
                <w:rFonts w:hint="eastAsia"/>
              </w:rPr>
              <w:t>（1）导流方式</w:t>
            </w:r>
          </w:p>
          <w:p>
            <w:pPr>
              <w:pStyle w:val="13"/>
              <w:pageBreakBefore w:val="0"/>
              <w:kinsoku/>
              <w:wordWrap/>
              <w:topLinePunct w:val="0"/>
              <w:autoSpaceDE/>
              <w:autoSpaceDN/>
              <w:bidi w:val="0"/>
              <w:ind w:firstLine="480"/>
              <w:textAlignment w:val="auto"/>
              <w:rPr>
                <w:b/>
                <w:bCs/>
              </w:rPr>
            </w:pPr>
            <w:r>
              <w:rPr>
                <w:rFonts w:hint="eastAsia"/>
              </w:rPr>
              <w:t>却旦塘灌区沟道内水量较小，渡槽所在沟道内水量较小。引水口及渡槽在非汛期施工，施工导流用土石引导即可，导流难度小。下洛哇灌区不修建引水口，不存在施工导流。</w:t>
            </w:r>
          </w:p>
          <w:p>
            <w:pPr>
              <w:pStyle w:val="13"/>
              <w:pageBreakBefore w:val="0"/>
              <w:kinsoku/>
              <w:wordWrap/>
              <w:topLinePunct w:val="0"/>
              <w:autoSpaceDE/>
              <w:autoSpaceDN/>
              <w:bidi w:val="0"/>
              <w:ind w:firstLine="480"/>
              <w:textAlignment w:val="auto"/>
              <w:rPr>
                <w:b/>
                <w:bCs/>
              </w:rPr>
            </w:pPr>
            <w:r>
              <w:rPr>
                <w:rFonts w:hint="eastAsia"/>
              </w:rPr>
              <w:t>（2）导流标准</w:t>
            </w:r>
          </w:p>
          <w:p>
            <w:pPr>
              <w:pStyle w:val="13"/>
              <w:pageBreakBefore w:val="0"/>
              <w:kinsoku/>
              <w:wordWrap/>
              <w:topLinePunct w:val="0"/>
              <w:autoSpaceDE/>
              <w:autoSpaceDN/>
              <w:bidi w:val="0"/>
              <w:ind w:firstLine="480"/>
              <w:textAlignment w:val="auto"/>
              <w:rPr>
                <w:b/>
                <w:bCs/>
              </w:rPr>
            </w:pPr>
            <w:r>
              <w:rPr>
                <w:rFonts w:hint="eastAsia"/>
              </w:rPr>
              <w:t>该工程等别为V等，施工导流等其他临时工程级别为5级，根据《水利水电工程等级划分及洪水标准》（SL252-2017），确定引水口及渡槽导流标准为5年一遇洪水标准。</w:t>
            </w:r>
          </w:p>
          <w:p>
            <w:pPr>
              <w:pStyle w:val="3"/>
              <w:pageBreakBefore w:val="0"/>
              <w:kinsoku/>
              <w:wordWrap/>
              <w:topLinePunct w:val="0"/>
              <w:autoSpaceDE/>
              <w:autoSpaceDN/>
              <w:bidi w:val="0"/>
              <w:textAlignment w:val="auto"/>
              <w:rPr>
                <w:rFonts w:eastAsia="黑体"/>
              </w:rPr>
            </w:pPr>
            <w:r>
              <w:rPr>
                <w:rFonts w:hint="eastAsia"/>
              </w:rPr>
              <w:t>14</w:t>
            </w:r>
            <w:r>
              <w:t>项目</w:t>
            </w:r>
            <w:r>
              <w:rPr>
                <w:rFonts w:hint="eastAsia"/>
              </w:rPr>
              <w:t>建设周期</w:t>
            </w:r>
          </w:p>
          <w:p>
            <w:pPr>
              <w:pStyle w:val="13"/>
              <w:pageBreakBefore w:val="0"/>
              <w:kinsoku/>
              <w:wordWrap/>
              <w:topLinePunct w:val="0"/>
              <w:autoSpaceDE/>
              <w:autoSpaceDN/>
              <w:bidi w:val="0"/>
              <w:ind w:firstLine="480"/>
              <w:textAlignment w:val="auto"/>
            </w:pPr>
            <w:r>
              <w:t>本项目施工期约</w:t>
            </w:r>
            <w:r>
              <w:rPr>
                <w:rFonts w:hint="eastAsia"/>
              </w:rPr>
              <w:t>4</w:t>
            </w:r>
            <w:r>
              <w:t>个月，项目施工期</w:t>
            </w:r>
            <w:r>
              <w:rPr>
                <w:rFonts w:hint="eastAsia"/>
              </w:rPr>
              <w:t>平均人数约10人/d，施工人员大多来自茫拉乡。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3" w:type="pct"/>
            <w:vAlign w:val="center"/>
          </w:tcPr>
          <w:p>
            <w:pPr>
              <w:pageBreakBefore w:val="0"/>
              <w:kinsoku/>
              <w:wordWrap/>
              <w:topLinePunct w:val="0"/>
              <w:autoSpaceDE/>
              <w:autoSpaceDN/>
              <w:bidi w:val="0"/>
              <w:jc w:val="center"/>
              <w:textAlignment w:val="auto"/>
              <w:rPr>
                <w:rFonts w:ascii="宋体" w:hAnsi="宋体" w:cs="宋体"/>
                <w:kern w:val="0"/>
                <w:szCs w:val="21"/>
              </w:rPr>
            </w:pPr>
            <w:r>
              <w:rPr>
                <w:rFonts w:hint="eastAsia"/>
              </w:rPr>
              <w:t>其他</w:t>
            </w:r>
          </w:p>
        </w:tc>
        <w:tc>
          <w:tcPr>
            <w:tcW w:w="4276" w:type="pct"/>
            <w:vAlign w:val="center"/>
          </w:tcPr>
          <w:p>
            <w:pPr>
              <w:pStyle w:val="13"/>
              <w:pageBreakBefore w:val="0"/>
              <w:kinsoku/>
              <w:wordWrap/>
              <w:topLinePunct w:val="0"/>
              <w:autoSpaceDE/>
              <w:autoSpaceDN/>
              <w:bidi w:val="0"/>
              <w:ind w:firstLine="0" w:firstLineChars="0"/>
              <w:jc w:val="center"/>
              <w:textAlignment w:val="auto"/>
            </w:pPr>
            <w:r>
              <w:rPr>
                <w:rFonts w:hint="eastAsia"/>
              </w:rPr>
              <w:t>无</w:t>
            </w:r>
          </w:p>
        </w:tc>
      </w:tr>
    </w:tbl>
    <w:p>
      <w:r>
        <w:br w:type="page"/>
      </w:r>
    </w:p>
    <w:p>
      <w:pPr>
        <w:pStyle w:val="2"/>
        <w:rPr>
          <w:color w:val="auto"/>
        </w:rPr>
      </w:pPr>
      <w:r>
        <w:rPr>
          <w:rFonts w:hint="eastAsia"/>
          <w:color w:val="auto"/>
        </w:rPr>
        <w:t>三、生态环境现状、保护目标及评价标准</w:t>
      </w:r>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95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vAlign w:val="center"/>
          </w:tcPr>
          <w:p>
            <w:pPr>
              <w:jc w:val="center"/>
            </w:pPr>
            <w:r>
              <w:rPr>
                <w:rFonts w:hint="eastAsia"/>
              </w:rPr>
              <w:t>生态环境现状</w:t>
            </w:r>
          </w:p>
        </w:tc>
        <w:tc>
          <w:tcPr>
            <w:tcW w:w="4611" w:type="pct"/>
            <w:vAlign w:val="center"/>
          </w:tcPr>
          <w:p>
            <w:pPr>
              <w:pStyle w:val="3"/>
            </w:pPr>
            <w:bookmarkStart w:id="9" w:name="_Toc290536459"/>
            <w:r>
              <w:rPr>
                <w:rFonts w:hint="eastAsia"/>
              </w:rPr>
              <w:t>1环境质量现状</w:t>
            </w:r>
          </w:p>
          <w:p>
            <w:pPr>
              <w:pStyle w:val="4"/>
            </w:pPr>
            <w:r>
              <w:rPr>
                <w:rFonts w:hint="eastAsia"/>
              </w:rPr>
              <w:t>1.1生态环境质量现状</w:t>
            </w:r>
          </w:p>
          <w:p>
            <w:pPr>
              <w:pStyle w:val="13"/>
              <w:numPr>
                <w:ilvl w:val="0"/>
                <w:numId w:val="2"/>
              </w:numPr>
              <w:ind w:firstLine="480"/>
              <w:rPr>
                <w:b/>
                <w:bCs/>
              </w:rPr>
            </w:pPr>
            <w:r>
              <w:rPr>
                <w:rFonts w:hint="eastAsia"/>
              </w:rPr>
              <w:t>主体功能规划及生态功能区划</w:t>
            </w:r>
          </w:p>
          <w:p>
            <w:pPr>
              <w:pStyle w:val="13"/>
              <w:ind w:firstLine="480"/>
              <w:rPr>
                <w:b/>
                <w:bCs/>
              </w:rPr>
            </w:pPr>
            <w:r>
              <w:rPr>
                <w:rFonts w:hint="eastAsia"/>
              </w:rPr>
              <w:t>根据《青海省主体功能区规划》中图16青海省主体功能区划分图（见附图8），项目区属于重点开发区域；根据《青海省主体功能区规划》中图18（见附图9）青海省重点生态功能区分布图，项目区不属于国家重点生态功能区，也不属于</w:t>
            </w:r>
            <w:r>
              <w:rPr>
                <w:rFonts w:hint="eastAsia"/>
                <w:lang w:eastAsia="zh-CN"/>
              </w:rPr>
              <w:t>省</w:t>
            </w:r>
            <w:r>
              <w:rPr>
                <w:rFonts w:hint="eastAsia"/>
              </w:rPr>
              <w:t>级重点生态功能区。</w:t>
            </w:r>
          </w:p>
          <w:p>
            <w:pPr>
              <w:pStyle w:val="13"/>
              <w:ind w:firstLine="480"/>
              <w:rPr>
                <w:b/>
                <w:bCs/>
              </w:rPr>
            </w:pPr>
            <w:r>
              <w:rPr>
                <w:rFonts w:hint="eastAsia"/>
              </w:rPr>
              <w:t>根据《青海省生态区划图》，项目区属于三江源草原湿地生态功能区中的海南碳汇、生物多样性保护亚区。</w:t>
            </w:r>
          </w:p>
          <w:p>
            <w:pPr>
              <w:pStyle w:val="13"/>
              <w:numPr>
                <w:ilvl w:val="0"/>
                <w:numId w:val="2"/>
              </w:numPr>
              <w:ind w:firstLine="480"/>
            </w:pPr>
            <w:r>
              <w:rPr>
                <w:rFonts w:hint="eastAsia"/>
              </w:rPr>
              <w:t>陆生生态现状</w:t>
            </w:r>
          </w:p>
          <w:p>
            <w:pPr>
              <w:pStyle w:val="13"/>
              <w:ind w:firstLine="480"/>
              <w:rPr>
                <w:b/>
                <w:bCs/>
              </w:rPr>
            </w:pPr>
            <w:r>
              <w:rPr>
                <w:rFonts w:hint="eastAsia"/>
              </w:rPr>
              <w:t>项目区影响范围内土地利用类型为荒草地，主要植被为高寒草甸，</w:t>
            </w:r>
            <w:r>
              <w:t>山坡有</w:t>
            </w:r>
            <w:r>
              <w:rPr>
                <w:rFonts w:hint="eastAsia"/>
              </w:rPr>
              <w:t>少量</w:t>
            </w:r>
            <w:r>
              <w:t>灌木丛</w:t>
            </w:r>
            <w:r>
              <w:rPr>
                <w:rFonts w:hint="eastAsia"/>
              </w:rPr>
              <w:t>，区内植被覆盖率约30%~70%。</w:t>
            </w:r>
          </w:p>
          <w:p>
            <w:pPr>
              <w:pStyle w:val="13"/>
              <w:ind w:firstLine="480"/>
              <w:rPr>
                <w:rFonts w:hint="eastAsia" w:eastAsia="宋体"/>
                <w:lang w:eastAsia="zh-CN"/>
              </w:rPr>
            </w:pPr>
            <w:r>
              <w:rPr>
                <w:rFonts w:hint="eastAsia"/>
              </w:rPr>
              <w:t>项目周边分布有农田，项目沿线无大型野生动物，现状野生动物主要以鸟类、鼠兔等为主，与人类共生共栖，对环境适应能力较强；</w:t>
            </w:r>
            <w:r>
              <w:rPr>
                <w:rFonts w:hint="eastAsia" w:ascii="宋体" w:hAnsi="宋体"/>
              </w:rPr>
              <w:t>调查期间，</w:t>
            </w:r>
            <w:r>
              <w:rPr>
                <w:rFonts w:hint="eastAsia"/>
              </w:rPr>
              <w:t>区域内未发现珍稀动物踪迹。</w:t>
            </w:r>
          </w:p>
          <w:p>
            <w:pPr>
              <w:pStyle w:val="13"/>
              <w:numPr>
                <w:ilvl w:val="0"/>
                <w:numId w:val="2"/>
              </w:numPr>
              <w:ind w:firstLine="480"/>
            </w:pPr>
            <w:r>
              <w:rPr>
                <w:rFonts w:hint="eastAsia"/>
              </w:rPr>
              <w:t>流域现状</w:t>
            </w:r>
          </w:p>
          <w:p>
            <w:pPr>
              <w:pStyle w:val="13"/>
              <w:ind w:firstLine="480"/>
              <w:rPr>
                <w:rFonts w:hint="eastAsia" w:eastAsia="宋体"/>
                <w:lang w:eastAsia="zh-CN"/>
              </w:rPr>
            </w:pPr>
            <w:r>
              <w:rPr>
                <w:rFonts w:hint="eastAsia"/>
              </w:rPr>
              <w:t>贵南县河流大部分属于黄河外流水系，主要河流有茫拉河水系、沙沟河水系、莫曲沟大水沟等。其次是内流河水系，有干木群沟、达龙沟、西格尔沟等。境内有大小河流、溪流数百条，除黄河外主要水系年平均流量达1185m³，年径流量达342亿m³。</w:t>
            </w:r>
          </w:p>
          <w:p>
            <w:pPr>
              <w:pStyle w:val="13"/>
              <w:ind w:firstLine="480"/>
              <w:rPr>
                <w:rFonts w:hint="eastAsia" w:eastAsia="宋体"/>
                <w:lang w:eastAsia="zh-CN"/>
              </w:rPr>
            </w:pPr>
            <w:r>
              <w:rPr>
                <w:rFonts w:hint="eastAsia"/>
              </w:rPr>
              <w:t>茫拉河属黄河流域一级支流，发源于贵南县东南与泽库县交界处的甘强，源头海拔4600m，上游称茫曲。发源后向西北流约30km至萨诺隆瓦折向西流，又越30km过森多乡驻地后西北流至鲁仓，纳右岸支流达布江曲（郎曲）。继又西流经吴堡湾后向西北流，经贵南县驻地北及江当、茫拉，至康勇后称茫拉河，过拉感峡在拉干村入黄河，汇口海拔2556m，全长143.3km，平均比降9.53‰，流域面积为2723km</w:t>
            </w:r>
            <w:r>
              <w:rPr>
                <w:rFonts w:hint="eastAsia"/>
                <w:vertAlign w:val="superscript"/>
              </w:rPr>
              <w:t>2</w:t>
            </w:r>
            <w:r>
              <w:rPr>
                <w:rFonts w:hint="eastAsia"/>
              </w:rPr>
              <w:t>，多年平均流量4.85m³/s，多年平均径流量1.53亿m³。沿途纳入较大支流还有赛恰曲、哈拉河、塔秀河、曲卜藏沟等。茫拉河由山区大气降水和泉水补给，森多以上段河水潜流地下，在林多附近陆续以泉水形式出露汇集成再生性河流，经沙砾石层调蓄，水量较为稳定。区内地势高峻，东南部西倾，山支脉形成的高山地形，中部为平滩地，西北部由于黄河及支流切割，形成大小不等的台地、谷地。大部分地区海拔在3000～3500m之间。</w:t>
            </w:r>
          </w:p>
          <w:p>
            <w:pPr>
              <w:pStyle w:val="13"/>
              <w:ind w:firstLine="480"/>
              <w:rPr>
                <w:rFonts w:hint="eastAsia" w:eastAsia="宋体"/>
                <w:lang w:eastAsia="zh-CN"/>
              </w:rPr>
            </w:pPr>
            <w:r>
              <w:rPr>
                <w:rFonts w:hint="eastAsia"/>
              </w:rPr>
              <w:t>却旦塘灌区灌溉水源从角乎拉沟引取，角乎拉沟为茫拉河左岸一级支沟，位于茫拉乡正南方，距茫拉乡政府驻地约5km。角乎拉沟引水口以上汇水面积为0.6km</w:t>
            </w:r>
            <w:r>
              <w:rPr>
                <w:rFonts w:hint="eastAsia"/>
                <w:vertAlign w:val="superscript"/>
              </w:rPr>
              <w:t>2</w:t>
            </w:r>
            <w:r>
              <w:rPr>
                <w:rFonts w:hint="eastAsia"/>
              </w:rPr>
              <w:t>，引水口处海拔高程为2994.63m，沟道径流在引水口以上300m处以泉水形式出露，泉水水量常年稳定，常年平均流量为0.09m³/s，多年平均径流量为788.4万m³，灌溉用水量有保证。</w:t>
            </w:r>
          </w:p>
          <w:p>
            <w:pPr>
              <w:pStyle w:val="13"/>
              <w:ind w:firstLine="480"/>
            </w:pPr>
            <w:r>
              <w:rPr>
                <w:rFonts w:hint="eastAsia"/>
              </w:rPr>
              <w:t>下洛哇灌区灌溉水源从西龙曲引水，西龙曲为茫拉河左岸一级支流。下洛哇灌区西龙曲引水口以上流域面积为267.64km</w:t>
            </w:r>
            <w:r>
              <w:rPr>
                <w:rFonts w:hint="eastAsia"/>
                <w:vertAlign w:val="superscript"/>
              </w:rPr>
              <w:t>2</w:t>
            </w:r>
            <w:r>
              <w:rPr>
                <w:rFonts w:hint="eastAsia"/>
              </w:rPr>
              <w:t>，引水口处海拔高程为2966.11m，河道多年平均流量为0.93m³/s，多年平均径流量为2944.04万m³，水量常年稳定。</w:t>
            </w:r>
          </w:p>
          <w:p>
            <w:pPr>
              <w:pStyle w:val="13"/>
              <w:numPr>
                <w:ilvl w:val="0"/>
                <w:numId w:val="2"/>
              </w:numPr>
              <w:ind w:firstLine="480"/>
            </w:pPr>
            <w:r>
              <w:rPr>
                <w:rFonts w:hint="eastAsia"/>
              </w:rPr>
              <w:t>水生生态现状</w:t>
            </w:r>
          </w:p>
          <w:p>
            <w:pPr>
              <w:pStyle w:val="13"/>
              <w:ind w:firstLine="480"/>
            </w:pPr>
            <w:r>
              <w:rPr>
                <w:rFonts w:hint="eastAsia"/>
              </w:rPr>
              <w:t>项目区河道地表水主要以泉水形式出露，泉水水量常年稳定，属于常年性河道，项目取水河段主要水生生物为浮游动物，无重要鱼类越冬场和产卵场等。</w:t>
            </w:r>
          </w:p>
          <w:p>
            <w:pPr>
              <w:pStyle w:val="4"/>
            </w:pPr>
            <w:r>
              <w:rPr>
                <w:rFonts w:hint="eastAsia"/>
              </w:rPr>
              <w:t>1.2</w:t>
            </w:r>
            <w:r>
              <w:t>环境空气质量状况</w:t>
            </w:r>
            <w:bookmarkEnd w:id="9"/>
          </w:p>
          <w:p>
            <w:pPr>
              <w:pStyle w:val="13"/>
              <w:ind w:firstLine="480"/>
            </w:pPr>
            <w:bookmarkStart w:id="10" w:name="_Toc290536460"/>
            <w:r>
              <w:rPr>
                <w:rFonts w:hint="eastAsia"/>
              </w:rPr>
              <w:t>本次评价中引用“青海省生态环境监测中心网站”发布的贵南县2020年1月～2020年12月环境空气质量状况月均浓度值，对区域达标性进行判断，贵南县大气环境质量监测数据统计见下表：</w:t>
            </w:r>
          </w:p>
          <w:p>
            <w:pPr>
              <w:pStyle w:val="21"/>
            </w:pPr>
            <w:bookmarkStart w:id="11" w:name="_Hlk521076538"/>
            <w:r>
              <w:rPr>
                <w:rFonts w:hint="eastAsia"/>
              </w:rPr>
              <w:t>表3-1贵南县环境空气质量及达标情况     （单位：ug/m</w:t>
            </w:r>
            <w:r>
              <w:rPr>
                <w:rFonts w:hint="eastAsia"/>
                <w:vertAlign w:val="superscript"/>
              </w:rPr>
              <w:t>3</w:t>
            </w:r>
            <w:r>
              <w:rPr>
                <w:rFonts w:hint="eastAsia"/>
              </w:rPr>
              <w:t>）</w:t>
            </w:r>
          </w:p>
          <w:tbl>
            <w:tblPr>
              <w:tblStyle w:val="1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6"/>
              <w:gridCol w:w="739"/>
              <w:gridCol w:w="876"/>
              <w:gridCol w:w="609"/>
              <w:gridCol w:w="1090"/>
              <w:gridCol w:w="1585"/>
              <w:gridCol w:w="2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086" w:type="pct"/>
                  <w:tcBorders>
                    <w:tl2br w:val="single" w:color="auto" w:sz="4" w:space="0"/>
                  </w:tcBorders>
                  <w:vAlign w:val="center"/>
                </w:tcPr>
                <w:p>
                  <w:pPr>
                    <w:pStyle w:val="20"/>
                    <w:widowControl w:val="0"/>
                    <w:ind w:firstLine="840" w:firstLineChars="400"/>
                    <w:jc w:val="both"/>
                    <w:rPr>
                      <w:rFonts w:hint="default" w:ascii="Times New Roman" w:hAnsi="Times New Roman" w:cs="Times New Roman"/>
                    </w:rPr>
                  </w:pPr>
                  <w:r>
                    <w:rPr>
                      <w:rFonts w:hint="default" w:ascii="Times New Roman" w:hAnsi="Times New Roman" w:cs="Times New Roman"/>
                    </w:rPr>
                    <w:t>污染因子</w:t>
                  </w:r>
                </w:p>
                <w:p>
                  <w:pPr>
                    <w:pStyle w:val="20"/>
                    <w:widowControl w:val="0"/>
                    <w:jc w:val="both"/>
                    <w:rPr>
                      <w:rFonts w:hint="default" w:ascii="Times New Roman" w:hAnsi="Times New Roman" w:cs="Times New Roman"/>
                    </w:rPr>
                  </w:pPr>
                  <w:r>
                    <w:rPr>
                      <w:rFonts w:hint="default" w:ascii="Times New Roman" w:hAnsi="Times New Roman" w:cs="Times New Roman"/>
                    </w:rPr>
                    <w:t>月份</w:t>
                  </w:r>
                </w:p>
              </w:tc>
              <w:tc>
                <w:tcPr>
                  <w:tcW w:w="398" w:type="pct"/>
                  <w:vAlign w:val="center"/>
                </w:tcPr>
                <w:p>
                  <w:pPr>
                    <w:pStyle w:val="20"/>
                    <w:widowControl w:val="0"/>
                    <w:rPr>
                      <w:rFonts w:hint="default" w:ascii="Times New Roman" w:hAnsi="Times New Roman" w:cs="Times New Roman"/>
                    </w:rPr>
                  </w:pPr>
                  <w:r>
                    <w:rPr>
                      <w:rFonts w:hint="default" w:ascii="Times New Roman" w:hAnsi="Times New Roman" w:cs="Times New Roman"/>
                    </w:rPr>
                    <w:t>PM</w:t>
                  </w:r>
                  <w:r>
                    <w:rPr>
                      <w:rFonts w:hint="default" w:ascii="Times New Roman" w:hAnsi="Times New Roman" w:cs="Times New Roman"/>
                      <w:vertAlign w:val="subscript"/>
                    </w:rPr>
                    <w:t>10</w:t>
                  </w:r>
                </w:p>
              </w:tc>
              <w:tc>
                <w:tcPr>
                  <w:tcW w:w="472" w:type="pct"/>
                  <w:vAlign w:val="center"/>
                </w:tcPr>
                <w:p>
                  <w:pPr>
                    <w:pStyle w:val="20"/>
                    <w:widowControl w:val="0"/>
                    <w:rPr>
                      <w:rFonts w:hint="default" w:ascii="Times New Roman" w:hAnsi="Times New Roman" w:cs="Times New Roman"/>
                    </w:rPr>
                  </w:pPr>
                  <w:r>
                    <w:rPr>
                      <w:rFonts w:hint="default" w:ascii="Times New Roman" w:hAnsi="Times New Roman" w:cs="Times New Roman"/>
                    </w:rPr>
                    <w:t>PM</w:t>
                  </w:r>
                  <w:r>
                    <w:rPr>
                      <w:rFonts w:hint="default" w:ascii="Times New Roman" w:hAnsi="Times New Roman" w:cs="Times New Roman"/>
                      <w:vertAlign w:val="subscript"/>
                    </w:rPr>
                    <w:t>2.5</w:t>
                  </w:r>
                </w:p>
              </w:tc>
              <w:tc>
                <w:tcPr>
                  <w:tcW w:w="328" w:type="pct"/>
                  <w:vAlign w:val="center"/>
                </w:tcPr>
                <w:p>
                  <w:pPr>
                    <w:pStyle w:val="20"/>
                    <w:widowControl w:val="0"/>
                    <w:rPr>
                      <w:rFonts w:hint="default" w:ascii="Times New Roman" w:hAnsi="Times New Roman" w:cs="Times New Roman"/>
                    </w:rPr>
                  </w:pPr>
                  <w:r>
                    <w:rPr>
                      <w:rFonts w:hint="default" w:ascii="Times New Roman" w:hAnsi="Times New Roman" w:cs="Times New Roman"/>
                    </w:rPr>
                    <w:t>SO</w:t>
                  </w:r>
                  <w:r>
                    <w:rPr>
                      <w:rFonts w:hint="default" w:ascii="Times New Roman" w:hAnsi="Times New Roman" w:cs="Times New Roman"/>
                      <w:vertAlign w:val="subscript"/>
                    </w:rPr>
                    <w:t>2</w:t>
                  </w:r>
                </w:p>
              </w:tc>
              <w:tc>
                <w:tcPr>
                  <w:tcW w:w="587" w:type="pct"/>
                  <w:vAlign w:val="center"/>
                </w:tcPr>
                <w:p>
                  <w:pPr>
                    <w:pStyle w:val="20"/>
                    <w:widowControl w:val="0"/>
                    <w:rPr>
                      <w:rFonts w:hint="default" w:ascii="Times New Roman" w:hAnsi="Times New Roman" w:cs="Times New Roman"/>
                    </w:rPr>
                  </w:pPr>
                  <w:r>
                    <w:rPr>
                      <w:rFonts w:hint="default" w:ascii="Times New Roman" w:hAnsi="Times New Roman" w:cs="Times New Roman"/>
                    </w:rPr>
                    <w:t>NO</w:t>
                  </w:r>
                  <w:r>
                    <w:rPr>
                      <w:rFonts w:hint="default" w:ascii="Times New Roman" w:hAnsi="Times New Roman" w:cs="Times New Roman"/>
                      <w:vertAlign w:val="subscript"/>
                    </w:rPr>
                    <w:t>2</w:t>
                  </w:r>
                </w:p>
              </w:tc>
              <w:tc>
                <w:tcPr>
                  <w:tcW w:w="854" w:type="pct"/>
                  <w:vAlign w:val="center"/>
                </w:tcPr>
                <w:p>
                  <w:pPr>
                    <w:pStyle w:val="20"/>
                    <w:widowControl w:val="0"/>
                    <w:rPr>
                      <w:rFonts w:hint="default" w:ascii="Times New Roman" w:hAnsi="Times New Roman" w:cs="Times New Roman"/>
                    </w:rPr>
                  </w:pPr>
                  <w:r>
                    <w:rPr>
                      <w:rFonts w:hint="default" w:ascii="Times New Roman" w:hAnsi="Times New Roman" w:cs="Times New Roman"/>
                    </w:rPr>
                    <w:t>CO-95per（mg/m</w:t>
                  </w:r>
                  <w:r>
                    <w:rPr>
                      <w:rFonts w:hint="default" w:ascii="Times New Roman" w:hAnsi="Times New Roman" w:cs="Times New Roman"/>
                      <w:vertAlign w:val="superscript"/>
                    </w:rPr>
                    <w:t>3</w:t>
                  </w:r>
                  <w:r>
                    <w:rPr>
                      <w:rFonts w:hint="default" w:ascii="Times New Roman" w:hAnsi="Times New Roman" w:cs="Times New Roman"/>
                    </w:rPr>
                    <w:t>）</w:t>
                  </w:r>
                </w:p>
              </w:tc>
              <w:tc>
                <w:tcPr>
                  <w:tcW w:w="1272" w:type="pct"/>
                  <w:vAlign w:val="center"/>
                </w:tcPr>
                <w:p>
                  <w:pPr>
                    <w:pStyle w:val="20"/>
                    <w:widowControl w:val="0"/>
                    <w:rPr>
                      <w:rFonts w:hint="default" w:ascii="Times New Roman" w:hAnsi="Times New Roman" w:cs="Times New Roman"/>
                    </w:rPr>
                  </w:pPr>
                  <w:r>
                    <w:rPr>
                      <w:rFonts w:hint="default" w:ascii="Times New Roman" w:hAnsi="Times New Roman" w:cs="Times New Roman"/>
                    </w:rPr>
                    <w:t>O</w:t>
                  </w:r>
                  <w:r>
                    <w:rPr>
                      <w:rFonts w:hint="default" w:ascii="Times New Roman" w:hAnsi="Times New Roman" w:cs="Times New Roman"/>
                      <w:vertAlign w:val="subscript"/>
                    </w:rPr>
                    <w:t>3</w:t>
                  </w:r>
                  <w:r>
                    <w:rPr>
                      <w:rFonts w:hint="default" w:ascii="Times New Roman" w:hAnsi="Times New Roman" w:cs="Times New Roman"/>
                    </w:rPr>
                    <w:t>-8h-90per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086" w:type="pct"/>
                  <w:vAlign w:val="center"/>
                </w:tcPr>
                <w:p>
                  <w:pPr>
                    <w:pStyle w:val="20"/>
                    <w:widowControl w:val="0"/>
                    <w:rPr>
                      <w:rFonts w:hint="default" w:ascii="Times New Roman" w:hAnsi="Times New Roman" w:cs="Times New Roman"/>
                    </w:rPr>
                  </w:pPr>
                  <w:r>
                    <w:rPr>
                      <w:rFonts w:hint="default" w:ascii="Times New Roman" w:hAnsi="Times New Roman" w:cs="Times New Roman"/>
                    </w:rPr>
                    <w:t>1月</w:t>
                  </w:r>
                </w:p>
              </w:tc>
              <w:tc>
                <w:tcPr>
                  <w:tcW w:w="398"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46</w:t>
                  </w:r>
                </w:p>
              </w:tc>
              <w:tc>
                <w:tcPr>
                  <w:tcW w:w="472"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25</w:t>
                  </w:r>
                </w:p>
              </w:tc>
              <w:tc>
                <w:tcPr>
                  <w:tcW w:w="328"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12</w:t>
                  </w:r>
                </w:p>
              </w:tc>
              <w:tc>
                <w:tcPr>
                  <w:tcW w:w="587"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10</w:t>
                  </w:r>
                </w:p>
              </w:tc>
              <w:tc>
                <w:tcPr>
                  <w:tcW w:w="854"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0.8</w:t>
                  </w:r>
                </w:p>
              </w:tc>
              <w:tc>
                <w:tcPr>
                  <w:tcW w:w="1272"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086" w:type="pct"/>
                  <w:vAlign w:val="center"/>
                </w:tcPr>
                <w:p>
                  <w:pPr>
                    <w:pStyle w:val="20"/>
                    <w:widowControl w:val="0"/>
                    <w:rPr>
                      <w:rFonts w:hint="default" w:ascii="Times New Roman" w:hAnsi="Times New Roman" w:cs="Times New Roman"/>
                    </w:rPr>
                  </w:pPr>
                  <w:r>
                    <w:rPr>
                      <w:rFonts w:hint="default" w:ascii="Times New Roman" w:hAnsi="Times New Roman" w:cs="Times New Roman"/>
                    </w:rPr>
                    <w:t>2月</w:t>
                  </w:r>
                </w:p>
              </w:tc>
              <w:tc>
                <w:tcPr>
                  <w:tcW w:w="398"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57</w:t>
                  </w:r>
                </w:p>
              </w:tc>
              <w:tc>
                <w:tcPr>
                  <w:tcW w:w="472"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23</w:t>
                  </w:r>
                </w:p>
              </w:tc>
              <w:tc>
                <w:tcPr>
                  <w:tcW w:w="328"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10</w:t>
                  </w:r>
                </w:p>
              </w:tc>
              <w:tc>
                <w:tcPr>
                  <w:tcW w:w="587"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7</w:t>
                  </w:r>
                </w:p>
              </w:tc>
              <w:tc>
                <w:tcPr>
                  <w:tcW w:w="854"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0.6</w:t>
                  </w:r>
                </w:p>
              </w:tc>
              <w:tc>
                <w:tcPr>
                  <w:tcW w:w="1272"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086" w:type="pct"/>
                  <w:vAlign w:val="center"/>
                </w:tcPr>
                <w:p>
                  <w:pPr>
                    <w:pStyle w:val="20"/>
                    <w:widowControl w:val="0"/>
                    <w:rPr>
                      <w:rFonts w:hint="default" w:ascii="Times New Roman" w:hAnsi="Times New Roman" w:cs="Times New Roman"/>
                    </w:rPr>
                  </w:pPr>
                  <w:r>
                    <w:rPr>
                      <w:rFonts w:hint="default" w:ascii="Times New Roman" w:hAnsi="Times New Roman" w:cs="Times New Roman"/>
                    </w:rPr>
                    <w:t>3月</w:t>
                  </w:r>
                </w:p>
              </w:tc>
              <w:tc>
                <w:tcPr>
                  <w:tcW w:w="398"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63</w:t>
                  </w:r>
                </w:p>
              </w:tc>
              <w:tc>
                <w:tcPr>
                  <w:tcW w:w="472"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26</w:t>
                  </w:r>
                </w:p>
              </w:tc>
              <w:tc>
                <w:tcPr>
                  <w:tcW w:w="328"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9</w:t>
                  </w:r>
                </w:p>
              </w:tc>
              <w:tc>
                <w:tcPr>
                  <w:tcW w:w="587"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7</w:t>
                  </w:r>
                </w:p>
              </w:tc>
              <w:tc>
                <w:tcPr>
                  <w:tcW w:w="854"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1.2</w:t>
                  </w:r>
                </w:p>
              </w:tc>
              <w:tc>
                <w:tcPr>
                  <w:tcW w:w="1272"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086" w:type="pct"/>
                  <w:vAlign w:val="center"/>
                </w:tcPr>
                <w:p>
                  <w:pPr>
                    <w:pStyle w:val="20"/>
                    <w:widowControl w:val="0"/>
                    <w:rPr>
                      <w:rFonts w:hint="default" w:ascii="Times New Roman" w:hAnsi="Times New Roman" w:cs="Times New Roman"/>
                    </w:rPr>
                  </w:pPr>
                  <w:r>
                    <w:rPr>
                      <w:rFonts w:hint="default" w:ascii="Times New Roman" w:hAnsi="Times New Roman" w:cs="Times New Roman"/>
                    </w:rPr>
                    <w:t>4月</w:t>
                  </w:r>
                </w:p>
              </w:tc>
              <w:tc>
                <w:tcPr>
                  <w:tcW w:w="398"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52</w:t>
                  </w:r>
                </w:p>
              </w:tc>
              <w:tc>
                <w:tcPr>
                  <w:tcW w:w="472"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24</w:t>
                  </w:r>
                </w:p>
              </w:tc>
              <w:tc>
                <w:tcPr>
                  <w:tcW w:w="328"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8</w:t>
                  </w:r>
                </w:p>
              </w:tc>
              <w:tc>
                <w:tcPr>
                  <w:tcW w:w="587"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8</w:t>
                  </w:r>
                </w:p>
              </w:tc>
              <w:tc>
                <w:tcPr>
                  <w:tcW w:w="854"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0.5</w:t>
                  </w:r>
                </w:p>
              </w:tc>
              <w:tc>
                <w:tcPr>
                  <w:tcW w:w="1272"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086" w:type="pct"/>
                  <w:vAlign w:val="center"/>
                </w:tcPr>
                <w:p>
                  <w:pPr>
                    <w:pStyle w:val="20"/>
                    <w:widowControl w:val="0"/>
                    <w:rPr>
                      <w:rFonts w:hint="default" w:ascii="Times New Roman" w:hAnsi="Times New Roman" w:cs="Times New Roman"/>
                    </w:rPr>
                  </w:pPr>
                  <w:r>
                    <w:rPr>
                      <w:rFonts w:hint="default" w:ascii="Times New Roman" w:hAnsi="Times New Roman" w:cs="Times New Roman"/>
                    </w:rPr>
                    <w:t>5月</w:t>
                  </w:r>
                </w:p>
              </w:tc>
              <w:tc>
                <w:tcPr>
                  <w:tcW w:w="398"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39</w:t>
                  </w:r>
                </w:p>
              </w:tc>
              <w:tc>
                <w:tcPr>
                  <w:tcW w:w="472"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19</w:t>
                  </w:r>
                </w:p>
              </w:tc>
              <w:tc>
                <w:tcPr>
                  <w:tcW w:w="328"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7</w:t>
                  </w:r>
                </w:p>
              </w:tc>
              <w:tc>
                <w:tcPr>
                  <w:tcW w:w="587"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6</w:t>
                  </w:r>
                </w:p>
              </w:tc>
              <w:tc>
                <w:tcPr>
                  <w:tcW w:w="854"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0.4</w:t>
                  </w:r>
                </w:p>
              </w:tc>
              <w:tc>
                <w:tcPr>
                  <w:tcW w:w="1272"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086" w:type="pct"/>
                  <w:vAlign w:val="center"/>
                </w:tcPr>
                <w:p>
                  <w:pPr>
                    <w:pStyle w:val="20"/>
                    <w:widowControl w:val="0"/>
                    <w:rPr>
                      <w:rFonts w:hint="default" w:ascii="Times New Roman" w:hAnsi="Times New Roman" w:cs="Times New Roman"/>
                    </w:rPr>
                  </w:pPr>
                  <w:r>
                    <w:rPr>
                      <w:rFonts w:hint="default" w:ascii="Times New Roman" w:hAnsi="Times New Roman" w:cs="Times New Roman"/>
                    </w:rPr>
                    <w:t>6月</w:t>
                  </w:r>
                </w:p>
              </w:tc>
              <w:tc>
                <w:tcPr>
                  <w:tcW w:w="398"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29</w:t>
                  </w:r>
                </w:p>
              </w:tc>
              <w:tc>
                <w:tcPr>
                  <w:tcW w:w="472"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18</w:t>
                  </w:r>
                </w:p>
              </w:tc>
              <w:tc>
                <w:tcPr>
                  <w:tcW w:w="328"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4</w:t>
                  </w:r>
                </w:p>
              </w:tc>
              <w:tc>
                <w:tcPr>
                  <w:tcW w:w="587"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6</w:t>
                  </w:r>
                </w:p>
              </w:tc>
              <w:tc>
                <w:tcPr>
                  <w:tcW w:w="854"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0.4</w:t>
                  </w:r>
                </w:p>
              </w:tc>
              <w:tc>
                <w:tcPr>
                  <w:tcW w:w="1272"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086" w:type="pct"/>
                  <w:vAlign w:val="center"/>
                </w:tcPr>
                <w:p>
                  <w:pPr>
                    <w:pStyle w:val="20"/>
                    <w:widowControl w:val="0"/>
                    <w:rPr>
                      <w:rFonts w:hint="default" w:ascii="Times New Roman" w:hAnsi="Times New Roman" w:cs="Times New Roman"/>
                    </w:rPr>
                  </w:pPr>
                  <w:r>
                    <w:rPr>
                      <w:rFonts w:hint="default" w:ascii="Times New Roman" w:hAnsi="Times New Roman" w:cs="Times New Roman"/>
                    </w:rPr>
                    <w:t>7月</w:t>
                  </w:r>
                </w:p>
              </w:tc>
              <w:tc>
                <w:tcPr>
                  <w:tcW w:w="398"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24</w:t>
                  </w:r>
                </w:p>
              </w:tc>
              <w:tc>
                <w:tcPr>
                  <w:tcW w:w="472"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17</w:t>
                  </w:r>
                </w:p>
              </w:tc>
              <w:tc>
                <w:tcPr>
                  <w:tcW w:w="328"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5</w:t>
                  </w:r>
                </w:p>
              </w:tc>
              <w:tc>
                <w:tcPr>
                  <w:tcW w:w="587"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5</w:t>
                  </w:r>
                </w:p>
              </w:tc>
              <w:tc>
                <w:tcPr>
                  <w:tcW w:w="854"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0.4</w:t>
                  </w:r>
                </w:p>
              </w:tc>
              <w:tc>
                <w:tcPr>
                  <w:tcW w:w="1272"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086" w:type="pct"/>
                  <w:vAlign w:val="center"/>
                </w:tcPr>
                <w:p>
                  <w:pPr>
                    <w:pStyle w:val="20"/>
                    <w:widowControl w:val="0"/>
                    <w:rPr>
                      <w:rFonts w:hint="default" w:ascii="Times New Roman" w:hAnsi="Times New Roman" w:cs="Times New Roman"/>
                    </w:rPr>
                  </w:pPr>
                  <w:r>
                    <w:rPr>
                      <w:rFonts w:hint="default" w:ascii="Times New Roman" w:hAnsi="Times New Roman" w:cs="Times New Roman"/>
                    </w:rPr>
                    <w:t>8月</w:t>
                  </w:r>
                </w:p>
              </w:tc>
              <w:tc>
                <w:tcPr>
                  <w:tcW w:w="398"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25</w:t>
                  </w:r>
                </w:p>
              </w:tc>
              <w:tc>
                <w:tcPr>
                  <w:tcW w:w="472"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16</w:t>
                  </w:r>
                </w:p>
              </w:tc>
              <w:tc>
                <w:tcPr>
                  <w:tcW w:w="328"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5</w:t>
                  </w:r>
                </w:p>
              </w:tc>
              <w:tc>
                <w:tcPr>
                  <w:tcW w:w="587"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5</w:t>
                  </w:r>
                </w:p>
              </w:tc>
              <w:tc>
                <w:tcPr>
                  <w:tcW w:w="854"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0.4</w:t>
                  </w:r>
                </w:p>
              </w:tc>
              <w:tc>
                <w:tcPr>
                  <w:tcW w:w="1272"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086" w:type="pct"/>
                  <w:vAlign w:val="center"/>
                </w:tcPr>
                <w:p>
                  <w:pPr>
                    <w:pStyle w:val="20"/>
                    <w:widowControl w:val="0"/>
                    <w:rPr>
                      <w:rFonts w:hint="default" w:ascii="Times New Roman" w:hAnsi="Times New Roman" w:cs="Times New Roman"/>
                    </w:rPr>
                  </w:pPr>
                  <w:r>
                    <w:rPr>
                      <w:rFonts w:hint="default" w:ascii="Times New Roman" w:hAnsi="Times New Roman" w:cs="Times New Roman"/>
                    </w:rPr>
                    <w:t>9月</w:t>
                  </w:r>
                </w:p>
              </w:tc>
              <w:tc>
                <w:tcPr>
                  <w:tcW w:w="398"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28</w:t>
                  </w:r>
                </w:p>
              </w:tc>
              <w:tc>
                <w:tcPr>
                  <w:tcW w:w="472"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15</w:t>
                  </w:r>
                </w:p>
              </w:tc>
              <w:tc>
                <w:tcPr>
                  <w:tcW w:w="328"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5</w:t>
                  </w:r>
                </w:p>
              </w:tc>
              <w:tc>
                <w:tcPr>
                  <w:tcW w:w="587"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6</w:t>
                  </w:r>
                </w:p>
              </w:tc>
              <w:tc>
                <w:tcPr>
                  <w:tcW w:w="854"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0.4</w:t>
                  </w:r>
                </w:p>
              </w:tc>
              <w:tc>
                <w:tcPr>
                  <w:tcW w:w="1272"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086" w:type="pct"/>
                  <w:vAlign w:val="center"/>
                </w:tcPr>
                <w:p>
                  <w:pPr>
                    <w:pStyle w:val="20"/>
                    <w:widowControl w:val="0"/>
                    <w:rPr>
                      <w:rFonts w:hint="default" w:ascii="Times New Roman" w:hAnsi="Times New Roman" w:cs="Times New Roman"/>
                    </w:rPr>
                  </w:pPr>
                  <w:r>
                    <w:rPr>
                      <w:rFonts w:hint="default" w:ascii="Times New Roman" w:hAnsi="Times New Roman" w:cs="Times New Roman"/>
                    </w:rPr>
                    <w:t>10月</w:t>
                  </w:r>
                </w:p>
              </w:tc>
              <w:tc>
                <w:tcPr>
                  <w:tcW w:w="398"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38</w:t>
                  </w:r>
                </w:p>
              </w:tc>
              <w:tc>
                <w:tcPr>
                  <w:tcW w:w="472"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21</w:t>
                  </w:r>
                </w:p>
              </w:tc>
              <w:tc>
                <w:tcPr>
                  <w:tcW w:w="328"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5</w:t>
                  </w:r>
                </w:p>
              </w:tc>
              <w:tc>
                <w:tcPr>
                  <w:tcW w:w="587"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8</w:t>
                  </w:r>
                </w:p>
              </w:tc>
              <w:tc>
                <w:tcPr>
                  <w:tcW w:w="854"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0.6</w:t>
                  </w:r>
                </w:p>
              </w:tc>
              <w:tc>
                <w:tcPr>
                  <w:tcW w:w="1272"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086" w:type="pct"/>
                  <w:vAlign w:val="center"/>
                </w:tcPr>
                <w:p>
                  <w:pPr>
                    <w:pStyle w:val="20"/>
                    <w:widowControl w:val="0"/>
                    <w:rPr>
                      <w:rFonts w:hint="default" w:ascii="Times New Roman" w:hAnsi="Times New Roman" w:cs="Times New Roman"/>
                    </w:rPr>
                  </w:pPr>
                  <w:r>
                    <w:rPr>
                      <w:rFonts w:hint="default" w:ascii="Times New Roman" w:hAnsi="Times New Roman" w:cs="Times New Roman"/>
                    </w:rPr>
                    <w:t>11月</w:t>
                  </w:r>
                </w:p>
              </w:tc>
              <w:tc>
                <w:tcPr>
                  <w:tcW w:w="398"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45</w:t>
                  </w:r>
                </w:p>
              </w:tc>
              <w:tc>
                <w:tcPr>
                  <w:tcW w:w="472"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24</w:t>
                  </w:r>
                </w:p>
              </w:tc>
              <w:tc>
                <w:tcPr>
                  <w:tcW w:w="328"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8</w:t>
                  </w:r>
                </w:p>
              </w:tc>
              <w:tc>
                <w:tcPr>
                  <w:tcW w:w="587"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10</w:t>
                  </w:r>
                </w:p>
              </w:tc>
              <w:tc>
                <w:tcPr>
                  <w:tcW w:w="854"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0.7</w:t>
                  </w:r>
                </w:p>
              </w:tc>
              <w:tc>
                <w:tcPr>
                  <w:tcW w:w="1272"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086" w:type="pct"/>
                  <w:vAlign w:val="center"/>
                </w:tcPr>
                <w:p>
                  <w:pPr>
                    <w:pStyle w:val="20"/>
                    <w:widowControl w:val="0"/>
                    <w:rPr>
                      <w:rFonts w:hint="default" w:ascii="Times New Roman" w:hAnsi="Times New Roman" w:cs="Times New Roman"/>
                    </w:rPr>
                  </w:pPr>
                  <w:r>
                    <w:rPr>
                      <w:rFonts w:hint="default" w:ascii="Times New Roman" w:hAnsi="Times New Roman" w:cs="Times New Roman"/>
                    </w:rPr>
                    <w:t>12月</w:t>
                  </w:r>
                </w:p>
              </w:tc>
              <w:tc>
                <w:tcPr>
                  <w:tcW w:w="398"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w:t>
                  </w:r>
                </w:p>
              </w:tc>
              <w:tc>
                <w:tcPr>
                  <w:tcW w:w="472"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w:t>
                  </w:r>
                </w:p>
              </w:tc>
              <w:tc>
                <w:tcPr>
                  <w:tcW w:w="328"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w:t>
                  </w:r>
                </w:p>
              </w:tc>
              <w:tc>
                <w:tcPr>
                  <w:tcW w:w="587"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w:t>
                  </w:r>
                </w:p>
              </w:tc>
              <w:tc>
                <w:tcPr>
                  <w:tcW w:w="854"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w:t>
                  </w:r>
                </w:p>
              </w:tc>
              <w:tc>
                <w:tcPr>
                  <w:tcW w:w="1272" w:type="pct"/>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kern w:val="0"/>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086" w:type="pct"/>
                  <w:vAlign w:val="center"/>
                </w:tcPr>
                <w:p>
                  <w:pPr>
                    <w:pStyle w:val="20"/>
                    <w:widowControl w:val="0"/>
                    <w:rPr>
                      <w:rFonts w:hint="default" w:ascii="Times New Roman" w:hAnsi="Times New Roman" w:cs="Times New Roman"/>
                    </w:rPr>
                  </w:pPr>
                  <w:r>
                    <w:rPr>
                      <w:rFonts w:hint="default" w:ascii="Times New Roman" w:hAnsi="Times New Roman" w:cs="Times New Roman"/>
                    </w:rPr>
                    <w:t>年均值</w:t>
                  </w:r>
                </w:p>
              </w:tc>
              <w:tc>
                <w:tcPr>
                  <w:tcW w:w="398" w:type="pct"/>
                  <w:vAlign w:val="center"/>
                </w:tcPr>
                <w:p>
                  <w:pPr>
                    <w:pStyle w:val="20"/>
                    <w:widowControl w:val="0"/>
                    <w:rPr>
                      <w:rFonts w:hint="default" w:ascii="Times New Roman" w:hAnsi="Times New Roman" w:cs="Times New Roman"/>
                    </w:rPr>
                  </w:pPr>
                  <w:r>
                    <w:rPr>
                      <w:rFonts w:hint="default" w:ascii="Times New Roman" w:hAnsi="Times New Roman" w:cs="Times New Roman"/>
                    </w:rPr>
                    <w:t>41</w:t>
                  </w:r>
                </w:p>
              </w:tc>
              <w:tc>
                <w:tcPr>
                  <w:tcW w:w="472" w:type="pct"/>
                  <w:vAlign w:val="center"/>
                </w:tcPr>
                <w:p>
                  <w:pPr>
                    <w:pStyle w:val="20"/>
                    <w:widowControl w:val="0"/>
                    <w:rPr>
                      <w:rFonts w:hint="default" w:ascii="Times New Roman" w:hAnsi="Times New Roman" w:cs="Times New Roman"/>
                    </w:rPr>
                  </w:pPr>
                  <w:r>
                    <w:rPr>
                      <w:rFonts w:hint="default" w:ascii="Times New Roman" w:hAnsi="Times New Roman" w:cs="Times New Roman"/>
                    </w:rPr>
                    <w:t>21</w:t>
                  </w:r>
                </w:p>
              </w:tc>
              <w:tc>
                <w:tcPr>
                  <w:tcW w:w="328" w:type="pct"/>
                  <w:vAlign w:val="center"/>
                </w:tcPr>
                <w:p>
                  <w:pPr>
                    <w:pStyle w:val="20"/>
                    <w:widowControl w:val="0"/>
                    <w:rPr>
                      <w:rFonts w:hint="default" w:ascii="Times New Roman" w:hAnsi="Times New Roman" w:cs="Times New Roman"/>
                    </w:rPr>
                  </w:pPr>
                  <w:r>
                    <w:rPr>
                      <w:rFonts w:hint="default" w:ascii="Times New Roman" w:hAnsi="Times New Roman" w:cs="Times New Roman"/>
                    </w:rPr>
                    <w:t>7</w:t>
                  </w:r>
                </w:p>
              </w:tc>
              <w:tc>
                <w:tcPr>
                  <w:tcW w:w="587" w:type="pct"/>
                  <w:vAlign w:val="center"/>
                </w:tcPr>
                <w:p>
                  <w:pPr>
                    <w:pStyle w:val="20"/>
                    <w:widowControl w:val="0"/>
                    <w:rPr>
                      <w:rFonts w:hint="default" w:ascii="Times New Roman" w:hAnsi="Times New Roman" w:cs="Times New Roman"/>
                    </w:rPr>
                  </w:pPr>
                  <w:r>
                    <w:rPr>
                      <w:rFonts w:hint="default" w:ascii="Times New Roman" w:hAnsi="Times New Roman" w:cs="Times New Roman"/>
                    </w:rPr>
                    <w:t>7</w:t>
                  </w:r>
                </w:p>
              </w:tc>
              <w:tc>
                <w:tcPr>
                  <w:tcW w:w="854" w:type="pct"/>
                  <w:vAlign w:val="center"/>
                </w:tcPr>
                <w:p>
                  <w:pPr>
                    <w:pStyle w:val="20"/>
                    <w:widowControl w:val="0"/>
                    <w:rPr>
                      <w:rFonts w:hint="default" w:ascii="Times New Roman" w:hAnsi="Times New Roman" w:cs="Times New Roman"/>
                    </w:rPr>
                  </w:pPr>
                  <w:r>
                    <w:rPr>
                      <w:rFonts w:hint="default" w:ascii="Times New Roman" w:hAnsi="Times New Roman" w:cs="Times New Roman"/>
                    </w:rPr>
                    <w:t>0.6</w:t>
                  </w:r>
                </w:p>
              </w:tc>
              <w:tc>
                <w:tcPr>
                  <w:tcW w:w="1272" w:type="pct"/>
                  <w:vAlign w:val="center"/>
                </w:tcPr>
                <w:p>
                  <w:pPr>
                    <w:pStyle w:val="20"/>
                    <w:widowControl w:val="0"/>
                    <w:rPr>
                      <w:rFonts w:hint="default" w:ascii="Times New Roman" w:hAnsi="Times New Roman" w:cs="Times New Roman"/>
                    </w:rPr>
                  </w:pPr>
                  <w:r>
                    <w:rPr>
                      <w:rFonts w:hint="default" w:ascii="Times New Roman" w:hAnsi="Times New Roman" w:cs="Times New Roman"/>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1086" w:type="pct"/>
                  <w:vAlign w:val="center"/>
                </w:tcPr>
                <w:p>
                  <w:pPr>
                    <w:pStyle w:val="20"/>
                    <w:widowControl w:val="0"/>
                    <w:rPr>
                      <w:rFonts w:hint="default" w:ascii="Times New Roman" w:hAnsi="Times New Roman" w:cs="Times New Roman"/>
                    </w:rPr>
                  </w:pPr>
                  <w:r>
                    <w:rPr>
                      <w:rFonts w:hint="default" w:ascii="Times New Roman" w:hAnsi="Times New Roman" w:cs="Times New Roman"/>
                    </w:rPr>
                    <w:t>年均标准值</w:t>
                  </w:r>
                </w:p>
              </w:tc>
              <w:tc>
                <w:tcPr>
                  <w:tcW w:w="398" w:type="pct"/>
                  <w:vAlign w:val="center"/>
                </w:tcPr>
                <w:p>
                  <w:pPr>
                    <w:pStyle w:val="20"/>
                    <w:widowControl w:val="0"/>
                    <w:rPr>
                      <w:rFonts w:hint="default" w:ascii="Times New Roman" w:hAnsi="Times New Roman" w:cs="Times New Roman"/>
                    </w:rPr>
                  </w:pPr>
                  <w:r>
                    <w:rPr>
                      <w:rFonts w:hint="default" w:ascii="Times New Roman" w:hAnsi="Times New Roman" w:cs="Times New Roman"/>
                    </w:rPr>
                    <w:t>70</w:t>
                  </w:r>
                </w:p>
              </w:tc>
              <w:tc>
                <w:tcPr>
                  <w:tcW w:w="472" w:type="pct"/>
                  <w:vAlign w:val="center"/>
                </w:tcPr>
                <w:p>
                  <w:pPr>
                    <w:pStyle w:val="20"/>
                    <w:widowControl w:val="0"/>
                    <w:rPr>
                      <w:rFonts w:hint="default" w:ascii="Times New Roman" w:hAnsi="Times New Roman" w:cs="Times New Roman"/>
                    </w:rPr>
                  </w:pPr>
                  <w:r>
                    <w:rPr>
                      <w:rFonts w:hint="default" w:ascii="Times New Roman" w:hAnsi="Times New Roman" w:cs="Times New Roman"/>
                    </w:rPr>
                    <w:t>35</w:t>
                  </w:r>
                </w:p>
              </w:tc>
              <w:tc>
                <w:tcPr>
                  <w:tcW w:w="328" w:type="pct"/>
                  <w:vAlign w:val="center"/>
                </w:tcPr>
                <w:p>
                  <w:pPr>
                    <w:pStyle w:val="20"/>
                    <w:widowControl w:val="0"/>
                    <w:rPr>
                      <w:rFonts w:hint="default" w:ascii="Times New Roman" w:hAnsi="Times New Roman" w:cs="Times New Roman"/>
                    </w:rPr>
                  </w:pPr>
                  <w:r>
                    <w:rPr>
                      <w:rFonts w:hint="default" w:ascii="Times New Roman" w:hAnsi="Times New Roman" w:cs="Times New Roman"/>
                    </w:rPr>
                    <w:t>40</w:t>
                  </w:r>
                </w:p>
              </w:tc>
              <w:tc>
                <w:tcPr>
                  <w:tcW w:w="587" w:type="pct"/>
                  <w:vAlign w:val="center"/>
                </w:tcPr>
                <w:p>
                  <w:pPr>
                    <w:pStyle w:val="20"/>
                    <w:widowControl w:val="0"/>
                    <w:rPr>
                      <w:rFonts w:hint="default" w:ascii="Times New Roman" w:hAnsi="Times New Roman" w:cs="Times New Roman"/>
                    </w:rPr>
                  </w:pPr>
                  <w:r>
                    <w:rPr>
                      <w:rFonts w:hint="default" w:ascii="Times New Roman" w:hAnsi="Times New Roman" w:cs="Times New Roman"/>
                    </w:rPr>
                    <w:t>60</w:t>
                  </w:r>
                </w:p>
              </w:tc>
              <w:tc>
                <w:tcPr>
                  <w:tcW w:w="854" w:type="pct"/>
                  <w:vAlign w:val="center"/>
                </w:tcPr>
                <w:p>
                  <w:pPr>
                    <w:pStyle w:val="20"/>
                    <w:widowControl w:val="0"/>
                    <w:rPr>
                      <w:rFonts w:hint="default" w:ascii="Times New Roman" w:hAnsi="Times New Roman" w:cs="Times New Roman"/>
                    </w:rPr>
                  </w:pPr>
                  <w:r>
                    <w:rPr>
                      <w:rFonts w:hint="default" w:ascii="Times New Roman" w:hAnsi="Times New Roman" w:cs="Times New Roman"/>
                    </w:rPr>
                    <w:t>160</w:t>
                  </w:r>
                </w:p>
              </w:tc>
              <w:tc>
                <w:tcPr>
                  <w:tcW w:w="1272" w:type="pct"/>
                  <w:vAlign w:val="center"/>
                </w:tcPr>
                <w:p>
                  <w:pPr>
                    <w:pStyle w:val="20"/>
                    <w:widowControl w:val="0"/>
                    <w:rPr>
                      <w:rFonts w:hint="default" w:ascii="Times New Roman" w:hAnsi="Times New Roman" w:cs="Times New Roman"/>
                    </w:rPr>
                  </w:pPr>
                  <w:r>
                    <w:rPr>
                      <w:rFonts w:hint="default" w:ascii="Times New Roman" w:hAnsi="Times New Roman" w:cs="Times New Roman"/>
                    </w:rPr>
                    <w:t>4</w:t>
                  </w:r>
                </w:p>
              </w:tc>
            </w:tr>
          </w:tbl>
          <w:p>
            <w:pPr>
              <w:pStyle w:val="13"/>
              <w:ind w:firstLine="480"/>
            </w:pPr>
            <w:r>
              <w:rPr>
                <w:rFonts w:hint="eastAsia"/>
                <w:lang w:val="en-GB"/>
              </w:rPr>
              <w:t>根据上述监测结果统计，项目区贵南县区域</w:t>
            </w:r>
            <w:r>
              <w:rPr>
                <w:rFonts w:hint="eastAsia"/>
              </w:rPr>
              <w:t>环境空气</w:t>
            </w:r>
            <w:r>
              <w:rPr>
                <w:rFonts w:hint="eastAsia"/>
                <w:lang w:val="de-DE"/>
              </w:rPr>
              <w:t>PM</w:t>
            </w:r>
            <w:r>
              <w:rPr>
                <w:rFonts w:hint="eastAsia"/>
                <w:vertAlign w:val="subscript"/>
                <w:lang w:val="de-DE"/>
              </w:rPr>
              <w:t>10</w:t>
            </w:r>
            <w:r>
              <w:rPr>
                <w:rFonts w:hint="eastAsia"/>
                <w:lang w:val="de-DE"/>
              </w:rPr>
              <w:t>、PM</w:t>
            </w:r>
            <w:r>
              <w:rPr>
                <w:rFonts w:hint="eastAsia"/>
                <w:vertAlign w:val="subscript"/>
                <w:lang w:val="de-DE"/>
              </w:rPr>
              <w:t>2.5</w:t>
            </w:r>
            <w:r>
              <w:rPr>
                <w:rFonts w:hint="eastAsia"/>
                <w:lang w:val="de-DE"/>
              </w:rPr>
              <w:t>、SO</w:t>
            </w:r>
            <w:r>
              <w:rPr>
                <w:rFonts w:hint="eastAsia"/>
                <w:vertAlign w:val="subscript"/>
                <w:lang w:val="de-DE"/>
              </w:rPr>
              <w:t>2</w:t>
            </w:r>
            <w:r>
              <w:rPr>
                <w:rFonts w:hint="eastAsia"/>
                <w:lang w:val="de-DE"/>
              </w:rPr>
              <w:t>、</w:t>
            </w:r>
            <w:r>
              <w:rPr>
                <w:rFonts w:hint="eastAsia"/>
              </w:rPr>
              <w:t>NO</w:t>
            </w:r>
            <w:r>
              <w:rPr>
                <w:rFonts w:hint="eastAsia"/>
                <w:vertAlign w:val="subscript"/>
              </w:rPr>
              <w:t>2</w:t>
            </w:r>
            <w:r>
              <w:rPr>
                <w:rFonts w:hint="eastAsia"/>
                <w:lang w:val="de-DE"/>
              </w:rPr>
              <w:t>、CO、</w:t>
            </w:r>
            <w:r>
              <w:rPr>
                <w:rFonts w:hint="eastAsia"/>
              </w:rPr>
              <w:t>O</w:t>
            </w:r>
            <w:r>
              <w:rPr>
                <w:rFonts w:hint="eastAsia"/>
                <w:vertAlign w:val="subscript"/>
              </w:rPr>
              <w:t>3</w:t>
            </w:r>
            <w:r>
              <w:rPr>
                <w:rFonts w:hint="eastAsia"/>
                <w:lang w:val="de-DE"/>
              </w:rPr>
              <w:t>年均浓度均达到</w:t>
            </w:r>
            <w:r>
              <w:rPr>
                <w:rFonts w:hint="eastAsia"/>
              </w:rPr>
              <w:t>《环境空气质量标准》（GB3095-2012及2018年修改单）二级标准，故项目区域属于达标区域。</w:t>
            </w:r>
          </w:p>
          <w:bookmarkEnd w:id="11"/>
          <w:p>
            <w:pPr>
              <w:pStyle w:val="4"/>
            </w:pPr>
            <w:r>
              <w:rPr>
                <w:rFonts w:hint="eastAsia"/>
              </w:rPr>
              <w:t>1.3</w:t>
            </w:r>
            <w:r>
              <w:t>地表水环境</w:t>
            </w:r>
            <w:bookmarkEnd w:id="10"/>
            <w:r>
              <w:t>质量状况</w:t>
            </w:r>
          </w:p>
          <w:p>
            <w:pPr>
              <w:pStyle w:val="13"/>
              <w:ind w:firstLine="480"/>
            </w:pPr>
            <w:bookmarkStart w:id="12" w:name="_Toc30325"/>
            <w:bookmarkStart w:id="13" w:name="_Toc19387"/>
            <w:bookmarkStart w:id="14" w:name="_Toc19616"/>
            <w:r>
              <w:rPr>
                <w:rFonts w:hint="eastAsia"/>
              </w:rPr>
              <w:t>项目区涉及的地表水体为茫拉河（茫曲）、西龙曲、角乎拉沟，其中西龙曲和角乎拉沟为茫拉河（茫曲）的支流。根据《青海省水环境功能区划》，茫拉河（茫曲）为Ⅱ类水体，属于黄河支流。</w:t>
            </w:r>
          </w:p>
          <w:p>
            <w:pPr>
              <w:pStyle w:val="13"/>
              <w:ind w:firstLine="480"/>
              <w:rPr>
                <w:rFonts w:hint="eastAsia"/>
              </w:rPr>
            </w:pPr>
            <w:r>
              <w:rPr>
                <w:rFonts w:hint="eastAsia"/>
              </w:rPr>
              <w:t>本次根据2021年6月青海省生态环境监测中心发布的《2020年青海省生态环质量公报》中黄河干流水环境质量监测结果，茫拉河水质达到II类标准，水质状况优。根据支流水质优于干流的原则，项目区西龙曲、角乎拉沟的水质能满足现状水质要求。</w:t>
            </w:r>
          </w:p>
          <w:p>
            <w:pPr>
              <w:pStyle w:val="13"/>
              <w:ind w:firstLine="480"/>
            </w:pPr>
          </w:p>
          <w:p>
            <w:pPr>
              <w:pStyle w:val="20"/>
            </w:pPr>
          </w:p>
          <w:p>
            <w:pPr>
              <w:pStyle w:val="20"/>
            </w:pPr>
            <w:r>
              <w:drawing>
                <wp:inline distT="0" distB="0" distL="114300" distR="114300">
                  <wp:extent cx="3982720" cy="4281170"/>
                  <wp:effectExtent l="0" t="0" r="17780" b="508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1" cstate="print"/>
                          <a:stretch>
                            <a:fillRect/>
                          </a:stretch>
                        </pic:blipFill>
                        <pic:spPr>
                          <a:xfrm>
                            <a:off x="0" y="0"/>
                            <a:ext cx="3982720" cy="4281170"/>
                          </a:xfrm>
                          <a:prstGeom prst="rect">
                            <a:avLst/>
                          </a:prstGeom>
                          <a:noFill/>
                          <a:ln>
                            <a:noFill/>
                          </a:ln>
                        </pic:spPr>
                      </pic:pic>
                    </a:graphicData>
                  </a:graphic>
                </wp:inline>
              </w:drawing>
            </w:r>
          </w:p>
          <w:p>
            <w:pPr>
              <w:pStyle w:val="21"/>
            </w:pPr>
            <w:r>
              <w:rPr>
                <w:rFonts w:hint="eastAsia"/>
              </w:rPr>
              <w:t>图3-1   项目水环境质量状况</w:t>
            </w:r>
          </w:p>
          <w:bookmarkEnd w:id="12"/>
          <w:bookmarkEnd w:id="13"/>
          <w:bookmarkEnd w:id="14"/>
          <w:p>
            <w:pPr>
              <w:pStyle w:val="4"/>
            </w:pPr>
            <w:r>
              <w:rPr>
                <w:rFonts w:hint="eastAsia"/>
              </w:rPr>
              <w:t>1.4</w:t>
            </w:r>
            <w:r>
              <w:t>声环境质量状况</w:t>
            </w:r>
          </w:p>
          <w:p>
            <w:pPr>
              <w:pStyle w:val="13"/>
              <w:ind w:firstLine="480"/>
            </w:pPr>
            <w:r>
              <w:t>项目</w:t>
            </w:r>
            <w:r>
              <w:rPr>
                <w:rFonts w:hint="eastAsia"/>
              </w:rPr>
              <w:t>属于贵南县茫拉乡，根据现场调查，项目工程两侧区域50m内无声环境保护目标</w:t>
            </w:r>
            <w:r>
              <w:rPr>
                <w:rFonts w:hint="eastAsia"/>
                <w:color w:val="auto"/>
                <w:highlight w:val="none"/>
              </w:rPr>
              <w:t>，故本次环评无需对声环境质量现状进行</w:t>
            </w:r>
            <w:r>
              <w:rPr>
                <w:rFonts w:hint="eastAsia"/>
                <w:color w:val="auto"/>
                <w:highlight w:val="none"/>
                <w:lang w:eastAsia="zh-CN"/>
              </w:rPr>
              <w:t>监测</w:t>
            </w:r>
            <w:r>
              <w:rPr>
                <w:rFonts w:hint="eastAsia"/>
                <w:color w:val="auto"/>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vAlign w:val="center"/>
          </w:tcPr>
          <w:p>
            <w:pPr>
              <w:jc w:val="center"/>
            </w:pPr>
            <w:r>
              <w:rPr>
                <w:rFonts w:hint="eastAsia"/>
              </w:rPr>
              <w:t>与项目有关的原有环境污染和生态破坏问题</w:t>
            </w:r>
          </w:p>
        </w:tc>
        <w:tc>
          <w:tcPr>
            <w:tcW w:w="4611" w:type="pct"/>
            <w:vAlign w:val="center"/>
          </w:tcPr>
          <w:p>
            <w:pPr>
              <w:pStyle w:val="3"/>
            </w:pPr>
            <w:r>
              <w:rPr>
                <w:rFonts w:hint="eastAsia"/>
              </w:rPr>
              <w:t>2与项目有关的原有问题</w:t>
            </w:r>
          </w:p>
          <w:p>
            <w:pPr>
              <w:pStyle w:val="4"/>
            </w:pPr>
            <w:r>
              <w:rPr>
                <w:rFonts w:hint="eastAsia"/>
              </w:rPr>
              <w:t>2.1灌区工程现状及存在的问题</w:t>
            </w:r>
          </w:p>
          <w:p>
            <w:pPr>
              <w:ind w:firstLine="480" w:firstLineChars="200"/>
            </w:pPr>
            <w:r>
              <w:rPr>
                <w:rFonts w:hint="eastAsia"/>
              </w:rPr>
              <w:t>（1）却旦塘灌区</w:t>
            </w:r>
          </w:p>
          <w:p>
            <w:pPr>
              <w:ind w:firstLine="480" w:firstLineChars="200"/>
            </w:pPr>
            <w:r>
              <w:rPr>
                <w:rFonts w:hint="eastAsia"/>
              </w:rPr>
              <w:t>却旦塘灌区位于贵南县县城西南部，是贵南县修建较早的农业灌区之一，灌溉水源引用角乎拉沟的泉水进行自流灌溉，灌区海拔高程在2938～2874m之间。经现场调查及翻阅以往资料，却旦塘灌区干渠修建于1958年，由于维修养护缺失，引水口、渠道腐蚀破损严重、渠道内已淤积满无法正常使用。近年来随着《贵南县农业综合开发水利骨干工程》的建设，2004年铺设干管、配套支渠、斗渠，无引水建筑物，引水口为简单的土石拦堵，干管改造后采用φ400U-PVC，由于管道埋深浅，项目区紫外线强，部分管道存在草原鼠啃咬痕迹，运行两年以后破坏严重，常年漏水，当地村民每年都进行补修，但均无济于事。灌区已建渡槽的基础已冲刷出来，存在安全隐患，目前灌区采用上游村庄的灌溉退水进行灌溉，无法保证适时灌溉，并且水事纠纷经常发生，灌区田间渠道已经衬砌，目前运行良好。</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6"/>
              <w:gridCol w:w="4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6" w:type="dxa"/>
                </w:tcPr>
                <w:p>
                  <w:r>
                    <w:drawing>
                      <wp:inline distT="0" distB="0" distL="114300" distR="114300">
                        <wp:extent cx="2788285" cy="1804035"/>
                        <wp:effectExtent l="0" t="0" r="12065" b="571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2" cstate="print">
                                  <a:lum contrast="-12000"/>
                                </a:blip>
                                <a:srcRect l="127" t="1685" r="992"/>
                                <a:stretch>
                                  <a:fillRect/>
                                </a:stretch>
                              </pic:blipFill>
                              <pic:spPr>
                                <a:xfrm>
                                  <a:off x="0" y="0"/>
                                  <a:ext cx="2788285" cy="1804035"/>
                                </a:xfrm>
                                <a:prstGeom prst="rect">
                                  <a:avLst/>
                                </a:prstGeom>
                                <a:noFill/>
                                <a:ln>
                                  <a:noFill/>
                                </a:ln>
                              </pic:spPr>
                            </pic:pic>
                          </a:graphicData>
                        </a:graphic>
                      </wp:inline>
                    </w:drawing>
                  </w:r>
                </w:p>
              </w:tc>
              <w:tc>
                <w:tcPr>
                  <w:tcW w:w="4487" w:type="dxa"/>
                </w:tcPr>
                <w:p>
                  <w:r>
                    <w:drawing>
                      <wp:inline distT="0" distB="0" distL="114300" distR="114300">
                        <wp:extent cx="2698750" cy="1795780"/>
                        <wp:effectExtent l="0" t="0" r="6350" b="1397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3" cstate="print">
                                  <a:lum contrast="30000"/>
                                </a:blip>
                                <a:srcRect l="935" t="1389" r="1449" b="1500"/>
                                <a:stretch>
                                  <a:fillRect/>
                                </a:stretch>
                              </pic:blipFill>
                              <pic:spPr>
                                <a:xfrm>
                                  <a:off x="0" y="0"/>
                                  <a:ext cx="2698750" cy="17957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6" w:type="dxa"/>
                </w:tcPr>
                <w:p>
                  <w:r>
                    <w:drawing>
                      <wp:inline distT="0" distB="0" distL="114300" distR="114300">
                        <wp:extent cx="2795270" cy="1840230"/>
                        <wp:effectExtent l="0" t="0" r="5080" b="762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4" cstate="print"/>
                                <a:srcRect b="30071"/>
                                <a:stretch>
                                  <a:fillRect/>
                                </a:stretch>
                              </pic:blipFill>
                              <pic:spPr>
                                <a:xfrm>
                                  <a:off x="0" y="0"/>
                                  <a:ext cx="2795270" cy="1840230"/>
                                </a:xfrm>
                                <a:prstGeom prst="rect">
                                  <a:avLst/>
                                </a:prstGeom>
                                <a:noFill/>
                                <a:ln>
                                  <a:noFill/>
                                </a:ln>
                              </pic:spPr>
                            </pic:pic>
                          </a:graphicData>
                        </a:graphic>
                      </wp:inline>
                    </w:drawing>
                  </w:r>
                </w:p>
              </w:tc>
              <w:tc>
                <w:tcPr>
                  <w:tcW w:w="4487" w:type="dxa"/>
                </w:tcPr>
                <w:p>
                  <w:r>
                    <w:drawing>
                      <wp:inline distT="0" distB="0" distL="114300" distR="114300">
                        <wp:extent cx="2689860" cy="1833880"/>
                        <wp:effectExtent l="0" t="0" r="15240" b="139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cstate="print"/>
                                <a:stretch>
                                  <a:fillRect/>
                                </a:stretch>
                              </pic:blipFill>
                              <pic:spPr>
                                <a:xfrm>
                                  <a:off x="0" y="0"/>
                                  <a:ext cx="2689860" cy="1833880"/>
                                </a:xfrm>
                                <a:prstGeom prst="rect">
                                  <a:avLst/>
                                </a:prstGeom>
                                <a:noFill/>
                                <a:ln>
                                  <a:noFill/>
                                </a:ln>
                              </pic:spPr>
                            </pic:pic>
                          </a:graphicData>
                        </a:graphic>
                      </wp:inline>
                    </w:drawing>
                  </w:r>
                </w:p>
              </w:tc>
            </w:tr>
          </w:tbl>
          <w:p>
            <w:pPr>
              <w:pStyle w:val="21"/>
            </w:pPr>
            <w:r>
              <w:rPr>
                <w:rFonts w:hint="eastAsia"/>
              </w:rPr>
              <w:t>图3-1  却旦塘灌区渠道现状</w:t>
            </w:r>
          </w:p>
          <w:p>
            <w:pPr>
              <w:ind w:firstLine="480" w:firstLineChars="200"/>
            </w:pPr>
            <w:r>
              <w:rPr>
                <w:rFonts w:hint="eastAsia"/>
              </w:rPr>
              <w:t>下洛哇灌区位于贵南县县城西南部，灌溉水源引用西龙曲河水进行自流灌溉，灌区海拔高程在3000～3022m之间。经现场调查及翻阅以往资料，下洛哇灌区修建于解放前，引用泉水，修建引水口、渠道1.0km。经多年运行，由于维修养护缺失，引水口破损。近年来随着《贵南县农业综合开发水利骨干工程》的建设，2004年维修引水口，铺设干渠、配套支渠、斗渠。目前，下洛哇灌区引西龙曲河水，利用简易沟渠将水引致已建干渠内。由于西龙曲洪水量较大，经常将土石挡水坝冲毁，给村民的灌溉造成严重影响。根据《贵南县西龙沟治理工程（一期）初步设计报告》及图集，下洛哇灌区引水口由该工程统一修建，采用有坝引水口，引水口含有进水闸一座，冲沙闸一座、溢流坝等，因此本工程建设内容不包括下洛哇引水口。本工程连接引水口至已建干渠之间干管。渠道在0+000～0+400段土壤长期过度湿润，土壤向沼泽地变化。</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7"/>
              <w:gridCol w:w="4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6" w:type="dxa"/>
                </w:tcPr>
                <w:p>
                  <w:pPr>
                    <w:pStyle w:val="3"/>
                    <w:outlineLvl w:val="1"/>
                  </w:pPr>
                  <w:r>
                    <w:rPr>
                      <w:sz w:val="24"/>
                    </w:rPr>
                    <w:drawing>
                      <wp:inline distT="0" distB="0" distL="114300" distR="114300">
                        <wp:extent cx="2823845" cy="1998980"/>
                        <wp:effectExtent l="0" t="0" r="14605" b="127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6" cstate="print">
                                  <a:lum bright="18000" contrast="18000"/>
                                </a:blip>
                                <a:stretch>
                                  <a:fillRect/>
                                </a:stretch>
                              </pic:blipFill>
                              <pic:spPr>
                                <a:xfrm>
                                  <a:off x="0" y="0"/>
                                  <a:ext cx="2823845" cy="1998980"/>
                                </a:xfrm>
                                <a:prstGeom prst="rect">
                                  <a:avLst/>
                                </a:prstGeom>
                                <a:noFill/>
                                <a:ln>
                                  <a:noFill/>
                                </a:ln>
                              </pic:spPr>
                            </pic:pic>
                          </a:graphicData>
                        </a:graphic>
                      </wp:inline>
                    </w:drawing>
                  </w:r>
                </w:p>
              </w:tc>
              <w:tc>
                <w:tcPr>
                  <w:tcW w:w="4487" w:type="dxa"/>
                </w:tcPr>
                <w:p>
                  <w:pPr>
                    <w:pStyle w:val="3"/>
                    <w:outlineLvl w:val="1"/>
                  </w:pPr>
                  <w:r>
                    <w:rPr>
                      <w:sz w:val="24"/>
                    </w:rPr>
                    <w:drawing>
                      <wp:inline distT="0" distB="0" distL="114300" distR="114300">
                        <wp:extent cx="2850515" cy="1998980"/>
                        <wp:effectExtent l="0" t="0" r="6985" b="127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7" cstate="print">
                                  <a:lum bright="12000" contrast="12000"/>
                                </a:blip>
                                <a:stretch>
                                  <a:fillRect/>
                                </a:stretch>
                              </pic:blipFill>
                              <pic:spPr>
                                <a:xfrm>
                                  <a:off x="0" y="0"/>
                                  <a:ext cx="2850515" cy="1998980"/>
                                </a:xfrm>
                                <a:prstGeom prst="rect">
                                  <a:avLst/>
                                </a:prstGeom>
                                <a:noFill/>
                                <a:ln>
                                  <a:noFill/>
                                </a:ln>
                              </pic:spPr>
                            </pic:pic>
                          </a:graphicData>
                        </a:graphic>
                      </wp:inline>
                    </w:drawing>
                  </w:r>
                </w:p>
              </w:tc>
            </w:tr>
          </w:tbl>
          <w:p>
            <w:pPr>
              <w:pStyle w:val="21"/>
            </w:pPr>
            <w:r>
              <w:rPr>
                <w:rFonts w:hint="eastAsia"/>
              </w:rPr>
              <w:t>图3-2  下洛哇灌区渠道现状</w:t>
            </w:r>
          </w:p>
          <w:p>
            <w:pPr>
              <w:pStyle w:val="4"/>
            </w:pPr>
            <w:r>
              <w:rPr>
                <w:rFonts w:hint="eastAsia"/>
              </w:rPr>
              <w:t>2.2现有工程环保手续履行情况</w:t>
            </w:r>
          </w:p>
          <w:p>
            <w:pPr>
              <w:pStyle w:val="13"/>
              <w:ind w:firstLine="480"/>
            </w:pPr>
            <w:r>
              <w:rPr>
                <w:rFonts w:hint="eastAsia"/>
              </w:rPr>
              <w:t>现有却旦塘灌区始建于1958年，下洛哇灌区修建于解放前，</w:t>
            </w:r>
            <w:r>
              <w:rPr>
                <w:rFonts w:hint="eastAsia"/>
                <w:lang w:eastAsia="zh-CN"/>
              </w:rPr>
              <w:t>两个</w:t>
            </w:r>
            <w:r>
              <w:rPr>
                <w:rFonts w:hint="eastAsia"/>
              </w:rPr>
              <w:t>工程由来已久，无环境影响评价、竣工环境保护验收、排污许可等相关环保手续。</w:t>
            </w:r>
          </w:p>
          <w:p>
            <w:pPr>
              <w:pStyle w:val="4"/>
            </w:pPr>
            <w:r>
              <w:rPr>
                <w:rFonts w:hint="eastAsia"/>
              </w:rPr>
              <w:t>2.3与项目有关的原有环境污染和生态破坏问题</w:t>
            </w:r>
          </w:p>
          <w:p>
            <w:pPr>
              <w:ind w:firstLine="480"/>
            </w:pPr>
            <w:r>
              <w:rPr>
                <w:rFonts w:hint="eastAsia"/>
              </w:rPr>
              <w:t>本项目为灌区工程改建项目，管道布设主要沿原有线路布置，项目运营期除间歇式产生的回归水外，无废水、废气和固废等产生及排放。</w:t>
            </w:r>
          </w:p>
          <w:p>
            <w:pPr>
              <w:widowControl/>
              <w:ind w:firstLine="480" w:firstLineChars="200"/>
              <w:jc w:val="left"/>
            </w:pPr>
            <w:r>
              <w:rPr>
                <w:rFonts w:hint="eastAsia"/>
              </w:rPr>
              <w:t>与项目有关的原有生态破坏问题主要为以下几个方面：</w:t>
            </w:r>
          </w:p>
          <w:p>
            <w:pPr>
              <w:pStyle w:val="6"/>
              <w:numPr>
                <w:ilvl w:val="255"/>
                <w:numId w:val="0"/>
              </w:numPr>
              <w:ind w:firstLine="480" w:firstLineChars="200"/>
            </w:pPr>
            <w:r>
              <w:rPr>
                <w:rFonts w:hint="eastAsia"/>
              </w:rPr>
              <w:t>（1）</w:t>
            </w:r>
            <w:r>
              <w:rPr>
                <w:rFonts w:hint="eastAsia" w:ascii="宋体" w:hAnsi="宋体" w:cs="宋体"/>
                <w:kern w:val="0"/>
                <w:szCs w:val="24"/>
              </w:rPr>
              <w:t>干渠最早是土渠，建于1958年，</w:t>
            </w:r>
            <w:r>
              <w:rPr>
                <w:kern w:val="0"/>
                <w:szCs w:val="24"/>
              </w:rPr>
              <w:t>2004</w:t>
            </w:r>
            <w:r>
              <w:rPr>
                <w:rFonts w:hint="eastAsia" w:ascii="宋体" w:hAnsi="宋体" w:cs="宋体"/>
                <w:kern w:val="0"/>
                <w:szCs w:val="24"/>
              </w:rPr>
              <w:t>年进行改造后干管采用φ</w:t>
            </w:r>
            <w:r>
              <w:rPr>
                <w:kern w:val="0"/>
                <w:szCs w:val="24"/>
              </w:rPr>
              <w:t>400U-PVC</w:t>
            </w:r>
            <w:r>
              <w:rPr>
                <w:rFonts w:hint="eastAsia" w:ascii="宋体" w:hAnsi="宋体" w:cs="宋体"/>
                <w:kern w:val="0"/>
                <w:szCs w:val="24"/>
              </w:rPr>
              <w:t>，由于管道埋深浅，项目区紫外线强，部分管道存在草原鼠啃咬痕迹，运行两年以后破坏严重，常年漏水，且</w:t>
            </w:r>
            <w:r>
              <w:rPr>
                <w:rFonts w:hint="eastAsia"/>
              </w:rPr>
              <w:t>每年村民们修补时局部开挖形成地表裸露，从而造成了局部冲洪和水土流失问题。</w:t>
            </w:r>
          </w:p>
          <w:p>
            <w:pPr>
              <w:pStyle w:val="6"/>
              <w:numPr>
                <w:ilvl w:val="255"/>
                <w:numId w:val="0"/>
              </w:numPr>
              <w:ind w:firstLine="480" w:firstLineChars="200"/>
            </w:pPr>
            <w:r>
              <w:rPr>
                <w:rFonts w:hint="eastAsia"/>
              </w:rPr>
              <w:t>（2）因现有管道腐蚀破损严重、渠道内淤积严重，故使用时产生的漏水、溢水对周边区域造成了水土流失。</w:t>
            </w:r>
          </w:p>
          <w:p>
            <w:pPr>
              <w:pStyle w:val="13"/>
              <w:ind w:firstLine="480"/>
            </w:pPr>
            <w:r>
              <w:rPr>
                <w:rFonts w:hint="eastAsia"/>
              </w:rPr>
              <w:t>本项目整改措施在后文中各区域生态恢复措施中叙述，在此不重复赘述。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vAlign w:val="center"/>
          </w:tcPr>
          <w:p>
            <w:pPr>
              <w:jc w:val="center"/>
            </w:pPr>
            <w:r>
              <w:rPr>
                <w:rFonts w:hint="eastAsia"/>
              </w:rPr>
              <w:t>生态环境保护目标</w:t>
            </w:r>
          </w:p>
        </w:tc>
        <w:tc>
          <w:tcPr>
            <w:tcW w:w="4611" w:type="pct"/>
            <w:vAlign w:val="center"/>
          </w:tcPr>
          <w:p>
            <w:pPr>
              <w:pStyle w:val="3"/>
            </w:pPr>
            <w:r>
              <w:rPr>
                <w:rFonts w:hint="eastAsia"/>
              </w:rPr>
              <w:t>3生态环境保护目标</w:t>
            </w:r>
          </w:p>
          <w:p>
            <w:pPr>
              <w:pStyle w:val="13"/>
              <w:ind w:firstLine="480"/>
              <w:rPr>
                <w:rFonts w:hint="eastAsia" w:eastAsia="宋体"/>
                <w:lang w:eastAsia="zh-CN"/>
              </w:rPr>
            </w:pPr>
            <w:r>
              <w:t>根据现场踏勘，项目周围无珍贵动物、古迹、珍稀动植物、人文景观等环境保护目标，不属于旅游景观区、种质资源、自然保护区、饮用水源保护区、水生生物保护区。主要环境保护目标见表</w:t>
            </w:r>
            <w:r>
              <w:rPr>
                <w:rFonts w:hint="eastAsia"/>
              </w:rPr>
              <w:t>3.2，项目环境保护目标分布及位置关系见附图5、附图6</w:t>
            </w:r>
            <w:r>
              <w:t>。</w:t>
            </w:r>
          </w:p>
          <w:p>
            <w:pPr>
              <w:pStyle w:val="21"/>
            </w:pPr>
            <w:r>
              <w:t>表</w:t>
            </w:r>
            <w:r>
              <w:rPr>
                <w:rFonts w:hint="eastAsia"/>
              </w:rPr>
              <w:t xml:space="preserve">3.2   </w:t>
            </w:r>
            <w:r>
              <w:t>主要环境保护目标</w:t>
            </w:r>
          </w:p>
          <w:tbl>
            <w:tblPr>
              <w:tblStyle w:val="1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830"/>
              <w:gridCol w:w="1608"/>
              <w:gridCol w:w="1623"/>
              <w:gridCol w:w="1015"/>
              <w:gridCol w:w="1637"/>
              <w:gridCol w:w="1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392" w:type="pct"/>
                  <w:vAlign w:val="center"/>
                </w:tcPr>
                <w:p>
                  <w:pPr>
                    <w:pStyle w:val="20"/>
                  </w:pPr>
                  <w:r>
                    <w:rPr>
                      <w:rFonts w:hint="eastAsia"/>
                    </w:rPr>
                    <w:t>类别</w:t>
                  </w:r>
                </w:p>
              </w:tc>
              <w:tc>
                <w:tcPr>
                  <w:tcW w:w="448" w:type="pct"/>
                  <w:vAlign w:val="center"/>
                </w:tcPr>
                <w:p>
                  <w:pPr>
                    <w:pStyle w:val="20"/>
                  </w:pPr>
                  <w:r>
                    <w:rPr>
                      <w:rFonts w:hint="eastAsia"/>
                    </w:rPr>
                    <w:t>区域</w:t>
                  </w:r>
                </w:p>
              </w:tc>
              <w:tc>
                <w:tcPr>
                  <w:tcW w:w="867" w:type="pct"/>
                  <w:vAlign w:val="center"/>
                </w:tcPr>
                <w:p>
                  <w:pPr>
                    <w:pStyle w:val="20"/>
                  </w:pPr>
                  <w:r>
                    <w:t>环境保护目标</w:t>
                  </w:r>
                </w:p>
              </w:tc>
              <w:tc>
                <w:tcPr>
                  <w:tcW w:w="875" w:type="pct"/>
                  <w:vAlign w:val="center"/>
                </w:tcPr>
                <w:p>
                  <w:pPr>
                    <w:pStyle w:val="20"/>
                  </w:pPr>
                  <w:r>
                    <w:rPr>
                      <w:rFonts w:hint="eastAsia"/>
                    </w:rPr>
                    <w:t>距建设工程最近距离</w:t>
                  </w:r>
                  <w:r>
                    <w:t>(m)</w:t>
                  </w:r>
                </w:p>
              </w:tc>
              <w:tc>
                <w:tcPr>
                  <w:tcW w:w="548" w:type="pct"/>
                  <w:vAlign w:val="center"/>
                </w:tcPr>
                <w:p>
                  <w:pPr>
                    <w:pStyle w:val="20"/>
                  </w:pPr>
                  <w:r>
                    <w:t>方位</w:t>
                  </w:r>
                </w:p>
              </w:tc>
              <w:tc>
                <w:tcPr>
                  <w:tcW w:w="883" w:type="pct"/>
                  <w:vAlign w:val="center"/>
                </w:tcPr>
                <w:p>
                  <w:pPr>
                    <w:pStyle w:val="20"/>
                  </w:pPr>
                  <w:r>
                    <w:rPr>
                      <w:rFonts w:hint="eastAsia"/>
                    </w:rPr>
                    <w:t>保护内容</w:t>
                  </w:r>
                </w:p>
              </w:tc>
              <w:tc>
                <w:tcPr>
                  <w:tcW w:w="984" w:type="pct"/>
                  <w:vAlign w:val="center"/>
                </w:tcPr>
                <w:p>
                  <w:pPr>
                    <w:pStyle w:val="20"/>
                  </w:pPr>
                  <w: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392" w:type="pct"/>
                  <w:vMerge w:val="restart"/>
                  <w:vAlign w:val="center"/>
                </w:tcPr>
                <w:p>
                  <w:pPr>
                    <w:pStyle w:val="20"/>
                  </w:pPr>
                  <w:r>
                    <w:t>大气环境</w:t>
                  </w:r>
                </w:p>
              </w:tc>
              <w:tc>
                <w:tcPr>
                  <w:tcW w:w="448" w:type="pct"/>
                  <w:vAlign w:val="center"/>
                </w:tcPr>
                <w:p>
                  <w:pPr>
                    <w:pStyle w:val="20"/>
                  </w:pPr>
                  <w:r>
                    <w:rPr>
                      <w:rFonts w:hint="eastAsia"/>
                    </w:rPr>
                    <w:t>却旦塘区</w:t>
                  </w:r>
                </w:p>
              </w:tc>
              <w:tc>
                <w:tcPr>
                  <w:tcW w:w="867" w:type="pct"/>
                  <w:vAlign w:val="center"/>
                </w:tcPr>
                <w:p>
                  <w:pPr>
                    <w:pStyle w:val="20"/>
                  </w:pPr>
                  <w:r>
                    <w:rPr>
                      <w:rFonts w:hint="eastAsia"/>
                    </w:rPr>
                    <w:t>却旦塘村</w:t>
                  </w:r>
                </w:p>
              </w:tc>
              <w:tc>
                <w:tcPr>
                  <w:tcW w:w="875" w:type="pct"/>
                  <w:vAlign w:val="center"/>
                </w:tcPr>
                <w:p>
                  <w:pPr>
                    <w:pStyle w:val="20"/>
                  </w:pPr>
                  <w:r>
                    <w:rPr>
                      <w:rFonts w:hint="eastAsia"/>
                    </w:rPr>
                    <w:t>270</w:t>
                  </w:r>
                </w:p>
              </w:tc>
              <w:tc>
                <w:tcPr>
                  <w:tcW w:w="548" w:type="pct"/>
                  <w:vAlign w:val="center"/>
                </w:tcPr>
                <w:p>
                  <w:pPr>
                    <w:pStyle w:val="20"/>
                    <w:rPr>
                      <w:kern w:val="2"/>
                    </w:rPr>
                  </w:pPr>
                  <w:r>
                    <w:rPr>
                      <w:rFonts w:hint="eastAsia"/>
                    </w:rPr>
                    <w:t>N</w:t>
                  </w:r>
                </w:p>
              </w:tc>
              <w:tc>
                <w:tcPr>
                  <w:tcW w:w="883" w:type="pct"/>
                  <w:vAlign w:val="center"/>
                </w:tcPr>
                <w:p>
                  <w:pPr>
                    <w:pStyle w:val="20"/>
                  </w:pPr>
                  <w:r>
                    <w:rPr>
                      <w:rFonts w:hint="eastAsia"/>
                    </w:rPr>
                    <w:t>居民点</w:t>
                  </w:r>
                </w:p>
              </w:tc>
              <w:tc>
                <w:tcPr>
                  <w:tcW w:w="984" w:type="pct"/>
                  <w:vMerge w:val="restart"/>
                  <w:vAlign w:val="center"/>
                </w:tcPr>
                <w:p>
                  <w:pPr>
                    <w:pStyle w:val="20"/>
                  </w:pPr>
                  <w: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2" w:type="pct"/>
                  <w:vMerge w:val="continue"/>
                  <w:vAlign w:val="center"/>
                </w:tcPr>
                <w:p>
                  <w:pPr>
                    <w:pStyle w:val="20"/>
                  </w:pPr>
                </w:p>
              </w:tc>
              <w:tc>
                <w:tcPr>
                  <w:tcW w:w="448" w:type="pct"/>
                  <w:vMerge w:val="restart"/>
                  <w:vAlign w:val="center"/>
                </w:tcPr>
                <w:p>
                  <w:pPr>
                    <w:pStyle w:val="20"/>
                  </w:pPr>
                  <w:r>
                    <w:rPr>
                      <w:rFonts w:hint="eastAsia"/>
                    </w:rPr>
                    <w:t>下洛哇区</w:t>
                  </w:r>
                </w:p>
              </w:tc>
              <w:tc>
                <w:tcPr>
                  <w:tcW w:w="867" w:type="pct"/>
                  <w:vAlign w:val="center"/>
                </w:tcPr>
                <w:p>
                  <w:pPr>
                    <w:pStyle w:val="20"/>
                  </w:pPr>
                  <w:r>
                    <w:rPr>
                      <w:rFonts w:hint="eastAsia"/>
                    </w:rPr>
                    <w:t>上洛哇村</w:t>
                  </w:r>
                </w:p>
              </w:tc>
              <w:tc>
                <w:tcPr>
                  <w:tcW w:w="875" w:type="pct"/>
                  <w:vAlign w:val="center"/>
                </w:tcPr>
                <w:p>
                  <w:pPr>
                    <w:pStyle w:val="20"/>
                  </w:pPr>
                  <w:r>
                    <w:rPr>
                      <w:rFonts w:hint="eastAsia"/>
                    </w:rPr>
                    <w:t>210</w:t>
                  </w:r>
                </w:p>
              </w:tc>
              <w:tc>
                <w:tcPr>
                  <w:tcW w:w="548" w:type="pct"/>
                  <w:vAlign w:val="center"/>
                </w:tcPr>
                <w:p>
                  <w:pPr>
                    <w:pStyle w:val="20"/>
                  </w:pPr>
                  <w:r>
                    <w:rPr>
                      <w:rFonts w:hint="eastAsia"/>
                    </w:rPr>
                    <w:t>E</w:t>
                  </w:r>
                </w:p>
              </w:tc>
              <w:tc>
                <w:tcPr>
                  <w:tcW w:w="883" w:type="pct"/>
                  <w:vAlign w:val="center"/>
                </w:tcPr>
                <w:p>
                  <w:pPr>
                    <w:pStyle w:val="20"/>
                  </w:pPr>
                  <w:r>
                    <w:rPr>
                      <w:rFonts w:hint="eastAsia"/>
                    </w:rPr>
                    <w:t>居民点</w:t>
                  </w:r>
                </w:p>
              </w:tc>
              <w:tc>
                <w:tcPr>
                  <w:tcW w:w="984" w:type="pct"/>
                  <w:vMerge w:val="continue"/>
                  <w:vAlign w:val="center"/>
                </w:tcPr>
                <w:p>
                  <w:pPr>
                    <w:pStyle w:val="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2" w:type="pct"/>
                  <w:vMerge w:val="continue"/>
                  <w:vAlign w:val="center"/>
                </w:tcPr>
                <w:p>
                  <w:pPr>
                    <w:pStyle w:val="20"/>
                  </w:pPr>
                </w:p>
              </w:tc>
              <w:tc>
                <w:tcPr>
                  <w:tcW w:w="448" w:type="pct"/>
                  <w:vMerge w:val="continue"/>
                  <w:vAlign w:val="center"/>
                </w:tcPr>
                <w:p>
                  <w:pPr>
                    <w:pStyle w:val="20"/>
                  </w:pPr>
                </w:p>
              </w:tc>
              <w:tc>
                <w:tcPr>
                  <w:tcW w:w="867" w:type="pct"/>
                  <w:vAlign w:val="center"/>
                </w:tcPr>
                <w:p>
                  <w:pPr>
                    <w:pStyle w:val="20"/>
                  </w:pPr>
                  <w:r>
                    <w:rPr>
                      <w:rFonts w:hint="eastAsia"/>
                    </w:rPr>
                    <w:t>下洛哇村</w:t>
                  </w:r>
                </w:p>
              </w:tc>
              <w:tc>
                <w:tcPr>
                  <w:tcW w:w="875" w:type="pct"/>
                  <w:vAlign w:val="center"/>
                </w:tcPr>
                <w:p>
                  <w:pPr>
                    <w:pStyle w:val="20"/>
                  </w:pPr>
                  <w:r>
                    <w:rPr>
                      <w:rFonts w:hint="eastAsia"/>
                    </w:rPr>
                    <w:t>420</w:t>
                  </w:r>
                </w:p>
              </w:tc>
              <w:tc>
                <w:tcPr>
                  <w:tcW w:w="548" w:type="pct"/>
                  <w:vAlign w:val="center"/>
                </w:tcPr>
                <w:p>
                  <w:pPr>
                    <w:pStyle w:val="20"/>
                  </w:pPr>
                  <w:r>
                    <w:rPr>
                      <w:rFonts w:hint="eastAsia"/>
                    </w:rPr>
                    <w:t>N</w:t>
                  </w:r>
                </w:p>
              </w:tc>
              <w:tc>
                <w:tcPr>
                  <w:tcW w:w="883" w:type="pct"/>
                  <w:vAlign w:val="center"/>
                </w:tcPr>
                <w:p>
                  <w:pPr>
                    <w:pStyle w:val="20"/>
                  </w:pPr>
                  <w:r>
                    <w:rPr>
                      <w:rFonts w:hint="eastAsia"/>
                    </w:rPr>
                    <w:t>居民点</w:t>
                  </w:r>
                </w:p>
              </w:tc>
              <w:tc>
                <w:tcPr>
                  <w:tcW w:w="984" w:type="pct"/>
                  <w:vMerge w:val="continue"/>
                  <w:vAlign w:val="center"/>
                </w:tcPr>
                <w:p>
                  <w:pPr>
                    <w:pStyle w:val="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2" w:type="pct"/>
                  <w:vMerge w:val="restart"/>
                  <w:vAlign w:val="center"/>
                </w:tcPr>
                <w:p>
                  <w:pPr>
                    <w:pStyle w:val="20"/>
                  </w:pPr>
                  <w:r>
                    <w:rPr>
                      <w:rFonts w:hint="eastAsia"/>
                    </w:rPr>
                    <w:t>地表水</w:t>
                  </w:r>
                </w:p>
              </w:tc>
              <w:tc>
                <w:tcPr>
                  <w:tcW w:w="448" w:type="pct"/>
                  <w:vAlign w:val="center"/>
                </w:tcPr>
                <w:p>
                  <w:pPr>
                    <w:pStyle w:val="20"/>
                  </w:pPr>
                  <w:r>
                    <w:rPr>
                      <w:rFonts w:hint="eastAsia"/>
                    </w:rPr>
                    <w:t>却旦塘区</w:t>
                  </w:r>
                </w:p>
              </w:tc>
              <w:tc>
                <w:tcPr>
                  <w:tcW w:w="867" w:type="pct"/>
                  <w:vAlign w:val="center"/>
                </w:tcPr>
                <w:p>
                  <w:pPr>
                    <w:pStyle w:val="20"/>
                  </w:pPr>
                  <w:r>
                    <w:rPr>
                      <w:rFonts w:hint="eastAsia"/>
                    </w:rPr>
                    <w:t>角乎拉沟</w:t>
                  </w:r>
                </w:p>
              </w:tc>
              <w:tc>
                <w:tcPr>
                  <w:tcW w:w="1423" w:type="pct"/>
                  <w:gridSpan w:val="2"/>
                  <w:vAlign w:val="center"/>
                </w:tcPr>
                <w:p>
                  <w:pPr>
                    <w:pStyle w:val="20"/>
                  </w:pPr>
                  <w:r>
                    <w:rPr>
                      <w:rFonts w:hint="eastAsia"/>
                    </w:rPr>
                    <w:t>引水口处相连</w:t>
                  </w:r>
                </w:p>
              </w:tc>
              <w:tc>
                <w:tcPr>
                  <w:tcW w:w="883" w:type="pct"/>
                  <w:vAlign w:val="center"/>
                </w:tcPr>
                <w:p>
                  <w:pPr>
                    <w:pStyle w:val="20"/>
                  </w:pPr>
                  <w:r>
                    <w:rPr>
                      <w:rFonts w:hint="eastAsia"/>
                    </w:rPr>
                    <w:t>地表水</w:t>
                  </w:r>
                </w:p>
              </w:tc>
              <w:tc>
                <w:tcPr>
                  <w:tcW w:w="984" w:type="pct"/>
                  <w:vMerge w:val="restart"/>
                  <w:vAlign w:val="center"/>
                </w:tcPr>
                <w:p>
                  <w:pPr>
                    <w:pStyle w:val="20"/>
                  </w:pPr>
                  <w:r>
                    <w:t>《地表水环境质量标准》（GB3838-2002</w:t>
                  </w:r>
                  <w:r>
                    <w:rPr>
                      <w:rFonts w:hint="eastAsia"/>
                    </w:rPr>
                    <w:t>）II</w:t>
                  </w:r>
                  <w: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2" w:type="pct"/>
                  <w:vMerge w:val="continue"/>
                  <w:vAlign w:val="center"/>
                </w:tcPr>
                <w:p>
                  <w:pPr>
                    <w:pStyle w:val="20"/>
                  </w:pPr>
                </w:p>
              </w:tc>
              <w:tc>
                <w:tcPr>
                  <w:tcW w:w="448" w:type="pct"/>
                  <w:vAlign w:val="center"/>
                </w:tcPr>
                <w:p>
                  <w:pPr>
                    <w:pStyle w:val="20"/>
                  </w:pPr>
                  <w:r>
                    <w:rPr>
                      <w:rFonts w:hint="eastAsia"/>
                    </w:rPr>
                    <w:t>下洛哇区</w:t>
                  </w:r>
                </w:p>
              </w:tc>
              <w:tc>
                <w:tcPr>
                  <w:tcW w:w="867" w:type="pct"/>
                  <w:vAlign w:val="center"/>
                </w:tcPr>
                <w:p>
                  <w:pPr>
                    <w:pStyle w:val="20"/>
                  </w:pPr>
                  <w:r>
                    <w:rPr>
                      <w:rFonts w:hint="eastAsia"/>
                    </w:rPr>
                    <w:t>西龙曲</w:t>
                  </w:r>
                </w:p>
              </w:tc>
              <w:tc>
                <w:tcPr>
                  <w:tcW w:w="875" w:type="pct"/>
                  <w:vAlign w:val="center"/>
                </w:tcPr>
                <w:p>
                  <w:pPr>
                    <w:pStyle w:val="20"/>
                  </w:pPr>
                  <w:r>
                    <w:rPr>
                      <w:rFonts w:hint="eastAsia"/>
                    </w:rPr>
                    <w:t>36</w:t>
                  </w:r>
                </w:p>
              </w:tc>
              <w:tc>
                <w:tcPr>
                  <w:tcW w:w="548" w:type="pct"/>
                  <w:vAlign w:val="center"/>
                </w:tcPr>
                <w:p>
                  <w:pPr>
                    <w:pStyle w:val="20"/>
                  </w:pPr>
                  <w:r>
                    <w:rPr>
                      <w:rFonts w:hint="eastAsia"/>
                    </w:rPr>
                    <w:t>W</w:t>
                  </w:r>
                </w:p>
              </w:tc>
              <w:tc>
                <w:tcPr>
                  <w:tcW w:w="883" w:type="pct"/>
                  <w:vAlign w:val="center"/>
                </w:tcPr>
                <w:p>
                  <w:pPr>
                    <w:pStyle w:val="20"/>
                  </w:pPr>
                  <w:r>
                    <w:rPr>
                      <w:rFonts w:hint="eastAsia"/>
                    </w:rPr>
                    <w:t>地表水</w:t>
                  </w:r>
                </w:p>
              </w:tc>
              <w:tc>
                <w:tcPr>
                  <w:tcW w:w="984" w:type="pct"/>
                  <w:vMerge w:val="continue"/>
                  <w:vAlign w:val="center"/>
                </w:tcPr>
                <w:p>
                  <w:pPr>
                    <w:pStyle w:val="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2" w:type="pct"/>
                  <w:vMerge w:val="restart"/>
                  <w:vAlign w:val="center"/>
                </w:tcPr>
                <w:p>
                  <w:pPr>
                    <w:pStyle w:val="20"/>
                  </w:pPr>
                  <w:r>
                    <w:rPr>
                      <w:rFonts w:hint="eastAsia"/>
                    </w:rPr>
                    <w:t>生态环境</w:t>
                  </w:r>
                </w:p>
              </w:tc>
              <w:tc>
                <w:tcPr>
                  <w:tcW w:w="448" w:type="pct"/>
                  <w:vAlign w:val="center"/>
                </w:tcPr>
                <w:p>
                  <w:pPr>
                    <w:pStyle w:val="20"/>
                  </w:pPr>
                  <w:r>
                    <w:rPr>
                      <w:rFonts w:hint="eastAsia"/>
                    </w:rPr>
                    <w:t>却旦塘区</w:t>
                  </w:r>
                </w:p>
              </w:tc>
              <w:tc>
                <w:tcPr>
                  <w:tcW w:w="867" w:type="pct"/>
                  <w:vAlign w:val="center"/>
                </w:tcPr>
                <w:p>
                  <w:pPr>
                    <w:pStyle w:val="20"/>
                  </w:pPr>
                  <w:r>
                    <w:rPr>
                      <w:rFonts w:hint="eastAsia"/>
                    </w:rPr>
                    <w:t>工程沿线草地</w:t>
                  </w:r>
                </w:p>
              </w:tc>
              <w:tc>
                <w:tcPr>
                  <w:tcW w:w="1423" w:type="pct"/>
                  <w:gridSpan w:val="2"/>
                  <w:vAlign w:val="center"/>
                </w:tcPr>
                <w:p>
                  <w:pPr>
                    <w:pStyle w:val="20"/>
                  </w:pPr>
                  <w:r>
                    <w:rPr>
                      <w:rFonts w:hint="eastAsia"/>
                    </w:rPr>
                    <w:t>工程沿线</w:t>
                  </w:r>
                </w:p>
              </w:tc>
              <w:tc>
                <w:tcPr>
                  <w:tcW w:w="883" w:type="pct"/>
                  <w:vAlign w:val="center"/>
                </w:tcPr>
                <w:p>
                  <w:pPr>
                    <w:pStyle w:val="20"/>
                  </w:pPr>
                  <w:r>
                    <w:rPr>
                      <w:rFonts w:hint="eastAsia"/>
                    </w:rPr>
                    <w:t>荒草地</w:t>
                  </w:r>
                </w:p>
              </w:tc>
              <w:tc>
                <w:tcPr>
                  <w:tcW w:w="984" w:type="pct"/>
                  <w:vMerge w:val="restart"/>
                  <w:vAlign w:val="center"/>
                </w:tcPr>
                <w:p>
                  <w:pPr>
                    <w:pStyle w:val="20"/>
                  </w:pPr>
                  <w:r>
                    <w:rPr>
                      <w:rFonts w:hint="eastAsia" w:ascii="宋体" w:hAnsi="宋体" w:cs="宋体"/>
                      <w:szCs w:val="21"/>
                    </w:rPr>
                    <w:t>确保工程建设实施后区域生态环境质量不下降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2" w:type="pct"/>
                  <w:vMerge w:val="continue"/>
                  <w:vAlign w:val="center"/>
                </w:tcPr>
                <w:p>
                  <w:pPr>
                    <w:pStyle w:val="20"/>
                  </w:pPr>
                </w:p>
              </w:tc>
              <w:tc>
                <w:tcPr>
                  <w:tcW w:w="448" w:type="pct"/>
                  <w:vAlign w:val="center"/>
                </w:tcPr>
                <w:p>
                  <w:pPr>
                    <w:pStyle w:val="20"/>
                  </w:pPr>
                  <w:r>
                    <w:rPr>
                      <w:rFonts w:hint="eastAsia"/>
                    </w:rPr>
                    <w:t>下洛哇区</w:t>
                  </w:r>
                </w:p>
              </w:tc>
              <w:tc>
                <w:tcPr>
                  <w:tcW w:w="867" w:type="pct"/>
                  <w:vAlign w:val="center"/>
                </w:tcPr>
                <w:p>
                  <w:pPr>
                    <w:pStyle w:val="20"/>
                  </w:pPr>
                  <w:r>
                    <w:rPr>
                      <w:rFonts w:hint="eastAsia"/>
                    </w:rPr>
                    <w:t>工程沿线草地、河滩地</w:t>
                  </w:r>
                </w:p>
              </w:tc>
              <w:tc>
                <w:tcPr>
                  <w:tcW w:w="1423" w:type="pct"/>
                  <w:gridSpan w:val="2"/>
                  <w:vAlign w:val="center"/>
                </w:tcPr>
                <w:p>
                  <w:pPr>
                    <w:pStyle w:val="20"/>
                  </w:pPr>
                  <w:r>
                    <w:rPr>
                      <w:rFonts w:hint="eastAsia"/>
                    </w:rPr>
                    <w:t>工程沿线</w:t>
                  </w:r>
                </w:p>
              </w:tc>
              <w:tc>
                <w:tcPr>
                  <w:tcW w:w="883" w:type="pct"/>
                  <w:vAlign w:val="center"/>
                </w:tcPr>
                <w:p>
                  <w:pPr>
                    <w:pStyle w:val="20"/>
                  </w:pPr>
                  <w:r>
                    <w:rPr>
                      <w:rFonts w:hint="eastAsia"/>
                    </w:rPr>
                    <w:t>荒草地、河滩地</w:t>
                  </w:r>
                </w:p>
              </w:tc>
              <w:tc>
                <w:tcPr>
                  <w:tcW w:w="984" w:type="pct"/>
                  <w:vMerge w:val="continue"/>
                  <w:vAlign w:val="center"/>
                </w:tcPr>
                <w:p>
                  <w:pPr>
                    <w:pStyle w:val="20"/>
                  </w:pPr>
                </w:p>
              </w:tc>
            </w:tr>
          </w:tbl>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8" w:type="pct"/>
            <w:vAlign w:val="center"/>
          </w:tcPr>
          <w:p>
            <w:pPr>
              <w:jc w:val="center"/>
            </w:pPr>
            <w:r>
              <w:rPr>
                <w:rFonts w:hint="eastAsia"/>
              </w:rPr>
              <w:t>评价</w:t>
            </w:r>
          </w:p>
          <w:p>
            <w:pPr>
              <w:jc w:val="center"/>
            </w:pPr>
            <w:r>
              <w:rPr>
                <w:rFonts w:hint="eastAsia"/>
              </w:rPr>
              <w:t>标准</w:t>
            </w:r>
          </w:p>
        </w:tc>
        <w:tc>
          <w:tcPr>
            <w:tcW w:w="4611" w:type="pct"/>
            <w:vAlign w:val="center"/>
          </w:tcPr>
          <w:p>
            <w:pPr>
              <w:pStyle w:val="3"/>
            </w:pPr>
            <w:r>
              <w:rPr>
                <w:rFonts w:hint="eastAsia"/>
              </w:rPr>
              <w:t>4环境质量标准</w:t>
            </w:r>
          </w:p>
          <w:p>
            <w:pPr>
              <w:pStyle w:val="4"/>
              <w:rPr>
                <w:rFonts w:hint="eastAsia" w:eastAsia="宋体"/>
                <w:lang w:eastAsia="zh-CN"/>
              </w:rPr>
            </w:pPr>
            <w:r>
              <w:rPr>
                <w:rFonts w:hint="eastAsia"/>
              </w:rPr>
              <w:t>4.1</w:t>
            </w:r>
            <w:r>
              <w:t>环境空气质量</w:t>
            </w:r>
            <w:r>
              <w:rPr>
                <w:rFonts w:hint="eastAsia"/>
                <w:lang w:eastAsia="zh-CN"/>
              </w:rPr>
              <w:t>标准</w:t>
            </w:r>
          </w:p>
          <w:p>
            <w:pPr>
              <w:pStyle w:val="13"/>
              <w:ind w:firstLine="480"/>
            </w:pPr>
            <w:r>
              <w:t>项目区域大气环境质量执行国家《环境空气质量标准》</w:t>
            </w:r>
            <w:r>
              <w:rPr>
                <w:rFonts w:hint="eastAsia"/>
              </w:rPr>
              <w:t>（</w:t>
            </w:r>
            <w:r>
              <w:t>GB3095-2012</w:t>
            </w:r>
            <w:r>
              <w:rPr>
                <w:rFonts w:hint="eastAsia"/>
              </w:rPr>
              <w:t>）</w:t>
            </w:r>
            <w:r>
              <w:t>中的二级标准，具体标准值见下表：</w:t>
            </w:r>
          </w:p>
          <w:p>
            <w:pPr>
              <w:pStyle w:val="21"/>
              <w:rPr>
                <w:bCs/>
              </w:rPr>
            </w:pPr>
            <w:r>
              <w:rPr>
                <w:bCs/>
              </w:rPr>
              <w:t>表</w:t>
            </w:r>
            <w:r>
              <w:rPr>
                <w:rFonts w:hint="eastAsia"/>
                <w:bCs/>
              </w:rPr>
              <w:t xml:space="preserve">3.3 </w:t>
            </w:r>
            <w:r>
              <w:rPr>
                <w:bCs/>
              </w:rPr>
              <w:t>各项污染物的浓度限值       单位：µg/Nm</w:t>
            </w:r>
            <w:r>
              <w:rPr>
                <w:bCs/>
                <w:vertAlign w:val="superscript"/>
              </w:rPr>
              <w:t>3</w:t>
            </w:r>
          </w:p>
          <w:tbl>
            <w:tblPr>
              <w:tblStyle w:val="14"/>
              <w:tblW w:w="4989"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348"/>
              <w:gridCol w:w="1817"/>
              <w:gridCol w:w="1817"/>
              <w:gridCol w:w="1665"/>
              <w:gridCol w:w="261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728" w:type="pct"/>
                  <w:vMerge w:val="restart"/>
                  <w:vAlign w:val="center"/>
                </w:tcPr>
                <w:p>
                  <w:pPr>
                    <w:pStyle w:val="20"/>
                  </w:pPr>
                  <w:r>
                    <w:t>污染因子</w:t>
                  </w:r>
                </w:p>
              </w:tc>
              <w:tc>
                <w:tcPr>
                  <w:tcW w:w="2861" w:type="pct"/>
                  <w:gridSpan w:val="3"/>
                  <w:vAlign w:val="center"/>
                </w:tcPr>
                <w:p>
                  <w:pPr>
                    <w:pStyle w:val="20"/>
                  </w:pPr>
                  <w:r>
                    <w:t>环境质量标准（µg/m</w:t>
                  </w:r>
                  <w:r>
                    <w:rPr>
                      <w:vertAlign w:val="superscript"/>
                    </w:rPr>
                    <w:t>3</w:t>
                  </w:r>
                  <w:r>
                    <w:t>）</w:t>
                  </w:r>
                </w:p>
              </w:tc>
              <w:tc>
                <w:tcPr>
                  <w:tcW w:w="1410" w:type="pct"/>
                  <w:vMerge w:val="restart"/>
                  <w:vAlign w:val="center"/>
                </w:tcPr>
                <w:p>
                  <w:pPr>
                    <w:pStyle w:val="20"/>
                  </w:pPr>
                  <w:r>
                    <w:t>依据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728" w:type="pct"/>
                  <w:vMerge w:val="continue"/>
                  <w:vAlign w:val="center"/>
                </w:tcPr>
                <w:p>
                  <w:pPr>
                    <w:pStyle w:val="20"/>
                  </w:pPr>
                </w:p>
              </w:tc>
              <w:tc>
                <w:tcPr>
                  <w:tcW w:w="981" w:type="pct"/>
                  <w:vAlign w:val="center"/>
                </w:tcPr>
                <w:p>
                  <w:pPr>
                    <w:pStyle w:val="20"/>
                  </w:pPr>
                  <w:r>
                    <w:t>小时平均</w:t>
                  </w:r>
                </w:p>
              </w:tc>
              <w:tc>
                <w:tcPr>
                  <w:tcW w:w="981" w:type="pct"/>
                  <w:vAlign w:val="center"/>
                </w:tcPr>
                <w:p>
                  <w:pPr>
                    <w:pStyle w:val="20"/>
                  </w:pPr>
                  <w:r>
                    <w:t>24小时平均</w:t>
                  </w:r>
                </w:p>
              </w:tc>
              <w:tc>
                <w:tcPr>
                  <w:tcW w:w="898" w:type="pct"/>
                  <w:vAlign w:val="center"/>
                </w:tcPr>
                <w:p>
                  <w:pPr>
                    <w:pStyle w:val="20"/>
                  </w:pPr>
                  <w:r>
                    <w:t>年均</w:t>
                  </w:r>
                </w:p>
              </w:tc>
              <w:tc>
                <w:tcPr>
                  <w:tcW w:w="1410" w:type="pct"/>
                  <w:vMerge w:val="continue"/>
                  <w:vAlign w:val="center"/>
                </w:tcPr>
                <w:p>
                  <w:pPr>
                    <w:pStyle w:val="20"/>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728" w:type="pct"/>
                  <w:vAlign w:val="center"/>
                </w:tcPr>
                <w:p>
                  <w:pPr>
                    <w:pStyle w:val="20"/>
                  </w:pPr>
                  <w:r>
                    <w:t>SO</w:t>
                  </w:r>
                  <w:r>
                    <w:rPr>
                      <w:vertAlign w:val="subscript"/>
                    </w:rPr>
                    <w:t>2</w:t>
                  </w:r>
                </w:p>
              </w:tc>
              <w:tc>
                <w:tcPr>
                  <w:tcW w:w="981" w:type="pct"/>
                  <w:vAlign w:val="center"/>
                </w:tcPr>
                <w:p>
                  <w:pPr>
                    <w:pStyle w:val="20"/>
                  </w:pPr>
                  <w:r>
                    <w:t>500</w:t>
                  </w:r>
                </w:p>
              </w:tc>
              <w:tc>
                <w:tcPr>
                  <w:tcW w:w="981" w:type="pct"/>
                  <w:vAlign w:val="center"/>
                </w:tcPr>
                <w:p>
                  <w:pPr>
                    <w:pStyle w:val="20"/>
                  </w:pPr>
                  <w:r>
                    <w:t>150</w:t>
                  </w:r>
                </w:p>
              </w:tc>
              <w:tc>
                <w:tcPr>
                  <w:tcW w:w="898" w:type="pct"/>
                  <w:vAlign w:val="center"/>
                </w:tcPr>
                <w:p>
                  <w:pPr>
                    <w:pStyle w:val="20"/>
                  </w:pPr>
                  <w:r>
                    <w:t>60</w:t>
                  </w:r>
                </w:p>
              </w:tc>
              <w:tc>
                <w:tcPr>
                  <w:tcW w:w="1410" w:type="pct"/>
                  <w:vMerge w:val="restart"/>
                  <w:vAlign w:val="center"/>
                </w:tcPr>
                <w:p>
                  <w:pPr>
                    <w:pStyle w:val="20"/>
                  </w:pPr>
                  <w:r>
                    <w:t>《环境空气质量标准》</w:t>
                  </w:r>
                  <w:r>
                    <w:rPr>
                      <w:rFonts w:hint="eastAsia"/>
                    </w:rPr>
                    <w:t>（</w:t>
                  </w:r>
                  <w:r>
                    <w:t>GB3095-2012</w:t>
                  </w:r>
                  <w:r>
                    <w:rPr>
                      <w:rFonts w:hint="eastAsia"/>
                    </w:rPr>
                    <w:t>）</w:t>
                  </w:r>
                  <w:r>
                    <w:t>二级标准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728" w:type="pct"/>
                  <w:vAlign w:val="center"/>
                </w:tcPr>
                <w:p>
                  <w:pPr>
                    <w:pStyle w:val="20"/>
                  </w:pPr>
                  <w:r>
                    <w:t>PM</w:t>
                  </w:r>
                  <w:r>
                    <w:rPr>
                      <w:vertAlign w:val="subscript"/>
                    </w:rPr>
                    <w:t>10</w:t>
                  </w:r>
                </w:p>
              </w:tc>
              <w:tc>
                <w:tcPr>
                  <w:tcW w:w="981" w:type="pct"/>
                  <w:vAlign w:val="center"/>
                </w:tcPr>
                <w:p>
                  <w:pPr>
                    <w:pStyle w:val="20"/>
                  </w:pPr>
                  <w:r>
                    <w:t>--</w:t>
                  </w:r>
                </w:p>
              </w:tc>
              <w:tc>
                <w:tcPr>
                  <w:tcW w:w="981" w:type="pct"/>
                  <w:vAlign w:val="center"/>
                </w:tcPr>
                <w:p>
                  <w:pPr>
                    <w:pStyle w:val="20"/>
                  </w:pPr>
                  <w:r>
                    <w:t>150</w:t>
                  </w:r>
                </w:p>
              </w:tc>
              <w:tc>
                <w:tcPr>
                  <w:tcW w:w="898" w:type="pct"/>
                  <w:vAlign w:val="center"/>
                </w:tcPr>
                <w:p>
                  <w:pPr>
                    <w:pStyle w:val="20"/>
                  </w:pPr>
                  <w:r>
                    <w:t>70</w:t>
                  </w:r>
                </w:p>
              </w:tc>
              <w:tc>
                <w:tcPr>
                  <w:tcW w:w="1410" w:type="pct"/>
                  <w:vMerge w:val="continue"/>
                  <w:vAlign w:val="center"/>
                </w:tcPr>
                <w:p>
                  <w:pPr>
                    <w:pStyle w:val="20"/>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728" w:type="pct"/>
                  <w:vAlign w:val="center"/>
                </w:tcPr>
                <w:p>
                  <w:pPr>
                    <w:pStyle w:val="20"/>
                    <w:rPr>
                      <w:kern w:val="2"/>
                    </w:rPr>
                  </w:pPr>
                  <w:r>
                    <w:t>PM</w:t>
                  </w:r>
                  <w:r>
                    <w:rPr>
                      <w:vertAlign w:val="subscript"/>
                    </w:rPr>
                    <w:t>2.5</w:t>
                  </w:r>
                </w:p>
              </w:tc>
              <w:tc>
                <w:tcPr>
                  <w:tcW w:w="981" w:type="pct"/>
                  <w:vAlign w:val="center"/>
                </w:tcPr>
                <w:p>
                  <w:pPr>
                    <w:pStyle w:val="20"/>
                    <w:rPr>
                      <w:kern w:val="2"/>
                    </w:rPr>
                  </w:pPr>
                </w:p>
              </w:tc>
              <w:tc>
                <w:tcPr>
                  <w:tcW w:w="981" w:type="pct"/>
                  <w:vAlign w:val="center"/>
                </w:tcPr>
                <w:p>
                  <w:pPr>
                    <w:pStyle w:val="20"/>
                    <w:rPr>
                      <w:kern w:val="2"/>
                    </w:rPr>
                  </w:pPr>
                  <w:r>
                    <w:t>75</w:t>
                  </w:r>
                </w:p>
              </w:tc>
              <w:tc>
                <w:tcPr>
                  <w:tcW w:w="898" w:type="pct"/>
                  <w:vAlign w:val="center"/>
                </w:tcPr>
                <w:p>
                  <w:pPr>
                    <w:pStyle w:val="20"/>
                    <w:rPr>
                      <w:kern w:val="2"/>
                    </w:rPr>
                  </w:pPr>
                  <w:r>
                    <w:t>35</w:t>
                  </w:r>
                </w:p>
              </w:tc>
              <w:tc>
                <w:tcPr>
                  <w:tcW w:w="1410" w:type="pct"/>
                  <w:vMerge w:val="continue"/>
                  <w:vAlign w:val="center"/>
                </w:tcPr>
                <w:p>
                  <w:pPr>
                    <w:pStyle w:val="20"/>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728" w:type="pct"/>
                  <w:vAlign w:val="center"/>
                </w:tcPr>
                <w:p>
                  <w:pPr>
                    <w:pStyle w:val="20"/>
                  </w:pPr>
                  <w:r>
                    <w:t>NO</w:t>
                  </w:r>
                  <w:r>
                    <w:rPr>
                      <w:vertAlign w:val="subscript"/>
                    </w:rPr>
                    <w:t>2</w:t>
                  </w:r>
                </w:p>
              </w:tc>
              <w:tc>
                <w:tcPr>
                  <w:tcW w:w="981" w:type="pct"/>
                  <w:vAlign w:val="center"/>
                </w:tcPr>
                <w:p>
                  <w:pPr>
                    <w:pStyle w:val="20"/>
                  </w:pPr>
                  <w:r>
                    <w:t>200</w:t>
                  </w:r>
                </w:p>
              </w:tc>
              <w:tc>
                <w:tcPr>
                  <w:tcW w:w="981" w:type="pct"/>
                  <w:vAlign w:val="center"/>
                </w:tcPr>
                <w:p>
                  <w:pPr>
                    <w:pStyle w:val="20"/>
                  </w:pPr>
                  <w:r>
                    <w:t>80</w:t>
                  </w:r>
                </w:p>
              </w:tc>
              <w:tc>
                <w:tcPr>
                  <w:tcW w:w="898" w:type="pct"/>
                  <w:vAlign w:val="center"/>
                </w:tcPr>
                <w:p>
                  <w:pPr>
                    <w:pStyle w:val="20"/>
                  </w:pPr>
                  <w:r>
                    <w:t>40</w:t>
                  </w:r>
                </w:p>
              </w:tc>
              <w:tc>
                <w:tcPr>
                  <w:tcW w:w="1410" w:type="pct"/>
                  <w:vMerge w:val="continue"/>
                  <w:vAlign w:val="center"/>
                </w:tcPr>
                <w:p>
                  <w:pPr>
                    <w:pStyle w:val="20"/>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728" w:type="pct"/>
                  <w:vAlign w:val="center"/>
                </w:tcPr>
                <w:p>
                  <w:pPr>
                    <w:pStyle w:val="20"/>
                  </w:pPr>
                  <w:r>
                    <w:t>CO</w:t>
                  </w:r>
                </w:p>
              </w:tc>
              <w:tc>
                <w:tcPr>
                  <w:tcW w:w="981" w:type="pct"/>
                  <w:vAlign w:val="center"/>
                </w:tcPr>
                <w:p>
                  <w:pPr>
                    <w:pStyle w:val="20"/>
                  </w:pPr>
                  <w:r>
                    <w:t>10mg/m</w:t>
                  </w:r>
                  <w:r>
                    <w:rPr>
                      <w:vertAlign w:val="superscript"/>
                    </w:rPr>
                    <w:t>3</w:t>
                  </w:r>
                </w:p>
              </w:tc>
              <w:tc>
                <w:tcPr>
                  <w:tcW w:w="981" w:type="pct"/>
                  <w:vAlign w:val="center"/>
                </w:tcPr>
                <w:p>
                  <w:pPr>
                    <w:pStyle w:val="20"/>
                  </w:pPr>
                  <w:r>
                    <w:t>4mg/m</w:t>
                  </w:r>
                  <w:r>
                    <w:rPr>
                      <w:vertAlign w:val="superscript"/>
                    </w:rPr>
                    <w:t>3</w:t>
                  </w:r>
                </w:p>
              </w:tc>
              <w:tc>
                <w:tcPr>
                  <w:tcW w:w="898" w:type="pct"/>
                  <w:vAlign w:val="center"/>
                </w:tcPr>
                <w:p>
                  <w:pPr>
                    <w:pStyle w:val="20"/>
                  </w:pPr>
                  <w:r>
                    <w:rPr>
                      <w:rFonts w:hint="eastAsia"/>
                    </w:rPr>
                    <w:t>/</w:t>
                  </w:r>
                </w:p>
              </w:tc>
              <w:tc>
                <w:tcPr>
                  <w:tcW w:w="1410" w:type="pct"/>
                  <w:vMerge w:val="continue"/>
                  <w:vAlign w:val="center"/>
                </w:tcPr>
                <w:p>
                  <w:pPr>
                    <w:pStyle w:val="20"/>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728" w:type="pct"/>
                  <w:vAlign w:val="center"/>
                </w:tcPr>
                <w:p>
                  <w:pPr>
                    <w:pStyle w:val="20"/>
                  </w:pPr>
                  <w:r>
                    <w:rPr>
                      <w:rFonts w:hint="eastAsia"/>
                    </w:rPr>
                    <w:t>O</w:t>
                  </w:r>
                  <w:r>
                    <w:rPr>
                      <w:rFonts w:hint="eastAsia"/>
                      <w:vertAlign w:val="subscript"/>
                    </w:rPr>
                    <w:t>3</w:t>
                  </w:r>
                </w:p>
              </w:tc>
              <w:tc>
                <w:tcPr>
                  <w:tcW w:w="981" w:type="pct"/>
                  <w:vAlign w:val="center"/>
                </w:tcPr>
                <w:p>
                  <w:pPr>
                    <w:pStyle w:val="20"/>
                  </w:pPr>
                  <w:r>
                    <w:rPr>
                      <w:rFonts w:hint="eastAsia"/>
                    </w:rPr>
                    <w:t>200</w:t>
                  </w:r>
                </w:p>
              </w:tc>
              <w:tc>
                <w:tcPr>
                  <w:tcW w:w="981" w:type="pct"/>
                  <w:vAlign w:val="center"/>
                </w:tcPr>
                <w:p>
                  <w:pPr>
                    <w:pStyle w:val="20"/>
                  </w:pPr>
                  <w:r>
                    <w:rPr>
                      <w:rFonts w:hint="eastAsia"/>
                    </w:rPr>
                    <w:t>日最大8小时平均160</w:t>
                  </w:r>
                </w:p>
              </w:tc>
              <w:tc>
                <w:tcPr>
                  <w:tcW w:w="898" w:type="pct"/>
                  <w:vAlign w:val="center"/>
                </w:tcPr>
                <w:p>
                  <w:pPr>
                    <w:pStyle w:val="20"/>
                  </w:pPr>
                  <w:r>
                    <w:rPr>
                      <w:rFonts w:hint="eastAsia"/>
                    </w:rPr>
                    <w:t>/</w:t>
                  </w:r>
                </w:p>
              </w:tc>
              <w:tc>
                <w:tcPr>
                  <w:tcW w:w="1410" w:type="pct"/>
                  <w:vMerge w:val="continue"/>
                  <w:vAlign w:val="center"/>
                </w:tcPr>
                <w:p>
                  <w:pPr>
                    <w:pStyle w:val="20"/>
                  </w:pPr>
                </w:p>
              </w:tc>
            </w:tr>
          </w:tbl>
          <w:p>
            <w:pPr>
              <w:pStyle w:val="4"/>
              <w:rPr>
                <w:rFonts w:hint="eastAsia" w:eastAsia="宋体"/>
                <w:lang w:eastAsia="zh-CN"/>
              </w:rPr>
            </w:pPr>
            <w:r>
              <w:rPr>
                <w:rFonts w:hint="eastAsia"/>
              </w:rPr>
              <w:t>4.2</w:t>
            </w:r>
            <w:r>
              <w:t>地表水环境质量</w:t>
            </w:r>
            <w:r>
              <w:rPr>
                <w:rFonts w:hint="eastAsia"/>
                <w:lang w:eastAsia="zh-CN"/>
              </w:rPr>
              <w:t>标准</w:t>
            </w:r>
          </w:p>
          <w:p>
            <w:pPr>
              <w:pStyle w:val="13"/>
              <w:ind w:firstLine="480"/>
            </w:pPr>
            <w:r>
              <w:t>项目</w:t>
            </w:r>
            <w:bookmarkStart w:id="15" w:name="OLE_LINK20"/>
            <w:r>
              <w:t>区域</w:t>
            </w:r>
            <w:r>
              <w:rPr>
                <w:rFonts w:hint="eastAsia"/>
              </w:rPr>
              <w:t>涉及的</w:t>
            </w:r>
            <w:r>
              <w:t>地表水</w:t>
            </w:r>
            <w:r>
              <w:rPr>
                <w:rFonts w:hint="eastAsia"/>
              </w:rPr>
              <w:t>为角乎拉沟、西龙曲，属于茫拉河支流，</w:t>
            </w:r>
            <w:r>
              <w:t>执行国家《地表水环</w:t>
            </w:r>
            <w:bookmarkEnd w:id="15"/>
            <w:r>
              <w:t>境质量标准》GB3838-2002</w:t>
            </w:r>
            <w:r>
              <w:rPr>
                <w:rFonts w:hint="eastAsia"/>
              </w:rPr>
              <w:t>）中</w:t>
            </w:r>
            <w:r>
              <w:rPr>
                <w:rFonts w:hint="eastAsia" w:ascii="宋体" w:hAnsi="宋体"/>
              </w:rPr>
              <w:t>Ⅱ</w:t>
            </w:r>
            <w:r>
              <w:t>类水域标准，具体见下表：</w:t>
            </w:r>
          </w:p>
          <w:p>
            <w:pPr>
              <w:pStyle w:val="21"/>
            </w:pPr>
            <w:r>
              <w:rPr>
                <w:rFonts w:hint="eastAsia"/>
              </w:rPr>
              <w:t>表3.4  《地表水环境质量标准》（GB3838-2002）</w:t>
            </w:r>
          </w:p>
          <w:tbl>
            <w:tblPr>
              <w:tblStyle w:val="14"/>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864"/>
              <w:gridCol w:w="542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2080" w:type="pct"/>
                  <w:tcBorders>
                    <w:top w:val="single" w:color="auto" w:sz="4" w:space="0"/>
                    <w:left w:val="single" w:color="auto" w:sz="4" w:space="0"/>
                  </w:tcBorders>
                  <w:vAlign w:val="center"/>
                </w:tcPr>
                <w:p>
                  <w:pPr>
                    <w:pStyle w:val="20"/>
                  </w:pPr>
                  <w:r>
                    <w:t>污染物名称</w:t>
                  </w:r>
                </w:p>
              </w:tc>
              <w:tc>
                <w:tcPr>
                  <w:tcW w:w="2919" w:type="pct"/>
                  <w:tcBorders>
                    <w:top w:val="single" w:color="auto" w:sz="4" w:space="0"/>
                    <w:right w:val="single" w:color="auto" w:sz="4" w:space="0"/>
                  </w:tcBorders>
                  <w:vAlign w:val="center"/>
                </w:tcPr>
                <w:p>
                  <w:pPr>
                    <w:pStyle w:val="20"/>
                  </w:pPr>
                  <w:r>
                    <w:rPr>
                      <w:rFonts w:hint="eastAsia"/>
                    </w:rPr>
                    <w:t>III</w:t>
                  </w:r>
                  <w:r>
                    <w:t>类标准值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80" w:type="pct"/>
                  <w:tcBorders>
                    <w:left w:val="single" w:color="auto" w:sz="4" w:space="0"/>
                  </w:tcBorders>
                  <w:vAlign w:val="center"/>
                </w:tcPr>
                <w:p>
                  <w:pPr>
                    <w:pStyle w:val="20"/>
                  </w:pPr>
                  <w:r>
                    <w:t>pH值</w:t>
                  </w:r>
                </w:p>
              </w:tc>
              <w:tc>
                <w:tcPr>
                  <w:tcW w:w="2919" w:type="pct"/>
                  <w:tcBorders>
                    <w:right w:val="single" w:color="auto" w:sz="4" w:space="0"/>
                  </w:tcBorders>
                  <w:vAlign w:val="center"/>
                </w:tcPr>
                <w:p>
                  <w:pPr>
                    <w:pStyle w:val="20"/>
                  </w:pPr>
                  <w:r>
                    <w:t>6～9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80" w:type="pct"/>
                  <w:tcBorders>
                    <w:left w:val="single" w:color="auto" w:sz="4" w:space="0"/>
                  </w:tcBorders>
                  <w:vAlign w:val="center"/>
                </w:tcPr>
                <w:p>
                  <w:pPr>
                    <w:pStyle w:val="20"/>
                  </w:pPr>
                  <w:r>
                    <w:t>COD</w:t>
                  </w:r>
                </w:p>
              </w:tc>
              <w:tc>
                <w:tcPr>
                  <w:tcW w:w="2919" w:type="pct"/>
                  <w:tcBorders>
                    <w:right w:val="single" w:color="auto" w:sz="4" w:space="0"/>
                  </w:tcBorders>
                  <w:vAlign w:val="center"/>
                </w:tcPr>
                <w:p>
                  <w:pPr>
                    <w:pStyle w:val="20"/>
                  </w:pPr>
                  <w:r>
                    <w:rPr>
                      <w:lang w:val="en-GB"/>
                    </w:rPr>
                    <w:t>≤</w:t>
                  </w:r>
                  <w:r>
                    <w:rPr>
                      <w:rFonts w:hint="eastAsia"/>
                    </w:rPr>
                    <w:t>20</w:t>
                  </w:r>
                  <w:r>
                    <w:t>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80" w:type="pct"/>
                  <w:tcBorders>
                    <w:left w:val="single" w:color="auto" w:sz="4" w:space="0"/>
                  </w:tcBorders>
                  <w:vAlign w:val="center"/>
                </w:tcPr>
                <w:p>
                  <w:pPr>
                    <w:pStyle w:val="20"/>
                  </w:pPr>
                  <w:r>
                    <w:t>BOD</w:t>
                  </w:r>
                  <w:r>
                    <w:rPr>
                      <w:vertAlign w:val="subscript"/>
                    </w:rPr>
                    <w:t>5</w:t>
                  </w:r>
                </w:p>
              </w:tc>
              <w:tc>
                <w:tcPr>
                  <w:tcW w:w="2919" w:type="pct"/>
                  <w:tcBorders>
                    <w:right w:val="single" w:color="auto" w:sz="4" w:space="0"/>
                  </w:tcBorders>
                  <w:vAlign w:val="center"/>
                </w:tcPr>
                <w:p>
                  <w:pPr>
                    <w:pStyle w:val="20"/>
                  </w:pPr>
                  <w:r>
                    <w:rPr>
                      <w:lang w:val="en-GB"/>
                    </w:rPr>
                    <w:t>≤</w:t>
                  </w:r>
                  <w:r>
                    <w:rPr>
                      <w:rFonts w:hint="eastAsia"/>
                    </w:rPr>
                    <w:t>4</w:t>
                  </w:r>
                  <w:r>
                    <w:t>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80" w:type="pct"/>
                  <w:tcBorders>
                    <w:left w:val="single" w:color="auto" w:sz="4" w:space="0"/>
                  </w:tcBorders>
                  <w:vAlign w:val="center"/>
                </w:tcPr>
                <w:p>
                  <w:pPr>
                    <w:pStyle w:val="20"/>
                  </w:pPr>
                  <w:r>
                    <w:t>NH</w:t>
                  </w:r>
                  <w:r>
                    <w:rPr>
                      <w:vertAlign w:val="subscript"/>
                    </w:rPr>
                    <w:t>3</w:t>
                  </w:r>
                  <w:r>
                    <w:t>-N</w:t>
                  </w:r>
                </w:p>
              </w:tc>
              <w:tc>
                <w:tcPr>
                  <w:tcW w:w="2919" w:type="pct"/>
                  <w:tcBorders>
                    <w:right w:val="single" w:color="auto" w:sz="4" w:space="0"/>
                  </w:tcBorders>
                  <w:vAlign w:val="center"/>
                </w:tcPr>
                <w:p>
                  <w:pPr>
                    <w:pStyle w:val="20"/>
                  </w:pPr>
                  <w:r>
                    <w:rPr>
                      <w:lang w:val="en-GB"/>
                    </w:rPr>
                    <w:t>≤</w:t>
                  </w:r>
                  <w:r>
                    <w:t>1.</w:t>
                  </w:r>
                  <w:r>
                    <w:rPr>
                      <w:rFonts w:hint="eastAsia"/>
                    </w:rPr>
                    <w:t>0</w:t>
                  </w:r>
                  <w:r>
                    <w:t>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80" w:type="pct"/>
                  <w:tcBorders>
                    <w:left w:val="single" w:color="auto" w:sz="4" w:space="0"/>
                  </w:tcBorders>
                  <w:vAlign w:val="center"/>
                </w:tcPr>
                <w:p>
                  <w:pPr>
                    <w:pStyle w:val="20"/>
                  </w:pPr>
                  <w:r>
                    <w:rPr>
                      <w:rFonts w:hint="eastAsia"/>
                    </w:rPr>
                    <w:t>TP</w:t>
                  </w:r>
                </w:p>
              </w:tc>
              <w:tc>
                <w:tcPr>
                  <w:tcW w:w="2919" w:type="pct"/>
                  <w:tcBorders>
                    <w:right w:val="single" w:color="auto" w:sz="4" w:space="0"/>
                  </w:tcBorders>
                  <w:vAlign w:val="center"/>
                </w:tcPr>
                <w:p>
                  <w:pPr>
                    <w:pStyle w:val="20"/>
                  </w:pPr>
                  <w:r>
                    <w:rPr>
                      <w:lang w:val="en-GB"/>
                    </w:rPr>
                    <w:t>≤</w:t>
                  </w:r>
                  <w:r>
                    <w:rPr>
                      <w:rFonts w:hint="eastAsia"/>
                    </w:rPr>
                    <w:t>0.2</w:t>
                  </w:r>
                  <w:r>
                    <w:t>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80" w:type="pct"/>
                  <w:tcBorders>
                    <w:left w:val="single" w:color="auto" w:sz="4" w:space="0"/>
                  </w:tcBorders>
                  <w:vAlign w:val="center"/>
                </w:tcPr>
                <w:p>
                  <w:pPr>
                    <w:pStyle w:val="20"/>
                  </w:pPr>
                  <w:r>
                    <w:rPr>
                      <w:rFonts w:hint="eastAsia"/>
                    </w:rPr>
                    <w:t>粪大肠菌群</w:t>
                  </w:r>
                </w:p>
              </w:tc>
              <w:tc>
                <w:tcPr>
                  <w:tcW w:w="2919" w:type="pct"/>
                  <w:tcBorders>
                    <w:right w:val="single" w:color="auto" w:sz="4" w:space="0"/>
                  </w:tcBorders>
                  <w:vAlign w:val="center"/>
                </w:tcPr>
                <w:p>
                  <w:pPr>
                    <w:pStyle w:val="20"/>
                  </w:pPr>
                  <w:r>
                    <w:rPr>
                      <w:lang w:val="en-GB"/>
                    </w:rPr>
                    <w:t>≤</w:t>
                  </w:r>
                  <w:r>
                    <w:rPr>
                      <w:rFonts w:hint="eastAsia"/>
                    </w:rPr>
                    <w:t>10000个/L</w:t>
                  </w:r>
                </w:p>
              </w:tc>
            </w:tr>
          </w:tbl>
          <w:p>
            <w:pPr>
              <w:pStyle w:val="4"/>
              <w:rPr>
                <w:rFonts w:hint="eastAsia" w:eastAsia="宋体"/>
                <w:lang w:eastAsia="zh-CN"/>
              </w:rPr>
            </w:pPr>
            <w:r>
              <w:rPr>
                <w:rFonts w:hint="eastAsia"/>
              </w:rPr>
              <w:t>4.3</w:t>
            </w:r>
            <w:r>
              <w:t>声环境质量</w:t>
            </w:r>
            <w:r>
              <w:rPr>
                <w:rFonts w:hint="eastAsia"/>
                <w:lang w:eastAsia="zh-CN"/>
              </w:rPr>
              <w:t>标准</w:t>
            </w:r>
          </w:p>
          <w:p>
            <w:pPr>
              <w:pStyle w:val="13"/>
              <w:ind w:firstLine="480"/>
            </w:pPr>
            <w:bookmarkStart w:id="16" w:name="OLE_LINK22"/>
            <w:r>
              <w:t>项目</w:t>
            </w:r>
            <w:r>
              <w:rPr>
                <w:rFonts w:hint="eastAsia"/>
              </w:rPr>
              <w:t>位</w:t>
            </w:r>
            <w:bookmarkEnd w:id="16"/>
            <w:r>
              <w:rPr>
                <w:rFonts w:hint="eastAsia"/>
              </w:rPr>
              <w:t>于乡村区域，项目区附近主要为村庄，声环境质量执行《</w:t>
            </w:r>
            <w:r>
              <w:t>声环境质量标准》</w:t>
            </w:r>
            <w:r>
              <w:rPr>
                <w:rFonts w:hint="eastAsia"/>
              </w:rPr>
              <w:t>（</w:t>
            </w:r>
            <w:r>
              <w:t>GB3096-2008</w:t>
            </w:r>
            <w:r>
              <w:rPr>
                <w:rFonts w:hint="eastAsia"/>
              </w:rPr>
              <w:t>）</w:t>
            </w:r>
            <w:r>
              <w:t>中的</w:t>
            </w:r>
            <w:r>
              <w:rPr>
                <w:rFonts w:hint="eastAsia"/>
              </w:rPr>
              <w:t>1</w:t>
            </w:r>
            <w:r>
              <w:t>类标准</w:t>
            </w:r>
            <w:r>
              <w:rPr>
                <w:rFonts w:hint="eastAsia"/>
              </w:rPr>
              <w:t>，</w:t>
            </w:r>
            <w:r>
              <w:t>具体标准限值见表：</w:t>
            </w:r>
          </w:p>
          <w:p>
            <w:pPr>
              <w:pStyle w:val="21"/>
            </w:pPr>
            <w:r>
              <w:t>表</w:t>
            </w:r>
            <w:r>
              <w:rPr>
                <w:rFonts w:hint="eastAsia"/>
              </w:rPr>
              <w:t xml:space="preserve">3.5  </w:t>
            </w:r>
            <w:r>
              <w:t>环境噪声标准值表   等效声级Laeq:dB（A）</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2"/>
              <w:gridCol w:w="3094"/>
              <w:gridCol w:w="3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Align w:val="center"/>
                </w:tcPr>
                <w:p>
                  <w:pPr>
                    <w:pStyle w:val="20"/>
                  </w:pPr>
                  <w:r>
                    <w:t>项目</w:t>
                  </w:r>
                </w:p>
              </w:tc>
              <w:tc>
                <w:tcPr>
                  <w:tcW w:w="1667" w:type="pct"/>
                  <w:vAlign w:val="center"/>
                </w:tcPr>
                <w:p>
                  <w:pPr>
                    <w:pStyle w:val="20"/>
                  </w:pPr>
                  <w:r>
                    <w:t>昼间Leq[dB（A）]</w:t>
                  </w:r>
                </w:p>
              </w:tc>
              <w:tc>
                <w:tcPr>
                  <w:tcW w:w="1666" w:type="pct"/>
                  <w:vAlign w:val="center"/>
                </w:tcPr>
                <w:p>
                  <w:pPr>
                    <w:pStyle w:val="20"/>
                  </w:pPr>
                  <w:r>
                    <w:t>夜间Leq[dB（A）]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666" w:type="pct"/>
                  <w:vAlign w:val="center"/>
                </w:tcPr>
                <w:p>
                  <w:pPr>
                    <w:pStyle w:val="20"/>
                  </w:pPr>
                  <w:r>
                    <w:rPr>
                      <w:rFonts w:hint="eastAsia"/>
                    </w:rPr>
                    <w:t>1</w:t>
                  </w:r>
                  <w:r>
                    <w:t>类标准值</w:t>
                  </w:r>
                </w:p>
              </w:tc>
              <w:tc>
                <w:tcPr>
                  <w:tcW w:w="1667" w:type="pct"/>
                  <w:vAlign w:val="center"/>
                </w:tcPr>
                <w:p>
                  <w:pPr>
                    <w:pStyle w:val="20"/>
                  </w:pPr>
                  <w:r>
                    <w:rPr>
                      <w:rFonts w:hint="eastAsia"/>
                    </w:rPr>
                    <w:t>55</w:t>
                  </w:r>
                </w:p>
              </w:tc>
              <w:tc>
                <w:tcPr>
                  <w:tcW w:w="1666" w:type="pct"/>
                  <w:vAlign w:val="center"/>
                </w:tcPr>
                <w:p>
                  <w:pPr>
                    <w:pStyle w:val="20"/>
                  </w:pPr>
                  <w:r>
                    <w:rPr>
                      <w:rFonts w:hint="eastAsia"/>
                    </w:rPr>
                    <w:t>45</w:t>
                  </w:r>
                </w:p>
              </w:tc>
            </w:tr>
          </w:tbl>
          <w:p>
            <w:pPr>
              <w:widowControl w:val="0"/>
              <w:spacing w:line="360" w:lineRule="auto"/>
              <w:jc w:val="both"/>
              <w:rPr>
                <w:rFonts w:hint="eastAsia" w:ascii="Times New Roman" w:eastAsia="宋体" w:cs="Times New Roman"/>
                <w:b/>
                <w:bCs/>
                <w:color w:val="000000" w:themeColor="text1"/>
                <w:lang w:eastAsia="zh-CN"/>
              </w:rPr>
            </w:pPr>
            <w:r>
              <w:rPr>
                <w:rFonts w:hint="eastAsia" w:ascii="Times New Roman" w:cs="Times New Roman"/>
                <w:b/>
                <w:bCs/>
                <w:color w:val="000000" w:themeColor="text1"/>
              </w:rPr>
              <w:t>4</w:t>
            </w:r>
            <w:r>
              <w:rPr>
                <w:rFonts w:hint="eastAsia" w:ascii="Times New Roman" w:cs="Times New Roman"/>
                <w:b/>
                <w:bCs/>
                <w:color w:val="000000" w:themeColor="text1"/>
                <w:lang w:val="en-US" w:eastAsia="zh-CN"/>
              </w:rPr>
              <w:t>.4</w:t>
            </w:r>
            <w:r>
              <w:rPr>
                <w:rFonts w:ascii="Times New Roman" w:cs="Times New Roman"/>
                <w:b/>
                <w:bCs/>
                <w:color w:val="000000" w:themeColor="text1"/>
              </w:rPr>
              <w:t>生态环境</w:t>
            </w:r>
            <w:r>
              <w:rPr>
                <w:rFonts w:hint="eastAsia" w:ascii="Times New Roman" w:cs="Times New Roman"/>
                <w:b/>
                <w:bCs/>
                <w:color w:val="000000" w:themeColor="text1"/>
                <w:lang w:eastAsia="zh-CN"/>
              </w:rPr>
              <w:t>质量标准</w:t>
            </w:r>
          </w:p>
          <w:p>
            <w:pPr>
              <w:widowControl w:val="0"/>
              <w:spacing w:line="360" w:lineRule="auto"/>
              <w:ind w:firstLine="480" w:firstLineChars="200"/>
              <w:jc w:val="both"/>
              <w:rPr>
                <w:rFonts w:hint="eastAsia"/>
              </w:rPr>
            </w:pPr>
            <w:r>
              <w:rPr>
                <w:rFonts w:hint="eastAsia"/>
              </w:rPr>
              <w:t>根据项目施工沿线生态植被类型及覆盖度，生态评价标准见下表：</w:t>
            </w:r>
          </w:p>
          <w:p>
            <w:pPr>
              <w:widowControl w:val="0"/>
              <w:spacing w:line="360" w:lineRule="auto"/>
              <w:jc w:val="center"/>
              <w:rPr>
                <w:b/>
                <w:bCs/>
              </w:rPr>
            </w:pPr>
            <w:r>
              <w:rPr>
                <w:rFonts w:hint="eastAsia" w:ascii="Times New Roman" w:hAnsi="Times New Roman" w:cs="Times New Roman"/>
                <w:b/>
                <w:bCs/>
                <w:sz w:val="21"/>
                <w:szCs w:val="21"/>
              </w:rPr>
              <w:t>表4-4 生态现状评价标准标准</w:t>
            </w:r>
          </w:p>
          <w:tbl>
            <w:tblPr>
              <w:tblStyle w:val="1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7"/>
              <w:gridCol w:w="5003"/>
              <w:gridCol w:w="1235"/>
              <w:gridCol w:w="1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pct"/>
                  <w:vAlign w:val="center"/>
                </w:tcPr>
                <w:p>
                  <w:pPr>
                    <w:pStyle w:val="2"/>
                    <w:spacing w:before="0" w:after="0" w:line="400" w:lineRule="exact"/>
                    <w:jc w:val="center"/>
                    <w:outlineLvl w:val="0"/>
                    <w:rPr>
                      <w:rFonts w:ascii="Times New Roman" w:hAnsi="Times New Roman" w:cs="Times New Roman"/>
                      <w:b w:val="0"/>
                      <w:bCs w:val="0"/>
                      <w:sz w:val="21"/>
                      <w:szCs w:val="21"/>
                    </w:rPr>
                  </w:pPr>
                  <w:r>
                    <w:rPr>
                      <w:rFonts w:ascii="Times New Roman" w:hAnsi="Times New Roman" w:cs="Times New Roman"/>
                      <w:b w:val="0"/>
                      <w:bCs w:val="0"/>
                      <w:sz w:val="21"/>
                      <w:szCs w:val="21"/>
                    </w:rPr>
                    <w:t>分类</w:t>
                  </w:r>
                </w:p>
              </w:tc>
              <w:tc>
                <w:tcPr>
                  <w:tcW w:w="2694" w:type="pct"/>
                  <w:vAlign w:val="center"/>
                </w:tcPr>
                <w:p>
                  <w:pPr>
                    <w:pStyle w:val="2"/>
                    <w:spacing w:before="0" w:after="0" w:line="400" w:lineRule="exact"/>
                    <w:jc w:val="center"/>
                    <w:outlineLvl w:val="0"/>
                    <w:rPr>
                      <w:rFonts w:ascii="Times New Roman" w:hAnsi="Times New Roman" w:cs="Times New Roman"/>
                      <w:b w:val="0"/>
                      <w:bCs w:val="0"/>
                      <w:sz w:val="21"/>
                      <w:szCs w:val="21"/>
                    </w:rPr>
                  </w:pPr>
                  <w:r>
                    <w:rPr>
                      <w:rFonts w:hint="eastAsia" w:ascii="Times New Roman" w:hAnsi="Times New Roman" w:cs="Times New Roman"/>
                      <w:b w:val="0"/>
                      <w:bCs w:val="0"/>
                      <w:sz w:val="21"/>
                      <w:szCs w:val="21"/>
                    </w:rPr>
                    <w:t>地形地貌和</w:t>
                  </w:r>
                  <w:r>
                    <w:rPr>
                      <w:rFonts w:ascii="Times New Roman" w:hAnsi="Times New Roman" w:cs="Times New Roman"/>
                      <w:b w:val="0"/>
                      <w:bCs w:val="0"/>
                      <w:sz w:val="21"/>
                      <w:szCs w:val="21"/>
                    </w:rPr>
                    <w:t>植被类型</w:t>
                  </w:r>
                </w:p>
              </w:tc>
              <w:tc>
                <w:tcPr>
                  <w:tcW w:w="665" w:type="pct"/>
                  <w:vAlign w:val="center"/>
                </w:tcPr>
                <w:p>
                  <w:pPr>
                    <w:pStyle w:val="2"/>
                    <w:spacing w:before="0" w:after="0" w:line="400" w:lineRule="exact"/>
                    <w:jc w:val="center"/>
                    <w:outlineLvl w:val="0"/>
                    <w:rPr>
                      <w:rFonts w:ascii="Times New Roman" w:hAnsi="Times New Roman" w:cs="Times New Roman"/>
                      <w:b w:val="0"/>
                      <w:bCs w:val="0"/>
                      <w:sz w:val="21"/>
                      <w:szCs w:val="21"/>
                    </w:rPr>
                  </w:pPr>
                  <w:r>
                    <w:rPr>
                      <w:rFonts w:ascii="Times New Roman" w:hAnsi="Times New Roman" w:cs="Times New Roman"/>
                      <w:b w:val="0"/>
                      <w:bCs w:val="0"/>
                      <w:sz w:val="21"/>
                      <w:szCs w:val="21"/>
                    </w:rPr>
                    <w:t>覆盖度</w:t>
                  </w:r>
                </w:p>
              </w:tc>
              <w:tc>
                <w:tcPr>
                  <w:tcW w:w="1010" w:type="pct"/>
                  <w:vAlign w:val="center"/>
                </w:tcPr>
                <w:p>
                  <w:pPr>
                    <w:pStyle w:val="2"/>
                    <w:spacing w:before="0" w:after="0" w:line="400" w:lineRule="exact"/>
                    <w:jc w:val="center"/>
                    <w:outlineLvl w:val="0"/>
                    <w:rPr>
                      <w:rFonts w:ascii="Times New Roman" w:hAnsi="Times New Roman" w:cs="Times New Roman"/>
                      <w:b w:val="0"/>
                      <w:bCs w:val="0"/>
                      <w:sz w:val="21"/>
                      <w:szCs w:val="21"/>
                    </w:rPr>
                  </w:pPr>
                  <w:r>
                    <w:rPr>
                      <w:rFonts w:ascii="Times New Roman" w:hAnsi="Times New Roman" w:cs="Times New Roman"/>
                      <w:b w:val="0"/>
                      <w:bCs w:val="0"/>
                      <w:sz w:val="21"/>
                      <w:szCs w:val="21"/>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pct"/>
                  <w:vAlign w:val="center"/>
                </w:tcPr>
                <w:p>
                  <w:pPr>
                    <w:pStyle w:val="2"/>
                    <w:spacing w:before="0" w:after="0" w:line="400" w:lineRule="exact"/>
                    <w:jc w:val="center"/>
                    <w:outlineLvl w:val="0"/>
                    <w:rPr>
                      <w:rFonts w:ascii="Times New Roman" w:hAnsi="Times New Roman" w:cs="Times New Roman"/>
                      <w:b w:val="0"/>
                      <w:bCs w:val="0"/>
                      <w:sz w:val="21"/>
                      <w:szCs w:val="21"/>
                    </w:rPr>
                  </w:pPr>
                  <w:r>
                    <w:rPr>
                      <w:rFonts w:ascii="Times New Roman" w:hAnsi="Times New Roman" w:cs="Times New Roman"/>
                      <w:b w:val="0"/>
                      <w:bCs w:val="0"/>
                      <w:sz w:val="21"/>
                      <w:szCs w:val="21"/>
                    </w:rPr>
                    <w:t>田间</w:t>
                  </w:r>
                </w:p>
              </w:tc>
              <w:tc>
                <w:tcPr>
                  <w:tcW w:w="2694" w:type="pct"/>
                  <w:vAlign w:val="center"/>
                </w:tcPr>
                <w:p>
                  <w:pPr>
                    <w:pStyle w:val="2"/>
                    <w:spacing w:before="0" w:after="0" w:line="400" w:lineRule="exact"/>
                    <w:jc w:val="center"/>
                    <w:outlineLvl w:val="0"/>
                    <w:rPr>
                      <w:rFonts w:ascii="Times New Roman" w:hAnsi="Times New Roman" w:cs="Times New Roman"/>
                      <w:b w:val="0"/>
                      <w:bCs w:val="0"/>
                      <w:sz w:val="21"/>
                      <w:szCs w:val="21"/>
                    </w:rPr>
                  </w:pPr>
                  <w:r>
                    <w:rPr>
                      <w:rFonts w:ascii="Times New Roman" w:hAnsi="Times New Roman" w:eastAsia="宋体" w:cs="Times New Roman"/>
                      <w:b w:val="0"/>
                      <w:bCs w:val="0"/>
                      <w:sz w:val="21"/>
                      <w:szCs w:val="21"/>
                    </w:rPr>
                    <w:t>地形平缓，相对高差不大，</w:t>
                  </w:r>
                  <w:r>
                    <w:rPr>
                      <w:rFonts w:ascii="Times New Roman" w:hAnsi="Times New Roman" w:cs="Times New Roman"/>
                      <w:b w:val="0"/>
                      <w:bCs w:val="0"/>
                      <w:sz w:val="21"/>
                      <w:szCs w:val="21"/>
                    </w:rPr>
                    <w:t>田埂</w:t>
                  </w:r>
                  <w:r>
                    <w:rPr>
                      <w:rFonts w:hint="eastAsia" w:ascii="Times New Roman" w:hAnsi="Times New Roman" w:cs="Times New Roman"/>
                      <w:b w:val="0"/>
                      <w:bCs w:val="0"/>
                      <w:sz w:val="21"/>
                      <w:szCs w:val="21"/>
                      <w:lang w:eastAsia="zh-CN"/>
                    </w:rPr>
                    <w:t>便道</w:t>
                  </w:r>
                  <w:r>
                    <w:rPr>
                      <w:rFonts w:ascii="Times New Roman" w:hAnsi="Times New Roman" w:cs="Times New Roman"/>
                      <w:b w:val="0"/>
                      <w:bCs w:val="0"/>
                      <w:sz w:val="21"/>
                      <w:szCs w:val="21"/>
                    </w:rPr>
                    <w:t>两侧杂草丛生，主要由披碱草、</w:t>
                  </w:r>
                  <w:r>
                    <w:rPr>
                      <w:rFonts w:hint="eastAsia" w:ascii="Times New Roman" w:hAnsi="Times New Roman" w:cs="Times New Roman"/>
                      <w:b w:val="0"/>
                      <w:bCs w:val="0"/>
                      <w:sz w:val="21"/>
                      <w:szCs w:val="21"/>
                      <w:lang w:eastAsia="zh-CN"/>
                    </w:rPr>
                    <w:t>早熟禾</w:t>
                  </w:r>
                  <w:r>
                    <w:rPr>
                      <w:rFonts w:ascii="Times New Roman" w:hAnsi="Times New Roman" w:cs="Times New Roman"/>
                      <w:b w:val="0"/>
                      <w:bCs w:val="0"/>
                      <w:sz w:val="21"/>
                      <w:szCs w:val="21"/>
                    </w:rPr>
                    <w:t>等。</w:t>
                  </w:r>
                </w:p>
              </w:tc>
              <w:tc>
                <w:tcPr>
                  <w:tcW w:w="665" w:type="pct"/>
                  <w:vAlign w:val="center"/>
                </w:tcPr>
                <w:p>
                  <w:pPr>
                    <w:pStyle w:val="2"/>
                    <w:spacing w:before="0" w:after="0" w:line="400" w:lineRule="exact"/>
                    <w:jc w:val="center"/>
                    <w:outlineLvl w:val="0"/>
                    <w:rPr>
                      <w:rFonts w:ascii="Times New Roman" w:hAnsi="Times New Roman" w:cs="Times New Roman"/>
                      <w:b w:val="0"/>
                      <w:bCs w:val="0"/>
                      <w:sz w:val="21"/>
                      <w:szCs w:val="21"/>
                    </w:rPr>
                  </w:pPr>
                  <w:r>
                    <w:rPr>
                      <w:rFonts w:hint="eastAsia" w:ascii="Times New Roman" w:hAnsi="Times New Roman" w:cs="Times New Roman"/>
                      <w:b w:val="0"/>
                      <w:bCs w:val="0"/>
                      <w:sz w:val="21"/>
                      <w:szCs w:val="21"/>
                      <w:lang w:val="en-US" w:eastAsia="zh-CN"/>
                    </w:rPr>
                    <w:t>85</w:t>
                  </w:r>
                  <w:r>
                    <w:rPr>
                      <w:rFonts w:ascii="Times New Roman" w:hAnsi="Times New Roman" w:cs="Times New Roman"/>
                      <w:b w:val="0"/>
                      <w:bCs w:val="0"/>
                      <w:sz w:val="21"/>
                      <w:szCs w:val="21"/>
                    </w:rPr>
                    <w:t>%</w:t>
                  </w:r>
                </w:p>
              </w:tc>
              <w:tc>
                <w:tcPr>
                  <w:tcW w:w="1010" w:type="pct"/>
                  <w:vMerge w:val="restart"/>
                  <w:vAlign w:val="center"/>
                </w:tcPr>
                <w:p>
                  <w:pPr>
                    <w:widowControl w:val="0"/>
                    <w:spacing w:line="400" w:lineRule="exact"/>
                    <w:jc w:val="center"/>
                    <w:rPr>
                      <w:rFonts w:ascii="Times New Roman" w:hAnsi="Times New Roman" w:cs="Times New Roman"/>
                      <w:sz w:val="21"/>
                      <w:szCs w:val="21"/>
                    </w:rPr>
                  </w:pPr>
                  <w:r>
                    <w:rPr>
                      <w:rFonts w:ascii="Times New Roman" w:hAnsi="Times New Roman" w:cs="Times New Roman"/>
                      <w:sz w:val="21"/>
                      <w:szCs w:val="21"/>
                    </w:rPr>
                    <w:t>尽可能按植被覆盖度较高的标准进行植被恢复，至少确保与周边环境相一致。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pct"/>
                  <w:vAlign w:val="center"/>
                </w:tcPr>
                <w:p>
                  <w:pPr>
                    <w:pStyle w:val="2"/>
                    <w:spacing w:before="0" w:after="0" w:line="400" w:lineRule="exact"/>
                    <w:jc w:val="center"/>
                    <w:outlineLvl w:val="0"/>
                    <w:rPr>
                      <w:rFonts w:ascii="Times New Roman" w:hAnsi="Times New Roman" w:cs="Times New Roman"/>
                      <w:b w:val="0"/>
                      <w:bCs w:val="0"/>
                      <w:sz w:val="21"/>
                      <w:szCs w:val="21"/>
                    </w:rPr>
                  </w:pPr>
                  <w:r>
                    <w:rPr>
                      <w:rFonts w:ascii="Times New Roman" w:hAnsi="Times New Roman" w:cs="Times New Roman"/>
                      <w:b w:val="0"/>
                      <w:bCs w:val="0"/>
                      <w:sz w:val="21"/>
                      <w:szCs w:val="21"/>
                    </w:rPr>
                    <w:t>其他用地（</w:t>
                  </w:r>
                  <w:r>
                    <w:rPr>
                      <w:rFonts w:hint="eastAsia" w:ascii="Times New Roman" w:hAnsi="Times New Roman" w:cs="Times New Roman"/>
                      <w:b w:val="0"/>
                      <w:bCs w:val="0"/>
                      <w:sz w:val="21"/>
                      <w:szCs w:val="21"/>
                      <w:lang w:eastAsia="zh-CN"/>
                    </w:rPr>
                    <w:t>荒草地</w:t>
                  </w:r>
                  <w:r>
                    <w:rPr>
                      <w:rFonts w:ascii="Times New Roman" w:hAnsi="Times New Roman" w:cs="Times New Roman"/>
                      <w:b w:val="0"/>
                      <w:bCs w:val="0"/>
                      <w:sz w:val="21"/>
                      <w:szCs w:val="21"/>
                    </w:rPr>
                    <w:t>）</w:t>
                  </w:r>
                </w:p>
              </w:tc>
              <w:tc>
                <w:tcPr>
                  <w:tcW w:w="2694" w:type="pct"/>
                  <w:vAlign w:val="center"/>
                </w:tcPr>
                <w:p>
                  <w:pPr>
                    <w:pStyle w:val="2"/>
                    <w:spacing w:before="0" w:after="0" w:line="400" w:lineRule="exact"/>
                    <w:jc w:val="center"/>
                    <w:outlineLvl w:val="0"/>
                    <w:rPr>
                      <w:rFonts w:ascii="Times New Roman" w:hAnsi="Times New Roman" w:cs="Times New Roman"/>
                      <w:b w:val="0"/>
                      <w:bCs w:val="0"/>
                      <w:sz w:val="21"/>
                      <w:szCs w:val="21"/>
                    </w:rPr>
                  </w:pPr>
                  <w:r>
                    <w:rPr>
                      <w:rFonts w:ascii="Times New Roman" w:hAnsi="Times New Roman" w:eastAsia="宋体" w:cs="Times New Roman"/>
                      <w:b w:val="0"/>
                      <w:bCs w:val="0"/>
                      <w:sz w:val="21"/>
                      <w:szCs w:val="21"/>
                    </w:rPr>
                    <w:t>地形平缓，相对高差不大，</w:t>
                  </w:r>
                  <w:r>
                    <w:rPr>
                      <w:rFonts w:ascii="Times New Roman" w:hAnsi="Times New Roman" w:cs="Times New Roman"/>
                      <w:b w:val="0"/>
                      <w:bCs w:val="0"/>
                      <w:sz w:val="21"/>
                      <w:szCs w:val="21"/>
                    </w:rPr>
                    <w:t>部分区域属于</w:t>
                  </w:r>
                  <w:r>
                    <w:rPr>
                      <w:rFonts w:hint="eastAsia" w:ascii="Times New Roman" w:hAnsi="Times New Roman" w:cs="Times New Roman"/>
                      <w:b w:val="0"/>
                      <w:bCs w:val="0"/>
                      <w:sz w:val="21"/>
                      <w:szCs w:val="21"/>
                      <w:lang w:val="en-US" w:eastAsia="zh-CN"/>
                    </w:rPr>
                    <w:t>粟钙土</w:t>
                  </w:r>
                </w:p>
                <w:p>
                  <w:pPr>
                    <w:pStyle w:val="2"/>
                    <w:spacing w:before="0" w:after="0" w:line="400" w:lineRule="exact"/>
                    <w:jc w:val="center"/>
                    <w:outlineLvl w:val="0"/>
                    <w:rPr>
                      <w:rFonts w:ascii="Times New Roman" w:hAnsi="Times New Roman" w:cs="Times New Roman"/>
                      <w:b w:val="0"/>
                      <w:bCs w:val="0"/>
                      <w:sz w:val="21"/>
                      <w:szCs w:val="21"/>
                    </w:rPr>
                  </w:pPr>
                  <w:r>
                    <w:rPr>
                      <w:rFonts w:ascii="Times New Roman" w:hAnsi="Times New Roman" w:cs="Times New Roman"/>
                      <w:b w:val="0"/>
                      <w:bCs w:val="0"/>
                      <w:sz w:val="21"/>
                      <w:szCs w:val="21"/>
                    </w:rPr>
                    <w:t>，部分区域为</w:t>
                  </w:r>
                  <w:r>
                    <w:rPr>
                      <w:rFonts w:hint="eastAsia" w:ascii="Times New Roman" w:hAnsi="Times New Roman" w:cs="Times New Roman"/>
                      <w:b w:val="0"/>
                      <w:bCs w:val="0"/>
                      <w:sz w:val="21"/>
                      <w:szCs w:val="21"/>
                      <w:lang w:eastAsia="zh-CN"/>
                    </w:rPr>
                    <w:t>自然山体</w:t>
                  </w:r>
                  <w:r>
                    <w:rPr>
                      <w:rFonts w:ascii="Times New Roman" w:hAnsi="Times New Roman" w:cs="Times New Roman"/>
                      <w:b w:val="0"/>
                      <w:bCs w:val="0"/>
                      <w:sz w:val="21"/>
                      <w:szCs w:val="21"/>
                    </w:rPr>
                    <w:t>，以披碱草、</w:t>
                  </w:r>
                  <w:r>
                    <w:rPr>
                      <w:rFonts w:hint="eastAsia" w:ascii="Times New Roman" w:hAnsi="Times New Roman" w:cs="Times New Roman"/>
                      <w:b w:val="0"/>
                      <w:bCs w:val="0"/>
                      <w:sz w:val="21"/>
                      <w:szCs w:val="21"/>
                      <w:lang w:eastAsia="zh-CN"/>
                    </w:rPr>
                    <w:t>早熟禾为主</w:t>
                  </w:r>
                  <w:r>
                    <w:rPr>
                      <w:rFonts w:ascii="Times New Roman" w:hAnsi="Times New Roman" w:cs="Times New Roman"/>
                      <w:b w:val="0"/>
                      <w:bCs w:val="0"/>
                      <w:sz w:val="21"/>
                      <w:szCs w:val="21"/>
                    </w:rPr>
                    <w:t>。</w:t>
                  </w:r>
                </w:p>
              </w:tc>
              <w:tc>
                <w:tcPr>
                  <w:tcW w:w="665" w:type="pct"/>
                  <w:vAlign w:val="center"/>
                </w:tcPr>
                <w:p>
                  <w:pPr>
                    <w:pStyle w:val="2"/>
                    <w:spacing w:before="0" w:after="0" w:line="400" w:lineRule="exact"/>
                    <w:jc w:val="center"/>
                    <w:outlineLvl w:val="0"/>
                    <w:rPr>
                      <w:rFonts w:ascii="Times New Roman" w:hAnsi="Times New Roman" w:cs="Times New Roman"/>
                      <w:b w:val="0"/>
                      <w:bCs w:val="0"/>
                      <w:sz w:val="21"/>
                      <w:szCs w:val="21"/>
                    </w:rPr>
                  </w:pPr>
                  <w:r>
                    <w:rPr>
                      <w:rFonts w:hint="eastAsia" w:ascii="Times New Roman" w:hAnsi="Times New Roman" w:cs="Times New Roman"/>
                      <w:b w:val="0"/>
                      <w:bCs w:val="0"/>
                      <w:sz w:val="21"/>
                      <w:szCs w:val="21"/>
                      <w:lang w:val="en-US" w:eastAsia="zh-CN"/>
                    </w:rPr>
                    <w:t>45</w:t>
                  </w:r>
                  <w:r>
                    <w:rPr>
                      <w:rFonts w:ascii="Times New Roman" w:hAnsi="Times New Roman" w:cs="Times New Roman"/>
                      <w:b w:val="0"/>
                      <w:bCs w:val="0"/>
                      <w:sz w:val="21"/>
                      <w:szCs w:val="21"/>
                    </w:rPr>
                    <w:t>%-</w:t>
                  </w:r>
                  <w:r>
                    <w:rPr>
                      <w:rFonts w:hint="eastAsia" w:ascii="Times New Roman" w:hAnsi="Times New Roman" w:cs="Times New Roman"/>
                      <w:b w:val="0"/>
                      <w:bCs w:val="0"/>
                      <w:sz w:val="21"/>
                      <w:szCs w:val="21"/>
                      <w:lang w:val="en-US" w:eastAsia="zh-CN"/>
                    </w:rPr>
                    <w:t>7</w:t>
                  </w:r>
                  <w:r>
                    <w:rPr>
                      <w:rFonts w:ascii="Times New Roman" w:hAnsi="Times New Roman" w:cs="Times New Roman"/>
                      <w:b w:val="0"/>
                      <w:bCs w:val="0"/>
                      <w:sz w:val="21"/>
                      <w:szCs w:val="21"/>
                    </w:rPr>
                    <w:t>5%</w:t>
                  </w:r>
                </w:p>
              </w:tc>
              <w:tc>
                <w:tcPr>
                  <w:tcW w:w="1010" w:type="pct"/>
                  <w:vMerge w:val="continue"/>
                  <w:vAlign w:val="center"/>
                </w:tcPr>
                <w:p>
                  <w:pPr>
                    <w:pStyle w:val="2"/>
                    <w:spacing w:before="0" w:after="0" w:line="400" w:lineRule="exact"/>
                    <w:jc w:val="center"/>
                    <w:outlineLvl w:val="0"/>
                    <w:rPr>
                      <w:rFonts w:ascii="Times New Roman" w:hAnsi="Times New Roman" w:cs="Times New Roman"/>
                      <w:b w:val="0"/>
                      <w:bCs w:val="0"/>
                      <w:sz w:val="21"/>
                      <w:szCs w:val="21"/>
                    </w:rPr>
                  </w:pPr>
                </w:p>
              </w:tc>
            </w:tr>
          </w:tbl>
          <w:p>
            <w:pPr>
              <w:pStyle w:val="3"/>
            </w:pPr>
            <w:r>
              <w:rPr>
                <w:rFonts w:hint="eastAsia"/>
              </w:rPr>
              <w:t>5污染物排放标准</w:t>
            </w:r>
          </w:p>
          <w:p>
            <w:pPr>
              <w:pStyle w:val="4"/>
            </w:pPr>
            <w:r>
              <w:rPr>
                <w:rFonts w:hint="eastAsia"/>
              </w:rPr>
              <w:t>5.1</w:t>
            </w:r>
            <w:r>
              <w:t>废气</w:t>
            </w:r>
          </w:p>
          <w:p>
            <w:pPr>
              <w:pStyle w:val="13"/>
              <w:ind w:firstLine="480"/>
            </w:pPr>
            <w:r>
              <w:rPr>
                <w:rFonts w:hint="eastAsia"/>
              </w:rPr>
              <w:t>项目施工期扬尘排放执行《大气污染物综合排放标准》（GB16297-96）表2中标准，本项目大气污染物排放标准见表3.6。</w:t>
            </w:r>
          </w:p>
          <w:p>
            <w:pPr>
              <w:pStyle w:val="21"/>
            </w:pPr>
            <w:r>
              <w:rPr>
                <w:rFonts w:hint="eastAsia"/>
              </w:rPr>
              <w:t>表3.6   大气污染物排放标准</w:t>
            </w:r>
          </w:p>
          <w:tbl>
            <w:tblPr>
              <w:tblStyle w:val="1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9"/>
              <w:gridCol w:w="2674"/>
              <w:gridCol w:w="4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pct"/>
                  <w:vMerge w:val="restart"/>
                  <w:vAlign w:val="center"/>
                </w:tcPr>
                <w:p>
                  <w:pPr>
                    <w:pStyle w:val="20"/>
                    <w:widowControl w:val="0"/>
                  </w:pPr>
                  <w:r>
                    <w:rPr>
                      <w:rFonts w:hint="eastAsia"/>
                    </w:rPr>
                    <w:t>污染物</w:t>
                  </w:r>
                </w:p>
              </w:tc>
              <w:tc>
                <w:tcPr>
                  <w:tcW w:w="3744" w:type="pct"/>
                  <w:gridSpan w:val="2"/>
                  <w:vAlign w:val="center"/>
                </w:tcPr>
                <w:p>
                  <w:pPr>
                    <w:pStyle w:val="20"/>
                    <w:widowControl w:val="0"/>
                  </w:pPr>
                  <w:r>
                    <w:rPr>
                      <w:rFonts w:hint="eastAsia"/>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pct"/>
                  <w:vMerge w:val="continue"/>
                  <w:vAlign w:val="center"/>
                </w:tcPr>
                <w:p>
                  <w:pPr>
                    <w:pStyle w:val="20"/>
                    <w:widowControl w:val="0"/>
                  </w:pPr>
                </w:p>
              </w:tc>
              <w:tc>
                <w:tcPr>
                  <w:tcW w:w="1441" w:type="pct"/>
                  <w:vAlign w:val="center"/>
                </w:tcPr>
                <w:p>
                  <w:pPr>
                    <w:pStyle w:val="20"/>
                    <w:widowControl w:val="0"/>
                  </w:pPr>
                  <w:r>
                    <w:rPr>
                      <w:rFonts w:hint="eastAsia"/>
                    </w:rPr>
                    <w:t>监控点</w:t>
                  </w:r>
                </w:p>
              </w:tc>
              <w:tc>
                <w:tcPr>
                  <w:tcW w:w="2303" w:type="pct"/>
                  <w:vAlign w:val="center"/>
                </w:tcPr>
                <w:p>
                  <w:pPr>
                    <w:pStyle w:val="20"/>
                    <w:widowControl w:val="0"/>
                  </w:pPr>
                  <w:r>
                    <w:rPr>
                      <w:rFonts w:hint="eastAsia"/>
                    </w:rPr>
                    <w:t>浓度（mg/m</w:t>
                  </w:r>
                  <w:r>
                    <w:rPr>
                      <w:rFonts w:hint="eastAsia"/>
                      <w:vertAlign w:val="superscript"/>
                    </w:rPr>
                    <w:t>3</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55" w:type="pct"/>
                  <w:vAlign w:val="center"/>
                </w:tcPr>
                <w:p>
                  <w:pPr>
                    <w:pStyle w:val="20"/>
                    <w:widowControl w:val="0"/>
                  </w:pPr>
                  <w:r>
                    <w:rPr>
                      <w:rFonts w:hint="eastAsia"/>
                    </w:rPr>
                    <w:t>颗粒物</w:t>
                  </w:r>
                </w:p>
              </w:tc>
              <w:tc>
                <w:tcPr>
                  <w:tcW w:w="1441" w:type="pct"/>
                  <w:vAlign w:val="center"/>
                </w:tcPr>
                <w:p>
                  <w:pPr>
                    <w:pStyle w:val="20"/>
                    <w:widowControl w:val="0"/>
                  </w:pPr>
                  <w:r>
                    <w:rPr>
                      <w:rFonts w:hint="eastAsia"/>
                    </w:rPr>
                    <w:t>周界外浓度最高点</w:t>
                  </w:r>
                </w:p>
              </w:tc>
              <w:tc>
                <w:tcPr>
                  <w:tcW w:w="2303" w:type="pct"/>
                  <w:vAlign w:val="center"/>
                </w:tcPr>
                <w:p>
                  <w:pPr>
                    <w:pStyle w:val="20"/>
                    <w:widowControl w:val="0"/>
                  </w:pPr>
                  <w:r>
                    <w:rPr>
                      <w:rFonts w:hint="eastAsia"/>
                    </w:rPr>
                    <w:t>1.0</w:t>
                  </w:r>
                </w:p>
              </w:tc>
            </w:tr>
          </w:tbl>
          <w:p>
            <w:pPr>
              <w:pStyle w:val="4"/>
            </w:pPr>
            <w:r>
              <w:rPr>
                <w:rFonts w:hint="eastAsia"/>
              </w:rPr>
              <w:t>5.2</w:t>
            </w:r>
            <w:r>
              <w:t>噪声</w:t>
            </w:r>
          </w:p>
          <w:p>
            <w:pPr>
              <w:ind w:firstLine="480" w:firstLineChars="200"/>
            </w:pPr>
            <w:r>
              <w:rPr>
                <w:rFonts w:hint="eastAsia"/>
              </w:rPr>
              <w:t>建筑施工期噪声执行《建筑施工场界环境噪声排放标准》（</w:t>
            </w:r>
            <w:r>
              <w:t>GB12523-2011</w:t>
            </w:r>
            <w:r>
              <w:rPr>
                <w:rFonts w:hint="eastAsia"/>
              </w:rPr>
              <w:t>）相应限值，标准值见表3.7。</w:t>
            </w:r>
          </w:p>
          <w:p>
            <w:pPr>
              <w:pStyle w:val="21"/>
            </w:pPr>
            <w:r>
              <w:rPr>
                <w:rFonts w:hint="eastAsia"/>
              </w:rPr>
              <w:t>表3.7环境噪声排放标准限值单位：</w:t>
            </w:r>
            <w:r>
              <w:t>dB(A)</w:t>
            </w:r>
          </w:p>
          <w:tbl>
            <w:tblPr>
              <w:tblStyle w:val="1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83"/>
              <w:gridCol w:w="1599"/>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77" w:type="pct"/>
                  <w:tcBorders>
                    <w:bottom w:val="single" w:color="auto" w:sz="4" w:space="0"/>
                    <w:right w:val="single" w:color="auto" w:sz="4" w:space="0"/>
                  </w:tcBorders>
                  <w:vAlign w:val="center"/>
                </w:tcPr>
                <w:p>
                  <w:pPr>
                    <w:pStyle w:val="20"/>
                  </w:pPr>
                  <w:r>
                    <w:rPr>
                      <w:rFonts w:hint="eastAsia"/>
                    </w:rPr>
                    <w:t>标准名称</w:t>
                  </w:r>
                </w:p>
              </w:tc>
              <w:tc>
                <w:tcPr>
                  <w:tcW w:w="861" w:type="pct"/>
                  <w:tcBorders>
                    <w:left w:val="single" w:color="auto" w:sz="4" w:space="0"/>
                    <w:bottom w:val="single" w:color="auto" w:sz="4" w:space="0"/>
                    <w:right w:val="single" w:color="auto" w:sz="4" w:space="0"/>
                  </w:tcBorders>
                  <w:vAlign w:val="center"/>
                </w:tcPr>
                <w:p>
                  <w:pPr>
                    <w:pStyle w:val="20"/>
                  </w:pPr>
                  <w:r>
                    <w:rPr>
                      <w:rFonts w:hint="eastAsia"/>
                    </w:rPr>
                    <w:t>昼间</w:t>
                  </w:r>
                </w:p>
              </w:tc>
              <w:tc>
                <w:tcPr>
                  <w:tcW w:w="861" w:type="pct"/>
                  <w:tcBorders>
                    <w:left w:val="single" w:color="auto" w:sz="4" w:space="0"/>
                    <w:bottom w:val="single" w:color="auto" w:sz="4" w:space="0"/>
                  </w:tcBorders>
                  <w:vAlign w:val="center"/>
                </w:tcPr>
                <w:p>
                  <w:pPr>
                    <w:pStyle w:val="20"/>
                  </w:pPr>
                  <w:r>
                    <w:rPr>
                      <w:rFonts w:hint="eastAsia"/>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77" w:type="pct"/>
                  <w:tcBorders>
                    <w:top w:val="single" w:color="auto" w:sz="4" w:space="0"/>
                    <w:right w:val="single" w:color="auto" w:sz="4" w:space="0"/>
                  </w:tcBorders>
                  <w:vAlign w:val="center"/>
                </w:tcPr>
                <w:p>
                  <w:pPr>
                    <w:pStyle w:val="20"/>
                  </w:pPr>
                  <w:r>
                    <w:rPr>
                      <w:rFonts w:hint="eastAsia"/>
                    </w:rPr>
                    <w:t>《建筑施工场界环境噪声排放标准》</w:t>
                  </w:r>
                  <w:r>
                    <w:t>(GB12523-2011)</w:t>
                  </w:r>
                </w:p>
              </w:tc>
              <w:tc>
                <w:tcPr>
                  <w:tcW w:w="861" w:type="pct"/>
                  <w:tcBorders>
                    <w:top w:val="single" w:color="auto" w:sz="4" w:space="0"/>
                    <w:left w:val="single" w:color="auto" w:sz="4" w:space="0"/>
                    <w:right w:val="single" w:color="auto" w:sz="4" w:space="0"/>
                  </w:tcBorders>
                  <w:vAlign w:val="center"/>
                </w:tcPr>
                <w:p>
                  <w:pPr>
                    <w:pStyle w:val="20"/>
                  </w:pPr>
                  <w:r>
                    <w:t>70</w:t>
                  </w:r>
                </w:p>
              </w:tc>
              <w:tc>
                <w:tcPr>
                  <w:tcW w:w="861" w:type="pct"/>
                  <w:tcBorders>
                    <w:top w:val="single" w:color="auto" w:sz="4" w:space="0"/>
                    <w:left w:val="single" w:color="auto" w:sz="4" w:space="0"/>
                  </w:tcBorders>
                  <w:vAlign w:val="center"/>
                </w:tcPr>
                <w:p>
                  <w:pPr>
                    <w:pStyle w:val="20"/>
                  </w:pPr>
                  <w:r>
                    <w:t>55</w:t>
                  </w:r>
                </w:p>
              </w:tc>
            </w:tr>
          </w:tbl>
          <w:p>
            <w:pPr>
              <w:pStyle w:val="4"/>
            </w:pPr>
            <w:r>
              <w:rPr>
                <w:rFonts w:hint="eastAsia"/>
              </w:rPr>
              <w:t>5.3固体废物</w:t>
            </w:r>
          </w:p>
          <w:p>
            <w:pPr>
              <w:pStyle w:val="13"/>
              <w:ind w:firstLine="480"/>
            </w:pPr>
            <w:r>
              <w:rPr>
                <w:rFonts w:hint="eastAsia"/>
              </w:rPr>
              <w:t>一般固废执行</w:t>
            </w:r>
            <w:r>
              <w:rPr>
                <w:rFonts w:hint="eastAsia"/>
                <w:lang w:eastAsia="zh-CN"/>
              </w:rPr>
              <w:t>《一般工业固体废物贮存和填埋污染控制标准》（GB18599-2020）</w:t>
            </w:r>
            <w:r>
              <w:rPr>
                <w:rFonts w:hint="eastAsia"/>
              </w:rPr>
              <w:t>中的有关规定。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vAlign w:val="center"/>
          </w:tcPr>
          <w:p>
            <w:pPr>
              <w:jc w:val="center"/>
            </w:pPr>
            <w:r>
              <w:rPr>
                <w:rFonts w:hint="eastAsia"/>
              </w:rPr>
              <w:t>其他</w:t>
            </w:r>
          </w:p>
        </w:tc>
        <w:tc>
          <w:tcPr>
            <w:tcW w:w="4611" w:type="pct"/>
            <w:vAlign w:val="center"/>
          </w:tcPr>
          <w:p>
            <w:pPr>
              <w:pStyle w:val="13"/>
              <w:ind w:firstLine="480"/>
            </w:pPr>
            <w:r>
              <w:t>项目</w:t>
            </w:r>
            <w:r>
              <w:rPr>
                <w:rFonts w:hint="eastAsia"/>
              </w:rPr>
              <w:t>运营期不涉及COD、氨氮、</w:t>
            </w:r>
            <w:r>
              <w:t>二氧化硫</w:t>
            </w:r>
            <w:r>
              <w:rPr>
                <w:rFonts w:hint="eastAsia"/>
              </w:rPr>
              <w:t>、</w:t>
            </w:r>
            <w:r>
              <w:t>氮氧化物</w:t>
            </w:r>
            <w:r>
              <w:rPr>
                <w:rFonts w:hint="eastAsia"/>
              </w:rPr>
              <w:t>、挥发性有机物等污染物的排放，因此本项目无需设置总量控制指标。</w:t>
            </w:r>
            <w:bookmarkStart w:id="18" w:name="_GoBack"/>
            <w:bookmarkEnd w:id="18"/>
          </w:p>
        </w:tc>
      </w:tr>
    </w:tbl>
    <w:p>
      <w:r>
        <w:rPr>
          <w:rFonts w:hint="eastAsia"/>
        </w:rPr>
        <w:br w:type="page"/>
      </w:r>
    </w:p>
    <w:p>
      <w:pPr>
        <w:pStyle w:val="2"/>
        <w:rPr>
          <w:color w:val="auto"/>
        </w:rPr>
      </w:pPr>
      <w:r>
        <w:rPr>
          <w:rFonts w:hint="eastAsia"/>
          <w:color w:val="auto"/>
        </w:rPr>
        <w:t>四、生态环境影响分析</w:t>
      </w:r>
    </w:p>
    <w:tbl>
      <w:tblPr>
        <w:tblStyle w:val="14"/>
        <w:tblW w:w="508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92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tcMar>
              <w:left w:w="28" w:type="dxa"/>
              <w:right w:w="28" w:type="dxa"/>
            </w:tcMar>
            <w:vAlign w:val="center"/>
          </w:tcPr>
          <w:p>
            <w:pPr>
              <w:jc w:val="center"/>
            </w:pPr>
            <w:bookmarkStart w:id="17" w:name="_Hlk49796138"/>
            <w:r>
              <w:rPr>
                <w:rFonts w:hint="eastAsia"/>
              </w:rPr>
              <w:t>施工期生态环境影响分析</w:t>
            </w:r>
            <w:bookmarkEnd w:id="17"/>
          </w:p>
        </w:tc>
        <w:tc>
          <w:tcPr>
            <w:tcW w:w="4618" w:type="pct"/>
          </w:tcPr>
          <w:p>
            <w:pPr>
              <w:pStyle w:val="3"/>
            </w:pPr>
            <w:r>
              <w:rPr>
                <w:rFonts w:hint="eastAsia"/>
              </w:rPr>
              <w:t>1施工期生态环境影响分析</w:t>
            </w:r>
          </w:p>
          <w:p>
            <w:pPr>
              <w:pStyle w:val="13"/>
              <w:ind w:firstLine="480"/>
            </w:pPr>
            <w:r>
              <w:rPr>
                <w:rFonts w:hint="eastAsia"/>
              </w:rPr>
              <w:t>项目所在区域不属于自然保护区、饮用水水源保护地等环境敏感区域，未发现国家和省级保护物种和珍稀濒危动植物物种，项目引水口所涉及河段生态环境相对简单，根据项目特点，结合现场踏勘情况，项目施工期主要生态影响在陆生生态方面主要表现为土地占压、植被破坏、对野生动物的影响，水生生态方面主要表现为对河流水生生物和河道底栖动物的影响</w:t>
            </w:r>
            <w:r>
              <w:rPr>
                <w:rFonts w:hint="eastAsia"/>
                <w:lang w:eastAsia="zh-CN"/>
              </w:rPr>
              <w:t>，</w:t>
            </w:r>
            <w:r>
              <w:rPr>
                <w:rFonts w:hint="eastAsia"/>
                <w:lang w:val="en-US" w:eastAsia="zh-CN"/>
              </w:rPr>
              <w:t>本项目施工区和影响区不涉及生态环境敏感保护目标</w:t>
            </w:r>
            <w:r>
              <w:rPr>
                <w:rFonts w:hint="eastAsia"/>
              </w:rPr>
              <w:t>。</w:t>
            </w:r>
          </w:p>
          <w:p>
            <w:pPr>
              <w:pStyle w:val="4"/>
            </w:pPr>
            <w:r>
              <w:rPr>
                <w:rFonts w:hint="eastAsia"/>
              </w:rPr>
              <w:t>1.1施工期陆生生态影响分析</w:t>
            </w:r>
          </w:p>
          <w:p>
            <w:pPr>
              <w:pStyle w:val="13"/>
              <w:ind w:firstLine="480"/>
            </w:pPr>
            <w:r>
              <w:rPr>
                <w:rFonts w:hint="eastAsia"/>
              </w:rPr>
              <w:t>项目工程施工过程中会对工程沿线土地造成压占，因施工中的机械碾压、施工人员践踏、土方挖填等原因，使工程沿线土壤的理化性质、土壤结构都受到较大影响。</w:t>
            </w:r>
          </w:p>
          <w:p>
            <w:pPr>
              <w:pStyle w:val="13"/>
              <w:ind w:firstLine="480"/>
              <w:rPr>
                <w:b/>
                <w:bCs/>
              </w:rPr>
            </w:pPr>
            <w:r>
              <w:rPr>
                <w:rFonts w:hint="eastAsia"/>
              </w:rPr>
              <w:t>土地占压包括永久占地和临时占地两部分。</w:t>
            </w:r>
            <w:r>
              <w:t>永久占地主要建筑为引水口、渡槽基础、阀门井等，永久占地面积</w:t>
            </w:r>
            <w:r>
              <w:rPr>
                <w:rFonts w:hint="eastAsia"/>
              </w:rPr>
              <w:t>0.02hm</w:t>
            </w:r>
            <w:r>
              <w:rPr>
                <w:rFonts w:hint="eastAsia"/>
                <w:vertAlign w:val="superscript"/>
              </w:rPr>
              <w:t>2</w:t>
            </w:r>
            <w:r>
              <w:t>，占地类型为</w:t>
            </w:r>
            <w:r>
              <w:rPr>
                <w:rFonts w:hint="eastAsia"/>
              </w:rPr>
              <w:t>荒草地</w:t>
            </w:r>
            <w:r>
              <w:t>及荒</w:t>
            </w:r>
            <w:r>
              <w:rPr>
                <w:rFonts w:hint="eastAsia"/>
              </w:rPr>
              <w:t>滩</w:t>
            </w:r>
            <w:r>
              <w:t>地</w:t>
            </w:r>
            <w:r>
              <w:rPr>
                <w:rFonts w:hint="eastAsia"/>
              </w:rPr>
              <w:t>。</w:t>
            </w:r>
            <w:r>
              <w:t>临时占地</w:t>
            </w:r>
            <w:r>
              <w:rPr>
                <w:rFonts w:hint="eastAsia"/>
              </w:rPr>
              <w:t>约</w:t>
            </w:r>
            <w:r>
              <w:t>为</w:t>
            </w:r>
            <w:r>
              <w:rPr>
                <w:rFonts w:hint="eastAsia"/>
              </w:rPr>
              <w:t>1.63hm</w:t>
            </w:r>
            <w:r>
              <w:rPr>
                <w:rFonts w:hint="eastAsia"/>
                <w:vertAlign w:val="superscript"/>
              </w:rPr>
              <w:t>2</w:t>
            </w:r>
            <w:r>
              <w:t>，</w:t>
            </w:r>
            <w:r>
              <w:rPr>
                <w:rFonts w:hint="eastAsia"/>
              </w:rPr>
              <w:t>其中项目引水口、阀门井、出水池、退水渠、防冲坝等工程施工临时占地面积约为0.1hm</w:t>
            </w:r>
            <w:r>
              <w:rPr>
                <w:rFonts w:hint="eastAsia"/>
                <w:vertAlign w:val="superscript"/>
              </w:rPr>
              <w:t>2</w:t>
            </w:r>
            <w:r>
              <w:rPr>
                <w:rFonts w:hint="eastAsia"/>
              </w:rPr>
              <w:t>，工程管沟开挖临时占地面积约1.33hm</w:t>
            </w:r>
            <w:r>
              <w:rPr>
                <w:rFonts w:hint="eastAsia"/>
                <w:vertAlign w:val="superscript"/>
              </w:rPr>
              <w:t>2</w:t>
            </w:r>
            <w:r>
              <w:rPr>
                <w:rFonts w:hint="eastAsia"/>
              </w:rPr>
              <w:t>，</w:t>
            </w:r>
            <w:r>
              <w:t>占地类型</w:t>
            </w:r>
            <w:r>
              <w:rPr>
                <w:rFonts w:hint="eastAsia"/>
              </w:rPr>
              <w:t>均</w:t>
            </w:r>
            <w:r>
              <w:t>为</w:t>
            </w:r>
            <w:r>
              <w:rPr>
                <w:rFonts w:hint="eastAsia"/>
              </w:rPr>
              <w:t>荒草地；施工营地临时占地面积约为0.2hm</w:t>
            </w:r>
            <w:r>
              <w:rPr>
                <w:rFonts w:hint="eastAsia"/>
                <w:vertAlign w:val="superscript"/>
              </w:rPr>
              <w:t>2</w:t>
            </w:r>
            <w:r>
              <w:rPr>
                <w:rFonts w:hint="eastAsia"/>
              </w:rPr>
              <w:t>，占地类型为荒地</w:t>
            </w:r>
            <w:r>
              <w:t>。</w:t>
            </w:r>
          </w:p>
          <w:p>
            <w:pPr>
              <w:pStyle w:val="13"/>
              <w:numPr>
                <w:ilvl w:val="0"/>
                <w:numId w:val="3"/>
              </w:numPr>
              <w:ind w:firstLineChars="0"/>
            </w:pPr>
            <w:r>
              <w:rPr>
                <w:rFonts w:hint="eastAsia"/>
              </w:rPr>
              <w:t>工程对土地利用类型的影响</w:t>
            </w:r>
          </w:p>
          <w:p>
            <w:pPr>
              <w:ind w:firstLine="480" w:firstLineChars="200"/>
            </w:pPr>
            <w:r>
              <w:rPr>
                <w:rFonts w:hint="eastAsia"/>
              </w:rPr>
              <w:t>①永久工程</w:t>
            </w:r>
          </w:p>
          <w:p>
            <w:pPr>
              <w:ind w:firstLine="480" w:firstLineChars="200"/>
            </w:pPr>
            <w:r>
              <w:rPr>
                <w:rFonts w:hint="eastAsia"/>
              </w:rPr>
              <w:t>本工程修建时永久占地主要建筑为引水口、渡槽基础、阀门井等，占地面积0.02hm</w:t>
            </w:r>
            <w:r>
              <w:rPr>
                <w:rFonts w:hint="eastAsia"/>
                <w:vertAlign w:val="superscript"/>
              </w:rPr>
              <w:t>2，</w:t>
            </w:r>
            <w:r>
              <w:rPr>
                <w:rFonts w:hint="eastAsia"/>
              </w:rPr>
              <w:t>项目永久占地为原址新建，对生态环境影响较小。</w:t>
            </w:r>
          </w:p>
          <w:p>
            <w:pPr>
              <w:ind w:firstLine="480" w:firstLineChars="200"/>
            </w:pPr>
            <w:r>
              <w:rPr>
                <w:rFonts w:hint="eastAsia"/>
              </w:rPr>
              <w:t>②施工营地</w:t>
            </w:r>
          </w:p>
          <w:p>
            <w:pPr>
              <w:pStyle w:val="13"/>
              <w:ind w:firstLine="480"/>
            </w:pPr>
            <w:r>
              <w:rPr>
                <w:rFonts w:hint="eastAsia"/>
              </w:rPr>
              <w:t>项目施工营地设于村内现有空地，土地类型为荒地，场地现状为砂石地面，可以有效避免占用草地或林地，便于施工管理。</w:t>
            </w:r>
          </w:p>
          <w:p>
            <w:pPr>
              <w:pStyle w:val="13"/>
              <w:ind w:firstLine="480"/>
            </w:pPr>
            <w:r>
              <w:rPr>
                <w:rFonts w:hint="eastAsia"/>
              </w:rPr>
              <w:t>③临时便道</w:t>
            </w:r>
          </w:p>
          <w:p>
            <w:pPr>
              <w:pStyle w:val="13"/>
              <w:ind w:firstLine="480"/>
            </w:pPr>
            <w:r>
              <w:rPr>
                <w:rFonts w:hint="eastAsia"/>
              </w:rPr>
              <w:t>项目施工临时便道在工程管沟施工作业带范围内设置，即利用工程现有便道，仅对沿线因洪水冲刷塌方路段及安全施工作业宽度不足路段进行平整，工程不新设施工便道，以避免增加施工临时占地面积。项目工程管道及其他构筑物施工临时占地也均位于工程沿线，项目开挖土方沿工程沿线暂存，不单独设置堆土场。</w:t>
            </w:r>
          </w:p>
          <w:p>
            <w:pPr>
              <w:pStyle w:val="13"/>
              <w:ind w:firstLine="480"/>
            </w:pPr>
            <w:r>
              <w:rPr>
                <w:rFonts w:hint="eastAsia"/>
              </w:rPr>
              <w:t>因此，项目施工期临时占地影响是暂时性的，施工结束后，随着对施工临时占地的迹地恢复及绿化，临时占地对环境的影响消失。</w:t>
            </w:r>
          </w:p>
          <w:p>
            <w:pPr>
              <w:pStyle w:val="13"/>
              <w:ind w:firstLine="480"/>
            </w:pPr>
            <w:r>
              <w:rPr>
                <w:rFonts w:hint="eastAsia"/>
              </w:rPr>
              <w:t>（2）施工期对植被的影响分析</w:t>
            </w:r>
          </w:p>
          <w:p>
            <w:pPr>
              <w:pStyle w:val="13"/>
              <w:ind w:firstLine="480"/>
            </w:pPr>
            <w:r>
              <w:rPr>
                <w:rFonts w:hint="eastAsia"/>
              </w:rPr>
              <w:t>项目施工期因管沟及基础等开挖，以及施工临时占地，会对工程沿线植被造成一定的影响。工程临时占用农田区域，在秋收后进行施工对农作物影响小。因管沟挖填、构筑物基础开挖、机械碾压、人员踩踏等，造成工程占地范围内植被破坏、区域植被数量减少、植被覆盖度降低。项目施工不涉及树木砍伐，涉及植被仅为草甸。</w:t>
            </w:r>
          </w:p>
          <w:p>
            <w:pPr>
              <w:pStyle w:val="13"/>
              <w:ind w:firstLine="480"/>
            </w:pPr>
            <w:r>
              <w:rPr>
                <w:rFonts w:hint="eastAsia"/>
              </w:rPr>
              <w:t>根据现场调查，项目管道沿线为原有工程便道，植被覆盖率很低，且植被种类为常见种，本次工程在严格控制施工作业面积的情况下，破坏植被数量较少，项目施工对植被的影响范围有限，通过后期迹地恢复、覆土绿化、</w:t>
            </w:r>
            <w:r>
              <w:rPr>
                <w:rFonts w:hint="eastAsia"/>
                <w:szCs w:val="22"/>
              </w:rPr>
              <w:t>草皮复植等，项目区植被数量将逐步增加、植被覆盖率恢复至原有水平。</w:t>
            </w:r>
          </w:p>
          <w:p>
            <w:pPr>
              <w:pStyle w:val="13"/>
              <w:ind w:firstLine="480"/>
            </w:pPr>
            <w:r>
              <w:rPr>
                <w:rFonts w:hint="eastAsia"/>
              </w:rPr>
              <w:t>（3）施工期对野生动物的影响分析</w:t>
            </w:r>
          </w:p>
          <w:p>
            <w:pPr>
              <w:pStyle w:val="13"/>
              <w:ind w:firstLine="480"/>
            </w:pPr>
            <w:r>
              <w:t>施工机械噪声和人员活动噪声是对野生动物影响的主要影响因素。各种施工机械，如运输车辆、推土机、挖掘机、</w:t>
            </w:r>
            <w:r>
              <w:rPr>
                <w:rFonts w:hint="eastAsia"/>
              </w:rPr>
              <w:t>振动碾</w:t>
            </w:r>
            <w:r>
              <w:t>等均可产生较强烈的噪声，虽然这些施工噪声属非连续排放，但由于噪声源相对集中，多为裸露声源，故其噪声</w:t>
            </w:r>
            <w:r>
              <w:rPr>
                <w:rFonts w:hint="eastAsia"/>
              </w:rPr>
              <w:t>辐射</w:t>
            </w:r>
            <w:r>
              <w:t>范围及影响相对较大。项目区域无大型或珍稀保护动物，主要为鸟类</w:t>
            </w:r>
            <w:r>
              <w:rPr>
                <w:rFonts w:hint="eastAsia"/>
              </w:rPr>
              <w:t>和鼠类</w:t>
            </w:r>
            <w:r>
              <w:t>，多为常见种，且由于施工场地相对于该区域面积较小，项目的建设只是在小范围内暂时改变了动物的栖息环境，</w:t>
            </w:r>
            <w:r>
              <w:rPr>
                <w:rFonts w:hint="eastAsia"/>
              </w:rPr>
              <w:t>施工结束后，它们仍可回到原来的区域，</w:t>
            </w:r>
            <w:r>
              <w:t>不会引起物种消失和生物多样性的减少，施工期对野生动物的影响很小。</w:t>
            </w:r>
          </w:p>
          <w:p>
            <w:pPr>
              <w:pStyle w:val="4"/>
            </w:pPr>
            <w:r>
              <w:rPr>
                <w:rFonts w:hint="eastAsia"/>
              </w:rPr>
              <w:t>1.2施工期对水生生态的影响分析</w:t>
            </w:r>
          </w:p>
          <w:p>
            <w:pPr>
              <w:ind w:firstLine="480" w:firstLineChars="200"/>
              <w:rPr>
                <w:rFonts w:hint="eastAsia" w:eastAsia="宋体"/>
                <w:lang w:eastAsia="zh-CN"/>
              </w:rPr>
            </w:pPr>
            <w:r>
              <w:rPr>
                <w:rFonts w:hint="eastAsia"/>
              </w:rPr>
              <w:t>引水口施工过程中，引水导流、引水口基础开挖等工序可能影响到河道内水生物和底栖动物的生态环境。据现场调查，项目引水口涉及水流来自泉水，引水口所涉及河段内无水生生物，且底栖动物稀少。底栖动物是长期属于底部泥沙中、石块中或其他水体动植物上生活的动物，引水口施工时对其直接的影响是改变其生活环境，从而使其种类、数量、分布产生一定的影响。即底栖动物随着挖出的底泥流失、数量减少、局部平衡破坏，但</w:t>
            </w:r>
            <w:r>
              <w:t>工程施工结束后，</w:t>
            </w:r>
            <w:r>
              <w:rPr>
                <w:rFonts w:hint="eastAsia"/>
              </w:rPr>
              <w:t>随着时间的推移，</w:t>
            </w:r>
            <w:r>
              <w:t>河床冲淤平衡与底床的稳定，以及河道环境的改善，将形成新的底栖环境，</w:t>
            </w:r>
            <w:r>
              <w:rPr>
                <w:rFonts w:hint="eastAsia"/>
              </w:rPr>
              <w:t>形成新的平衡，故项目施工对水生物和底栖动物的影响不大。</w:t>
            </w:r>
          </w:p>
          <w:p>
            <w:pPr>
              <w:pStyle w:val="3"/>
            </w:pPr>
            <w:r>
              <w:rPr>
                <w:rFonts w:hint="eastAsia"/>
              </w:rPr>
              <w:t>2施工期大气影响分析</w:t>
            </w:r>
          </w:p>
          <w:p>
            <w:pPr>
              <w:pStyle w:val="13"/>
              <w:ind w:firstLine="480"/>
            </w:pPr>
            <w:r>
              <w:rPr>
                <w:rFonts w:hint="eastAsia"/>
              </w:rPr>
              <w:t>施工期施工道路平整、管沟开挖和回填、土方堆存、建筑材料运输等工序中都会产生扬尘污染，导致大气质量下降；其次，施工设备及车辆将产生一定量的燃油废气。</w:t>
            </w:r>
          </w:p>
          <w:p>
            <w:pPr>
              <w:pStyle w:val="4"/>
            </w:pPr>
            <w:r>
              <w:rPr>
                <w:rFonts w:hint="eastAsia"/>
              </w:rPr>
              <w:t>2.1施工扬尘</w:t>
            </w:r>
          </w:p>
          <w:p>
            <w:pPr>
              <w:pStyle w:val="13"/>
              <w:ind w:firstLine="480"/>
            </w:pPr>
            <w:r>
              <w:t>由于项目区域内空气干燥，施工过程中</w:t>
            </w:r>
            <w:r>
              <w:rPr>
                <w:rFonts w:hint="eastAsia"/>
              </w:rPr>
              <w:t>施工道路平整、</w:t>
            </w:r>
            <w:r>
              <w:t>土方的挖填、</w:t>
            </w:r>
            <w:r>
              <w:rPr>
                <w:rFonts w:hint="eastAsia"/>
              </w:rPr>
              <w:t>土方堆存</w:t>
            </w:r>
            <w:r>
              <w:t>及物料运输过程中扬尘的影响比较突出。施工期间产生的扬尘污染主要取决于施工作业方式</w:t>
            </w:r>
            <w:r>
              <w:rPr>
                <w:rFonts w:hint="eastAsia"/>
              </w:rPr>
              <w:t>、土方湿度</w:t>
            </w:r>
            <w:r>
              <w:t>及风力等因素，</w:t>
            </w:r>
            <w:r>
              <w:rPr>
                <w:rFonts w:hint="eastAsia"/>
              </w:rPr>
              <w:t>湿度越低、风速越</w:t>
            </w:r>
            <w:r>
              <w:t>大，施工扬尘产生的污染程度和超标范围也将随之增强和扩大。</w:t>
            </w:r>
          </w:p>
          <w:p>
            <w:pPr>
              <w:pStyle w:val="13"/>
              <w:ind w:firstLine="480"/>
              <w:rPr>
                <w:bCs/>
              </w:rPr>
            </w:pPr>
            <w:r>
              <w:rPr>
                <w:rFonts w:hint="eastAsia"/>
                <w:bCs/>
              </w:rPr>
              <w:t>本项目施工区的大气污染具有污染范围小，仅限于施工场地，时间短，仅限于施工期的特点。根据类比调查，施工场地上风向50m范围内TSP浓度约0.3mg/m</w:t>
            </w:r>
            <w:r>
              <w:rPr>
                <w:rFonts w:hint="eastAsia"/>
                <w:bCs/>
                <w:vertAlign w:val="superscript"/>
              </w:rPr>
              <w:t>3</w:t>
            </w:r>
            <w:r>
              <w:rPr>
                <w:rFonts w:hint="eastAsia"/>
                <w:bCs/>
              </w:rPr>
              <w:t>，施工区TSP浓度约为0.6～0.8mg/m</w:t>
            </w:r>
            <w:r>
              <w:rPr>
                <w:rFonts w:hint="eastAsia"/>
                <w:bCs/>
                <w:vertAlign w:val="superscript"/>
              </w:rPr>
              <w:t>3</w:t>
            </w:r>
            <w:r>
              <w:rPr>
                <w:rFonts w:hint="eastAsia"/>
                <w:bCs/>
              </w:rPr>
              <w:t>，下风向50m距离TSP浓度约为0.45～0.5mg/m</w:t>
            </w:r>
            <w:r>
              <w:rPr>
                <w:rFonts w:hint="eastAsia"/>
                <w:bCs/>
                <w:vertAlign w:val="superscript"/>
              </w:rPr>
              <w:t>3</w:t>
            </w:r>
            <w:r>
              <w:rPr>
                <w:rFonts w:hint="eastAsia"/>
                <w:bCs/>
              </w:rPr>
              <w:t>，100m距离TSP浓度约为0.35～0.38mg/m</w:t>
            </w:r>
            <w:r>
              <w:rPr>
                <w:rFonts w:hint="eastAsia"/>
                <w:bCs/>
                <w:vertAlign w:val="superscript"/>
              </w:rPr>
              <w:t>3</w:t>
            </w:r>
            <w:r>
              <w:rPr>
                <w:rFonts w:hint="eastAsia"/>
                <w:bCs/>
              </w:rPr>
              <w:t>，150m距离TSP浓度约为0.31～0.34mg/m</w:t>
            </w:r>
            <w:r>
              <w:rPr>
                <w:rFonts w:hint="eastAsia"/>
                <w:bCs/>
                <w:vertAlign w:val="superscript"/>
              </w:rPr>
              <w:t>3</w:t>
            </w:r>
            <w:r>
              <w:rPr>
                <w:rFonts w:hint="eastAsia"/>
                <w:bCs/>
              </w:rPr>
              <w:t>。</w:t>
            </w:r>
          </w:p>
          <w:p>
            <w:pPr>
              <w:pStyle w:val="4"/>
            </w:pPr>
            <w:r>
              <w:rPr>
                <w:rFonts w:hint="eastAsia"/>
              </w:rPr>
              <w:t>2.2燃油废气</w:t>
            </w:r>
          </w:p>
          <w:p>
            <w:pPr>
              <w:pStyle w:val="13"/>
              <w:ind w:firstLine="480"/>
              <w:rPr>
                <w:rFonts w:hint="eastAsia" w:eastAsia="宋体"/>
                <w:lang w:eastAsia="zh-CN"/>
              </w:rPr>
            </w:pPr>
            <w:r>
              <w:rPr>
                <w:rFonts w:hint="eastAsia"/>
              </w:rPr>
              <w:t>施工机械和车辆主要有小型挖掘机、推土机、振捣器及运输的汽车，使用过程中会排放燃油废气，其污染物主要为</w:t>
            </w:r>
            <w:r>
              <w:t>CO</w:t>
            </w:r>
            <w:r>
              <w:rPr>
                <w:rFonts w:hint="eastAsia"/>
              </w:rPr>
              <w:t>、</w:t>
            </w:r>
            <w:r>
              <w:t>NO</w:t>
            </w:r>
            <w:r>
              <w:rPr>
                <w:vertAlign w:val="subscript"/>
              </w:rPr>
              <w:t>x</w:t>
            </w:r>
            <w:r>
              <w:rPr>
                <w:rFonts w:hint="eastAsia"/>
              </w:rPr>
              <w:t>、总烃。由于施工机械多为小型机械，单车排放系数较小，施工机械数量少且分布较分散，</w:t>
            </w:r>
            <w:r>
              <w:t>施工现场空旷，有利于空气的扩散，同时废气排放具有间歇性，只要加强设备及车辆的养护，</w:t>
            </w:r>
            <w:r>
              <w:rPr>
                <w:rFonts w:hint="eastAsia"/>
              </w:rPr>
              <w:t>其污染程度相对较轻，考虑排放量不大，影响范围有限，故可以认为其对环境影响比较小。</w:t>
            </w:r>
          </w:p>
          <w:p>
            <w:pPr>
              <w:pStyle w:val="3"/>
            </w:pPr>
            <w:r>
              <w:rPr>
                <w:rFonts w:hint="eastAsia"/>
              </w:rPr>
              <w:t>3施工期水环境影响分析</w:t>
            </w:r>
          </w:p>
          <w:p>
            <w:pPr>
              <w:pStyle w:val="4"/>
            </w:pPr>
            <w:r>
              <w:rPr>
                <w:rFonts w:hint="eastAsia"/>
              </w:rPr>
              <w:t>3.1施工废水</w:t>
            </w:r>
          </w:p>
          <w:p>
            <w:pPr>
              <w:pStyle w:val="13"/>
              <w:ind w:firstLine="480"/>
            </w:pPr>
            <w:r>
              <w:rPr>
                <w:rFonts w:hint="eastAsia"/>
              </w:rPr>
              <w:t>项目涉及的施工废水主要为基坑排水、设备冲洗废水。</w:t>
            </w:r>
          </w:p>
          <w:p>
            <w:pPr>
              <w:pStyle w:val="13"/>
              <w:numPr>
                <w:ilvl w:val="0"/>
                <w:numId w:val="4"/>
              </w:numPr>
              <w:ind w:firstLine="480"/>
            </w:pPr>
            <w:r>
              <w:rPr>
                <w:rFonts w:hint="eastAsia"/>
              </w:rPr>
              <w:t>基坑排水</w:t>
            </w:r>
          </w:p>
          <w:p>
            <w:pPr>
              <w:pStyle w:val="13"/>
              <w:ind w:firstLine="480"/>
            </w:pPr>
            <w:r>
              <w:rPr>
                <w:rFonts w:hint="eastAsia"/>
              </w:rPr>
              <w:t>项目引水口位于沟道内，施工过程中需先进行导流，然后再进行河槽清理和基础开挖，该过程会有基坑渗水，需进行基坑排水。基坑排水采用明沟与水泵联合作业，地表渗水采用明沟集水，并自然排向下游，深挖基础采用水泵排水。区域地下水水位深约2.5~3.5m，引水口工程基础挖深约0.5~1.0m，表层为第四系全新统冲洪积粉砂，地下水渗透系数约1.2×10</w:t>
            </w:r>
            <w:r>
              <w:rPr>
                <w:rFonts w:hint="eastAsia"/>
                <w:vertAlign w:val="superscript"/>
              </w:rPr>
              <w:t>-3</w:t>
            </w:r>
            <w:r>
              <w:rPr>
                <w:rFonts w:hint="eastAsia"/>
              </w:rPr>
              <w:t>cm/s，地下水渗透面积约4m</w:t>
            </w:r>
            <w:r>
              <w:rPr>
                <w:rFonts w:hint="eastAsia"/>
                <w:vertAlign w:val="superscript"/>
              </w:rPr>
              <w:t>2</w:t>
            </w:r>
            <w:r>
              <w:rPr>
                <w:rFonts w:hint="eastAsia"/>
              </w:rPr>
              <w:t>，基坑积水量约0.173m</w:t>
            </w:r>
            <w:r>
              <w:rPr>
                <w:rFonts w:hint="eastAsia"/>
                <w:vertAlign w:val="superscript"/>
              </w:rPr>
              <w:t>3</w:t>
            </w:r>
            <w:r>
              <w:rPr>
                <w:rFonts w:hint="eastAsia"/>
              </w:rPr>
              <w:t>/h，故项目基坑排水量为0.173m</w:t>
            </w:r>
            <w:r>
              <w:rPr>
                <w:rFonts w:hint="eastAsia"/>
                <w:vertAlign w:val="superscript"/>
              </w:rPr>
              <w:t>3</w:t>
            </w:r>
            <w:r>
              <w:rPr>
                <w:rFonts w:hint="eastAsia"/>
              </w:rPr>
              <w:t>/h。</w:t>
            </w:r>
          </w:p>
          <w:p>
            <w:pPr>
              <w:pStyle w:val="13"/>
              <w:ind w:firstLine="480"/>
              <w:rPr>
                <w:b/>
              </w:rPr>
            </w:pPr>
            <w:r>
              <w:rPr>
                <w:rFonts w:hint="eastAsia"/>
              </w:rPr>
              <w:t>项目渡槽基础工程量不大，且均无涉水工程，不存在基坑排水。</w:t>
            </w:r>
          </w:p>
          <w:p>
            <w:pPr>
              <w:ind w:firstLine="482"/>
            </w:pPr>
            <w:r>
              <w:rPr>
                <w:rFonts w:hint="eastAsia"/>
              </w:rPr>
              <w:t>基坑排水中主要污染物为SS，</w:t>
            </w:r>
            <w:r>
              <w:t>根据《河道施工扰动环境分析及防护》（环境科学，2014年第6期）中统计经验数据，基坑</w:t>
            </w:r>
            <w:r>
              <w:rPr>
                <w:rFonts w:hint="eastAsia"/>
              </w:rPr>
              <w:t>积水</w:t>
            </w:r>
            <w:r>
              <w:t>正常排放引起的SS增值在短距离内会引起地表水的SS浓度升高，但影响范围较小，小河影响范围一般在120～200m之间</w:t>
            </w:r>
            <w:r>
              <w:rPr>
                <w:rFonts w:hint="eastAsia"/>
              </w:rPr>
              <w:t>，项目施工段下游500m范围内无生活饮用水设施，且下游河段较长，故</w:t>
            </w:r>
            <w:r>
              <w:t>相对而言，</w:t>
            </w:r>
            <w:r>
              <w:rPr>
                <w:rFonts w:hint="eastAsia"/>
              </w:rPr>
              <w:t>项目</w:t>
            </w:r>
            <w:r>
              <w:t>基坑废水</w:t>
            </w:r>
            <w:r>
              <w:rPr>
                <w:rFonts w:hint="eastAsia"/>
              </w:rPr>
              <w:t>排至河道内，对下游水环境产生的影响不大。</w:t>
            </w:r>
          </w:p>
          <w:p>
            <w:pPr>
              <w:pStyle w:val="13"/>
              <w:numPr>
                <w:ilvl w:val="0"/>
                <w:numId w:val="4"/>
              </w:numPr>
              <w:ind w:firstLine="480"/>
            </w:pPr>
            <w:r>
              <w:rPr>
                <w:rFonts w:hint="eastAsia"/>
              </w:rPr>
              <w:t>冲洗废水</w:t>
            </w:r>
          </w:p>
          <w:p>
            <w:pPr>
              <w:pStyle w:val="13"/>
              <w:ind w:firstLine="480"/>
              <w:rPr>
                <w:rFonts w:hint="eastAsia"/>
                <w:lang w:eastAsia="zh-CN"/>
              </w:rPr>
            </w:pPr>
            <w:r>
              <w:rPr>
                <w:rFonts w:hint="eastAsia"/>
              </w:rPr>
              <w:t>根据建设方提供的资料，项目使用的施工机械如拖拉机、振动器等采用擦拭清洁，施工期只砂浆小型搅拌机进行冲洗，根据有关资料，砂浆小型搅拌机每天冲洗产生的废水量约0.5m</w:t>
            </w:r>
            <w:r>
              <w:rPr>
                <w:rFonts w:hint="eastAsia"/>
                <w:vertAlign w:val="superscript"/>
              </w:rPr>
              <w:t>3</w:t>
            </w:r>
            <w:r>
              <w:rPr>
                <w:rFonts w:hint="eastAsia"/>
              </w:rPr>
              <w:t>，施工期4个月（120d），故产生的设备冲洗废水量为60m</w:t>
            </w:r>
            <w:r>
              <w:rPr>
                <w:rFonts w:hint="eastAsia"/>
                <w:vertAlign w:val="superscript"/>
              </w:rPr>
              <w:t>3</w:t>
            </w:r>
            <w:r>
              <w:rPr>
                <w:rFonts w:hint="eastAsia"/>
              </w:rPr>
              <w:t>，SS浓度约5000mg/L。小型混凝土拌合机安置点设废水收集池，拌合机清洗废水收集后循环使用，</w:t>
            </w:r>
            <w:r>
              <w:rPr>
                <w:rFonts w:hint="eastAsia"/>
                <w:lang w:eastAsia="zh-CN"/>
              </w:rPr>
              <w:t>不外排，对地表水环境影响较小。</w:t>
            </w:r>
          </w:p>
          <w:p>
            <w:pPr>
              <w:pStyle w:val="13"/>
              <w:ind w:firstLine="480"/>
              <w:rPr>
                <w:rFonts w:hint="eastAsia" w:eastAsia="宋体"/>
                <w:lang w:eastAsia="zh-CN"/>
              </w:rPr>
            </w:pPr>
            <w:r>
              <w:rPr>
                <w:rFonts w:hint="eastAsia"/>
                <w:lang w:eastAsia="zh-CN"/>
              </w:rPr>
              <w:t>以上施工废水中主要污染物是泥沙、SS等，根据现场调查及走访，项目区却旦塘村、上洛哇村、下洛哇村居民住户生活用水由村镇给水管网供给，项目涉及河段及下游河段上不存在生活用水设施，故项目施工废水对区域生活用水不造成影响。</w:t>
            </w:r>
          </w:p>
          <w:p>
            <w:pPr>
              <w:pStyle w:val="4"/>
            </w:pPr>
            <w:r>
              <w:rPr>
                <w:rFonts w:hint="eastAsia"/>
              </w:rPr>
              <w:t>3.2生活污水</w:t>
            </w:r>
          </w:p>
          <w:p>
            <w:pPr>
              <w:pStyle w:val="13"/>
              <w:ind w:firstLine="480"/>
              <w:rPr>
                <w:bCs/>
              </w:rPr>
            </w:pPr>
            <w:r>
              <w:rPr>
                <w:rFonts w:hint="eastAsia"/>
                <w:bCs/>
              </w:rPr>
              <w:t>项目施工营地住宿人员较少，施工期平均人数约10人，施工人员生活用水量按20L/人·d计，生活污水产生系数为0.8，则项目施工期生活污水产生量为0.16m</w:t>
            </w:r>
            <w:r>
              <w:rPr>
                <w:rFonts w:hint="eastAsia"/>
                <w:bCs/>
                <w:vertAlign w:val="superscript"/>
              </w:rPr>
              <w:t>3</w:t>
            </w:r>
            <w:r>
              <w:rPr>
                <w:rFonts w:hint="eastAsia"/>
                <w:bCs/>
              </w:rPr>
              <w:t>/d。施工营地设临时旱厕，粪便污水经收集后还田，洗嗽水洒水降尘。项目施工期生活污水对环境影响极小。</w:t>
            </w:r>
          </w:p>
          <w:p>
            <w:pPr>
              <w:pStyle w:val="3"/>
            </w:pPr>
            <w:r>
              <w:rPr>
                <w:rFonts w:hint="eastAsia"/>
              </w:rPr>
              <w:t>4施工期声环境影响分析</w:t>
            </w:r>
          </w:p>
          <w:p>
            <w:pPr>
              <w:ind w:firstLine="480" w:firstLineChars="200"/>
            </w:pPr>
            <w:r>
              <w:rPr>
                <w:rFonts w:hint="eastAsia"/>
              </w:rPr>
              <w:t>施工过程釆用的挖掘机、推土机、搅和机等机械设备以及运输车辆在运行时会产生一定的噪声和振动，本次环评中，</w:t>
            </w:r>
            <w:r>
              <w:rPr>
                <w:rFonts w:ascii="宋体" w:hAnsi="宋体" w:cs="宋体"/>
                <w:spacing w:val="-1"/>
                <w:szCs w:val="24"/>
              </w:rPr>
              <w:t>施工</w:t>
            </w:r>
            <w:r>
              <w:rPr>
                <w:rFonts w:hint="eastAsia" w:ascii="宋体" w:hAnsi="宋体" w:cs="宋体"/>
                <w:spacing w:val="-1"/>
                <w:szCs w:val="24"/>
              </w:rPr>
              <w:t>机械</w:t>
            </w:r>
            <w:r>
              <w:rPr>
                <w:rFonts w:ascii="宋体" w:hAnsi="宋体" w:cs="宋体"/>
                <w:spacing w:val="-1"/>
                <w:szCs w:val="24"/>
              </w:rPr>
              <w:t>噪声</w:t>
            </w:r>
            <w:r>
              <w:rPr>
                <w:rFonts w:hint="eastAsia" w:ascii="宋体" w:hAnsi="宋体" w:cs="宋体"/>
                <w:spacing w:val="-1"/>
                <w:szCs w:val="24"/>
              </w:rPr>
              <w:t>贡献值简单按点声源</w:t>
            </w:r>
            <w:r>
              <w:rPr>
                <w:rFonts w:ascii="宋体" w:hAnsi="宋体" w:cs="宋体"/>
                <w:spacing w:val="-1"/>
                <w:szCs w:val="24"/>
              </w:rPr>
              <w:t>衰减模式</w:t>
            </w:r>
            <w:r>
              <w:rPr>
                <w:rFonts w:hint="eastAsia" w:ascii="宋体" w:hAnsi="宋体" w:cs="宋体"/>
                <w:spacing w:val="-1"/>
                <w:szCs w:val="24"/>
              </w:rPr>
              <w:t>进行计算：</w:t>
            </w:r>
          </w:p>
          <w:p>
            <w:pPr>
              <w:spacing w:before="193" w:line="748" w:lineRule="exact"/>
              <w:jc w:val="center"/>
              <w:textAlignment w:val="center"/>
            </w:pPr>
            <w:r>
              <w:drawing>
                <wp:inline distT="0" distB="0" distL="0" distR="0">
                  <wp:extent cx="1849120" cy="653415"/>
                  <wp:effectExtent l="0" t="0" r="0" b="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18" cstate="print"/>
                          <a:stretch>
                            <a:fillRect/>
                          </a:stretch>
                        </pic:blipFill>
                        <pic:spPr>
                          <a:xfrm>
                            <a:off x="0" y="0"/>
                            <a:ext cx="1849120" cy="653415"/>
                          </a:xfrm>
                          <a:prstGeom prst="rect">
                            <a:avLst/>
                          </a:prstGeom>
                        </pic:spPr>
                      </pic:pic>
                    </a:graphicData>
                  </a:graphic>
                </wp:inline>
              </w:drawing>
            </w:r>
          </w:p>
          <w:p>
            <w:pPr>
              <w:spacing w:before="210" w:line="185" w:lineRule="auto"/>
              <w:ind w:firstLine="518"/>
              <w:rPr>
                <w:rFonts w:ascii="宋体" w:hAnsi="宋体" w:cs="宋体"/>
                <w:szCs w:val="24"/>
              </w:rPr>
            </w:pPr>
            <w:r>
              <w:rPr>
                <w:rFonts w:hint="eastAsia" w:ascii="宋体" w:hAnsi="宋体" w:cs="宋体"/>
                <w:spacing w:val="-1"/>
                <w:szCs w:val="24"/>
              </w:rPr>
              <w:t>即</w:t>
            </w:r>
            <w:r>
              <w:rPr>
                <w:rFonts w:ascii="宋体" w:hAnsi="宋体" w:cs="宋体"/>
                <w:spacing w:val="-1"/>
                <w:szCs w:val="24"/>
              </w:rPr>
              <w:t>施工机械噪声</w:t>
            </w:r>
            <w:r>
              <w:rPr>
                <w:rFonts w:hint="eastAsia" w:ascii="宋体" w:hAnsi="宋体" w:cs="宋体"/>
                <w:spacing w:val="-1"/>
                <w:szCs w:val="24"/>
              </w:rPr>
              <w:t>经距离</w:t>
            </w:r>
            <w:r>
              <w:rPr>
                <w:rFonts w:ascii="宋体" w:hAnsi="宋体" w:cs="宋体"/>
                <w:spacing w:val="-1"/>
                <w:szCs w:val="24"/>
              </w:rPr>
              <w:t>衰减</w:t>
            </w:r>
            <w:r>
              <w:rPr>
                <w:rFonts w:hint="eastAsia" w:ascii="宋体" w:hAnsi="宋体" w:cs="宋体"/>
                <w:spacing w:val="-1"/>
                <w:szCs w:val="24"/>
              </w:rPr>
              <w:t>后的贡献值</w:t>
            </w:r>
            <w:r>
              <w:rPr>
                <w:rFonts w:ascii="宋体" w:hAnsi="宋体" w:cs="宋体"/>
                <w:spacing w:val="-1"/>
                <w:szCs w:val="24"/>
              </w:rPr>
              <w:t>见下表。</w:t>
            </w:r>
          </w:p>
          <w:p>
            <w:pPr>
              <w:pStyle w:val="21"/>
            </w:pPr>
            <w:r>
              <w:rPr>
                <w:rFonts w:hint="eastAsia"/>
              </w:rPr>
              <w:t>表4.1  项目施工期机械设备噪声值一览表</w:t>
            </w:r>
          </w:p>
          <w:tbl>
            <w:tblPr>
              <w:tblStyle w:val="15"/>
              <w:tblW w:w="487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7"/>
              <w:gridCol w:w="2119"/>
              <w:gridCol w:w="2687"/>
              <w:gridCol w:w="2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679" w:type="pct"/>
                  <w:vAlign w:val="center"/>
                </w:tcPr>
                <w:p>
                  <w:pPr>
                    <w:pStyle w:val="20"/>
                    <w:widowControl w:val="0"/>
                  </w:pPr>
                  <w:r>
                    <w:rPr>
                      <w:rFonts w:hint="eastAsia"/>
                    </w:rPr>
                    <w:t>序号</w:t>
                  </w:r>
                </w:p>
              </w:tc>
              <w:tc>
                <w:tcPr>
                  <w:tcW w:w="1201" w:type="pct"/>
                  <w:vAlign w:val="center"/>
                </w:tcPr>
                <w:p>
                  <w:pPr>
                    <w:pStyle w:val="20"/>
                    <w:widowControl w:val="0"/>
                  </w:pPr>
                  <w:r>
                    <w:rPr>
                      <w:rFonts w:hint="eastAsia"/>
                    </w:rPr>
                    <w:t>设备名称</w:t>
                  </w:r>
                </w:p>
              </w:tc>
              <w:tc>
                <w:tcPr>
                  <w:tcW w:w="1523" w:type="pct"/>
                  <w:vAlign w:val="center"/>
                </w:tcPr>
                <w:p>
                  <w:pPr>
                    <w:pStyle w:val="20"/>
                    <w:widowControl w:val="0"/>
                  </w:pPr>
                  <w:r>
                    <w:rPr>
                      <w:rFonts w:hint="eastAsia"/>
                    </w:rPr>
                    <w:t>距离10m处噪声值</w:t>
                  </w:r>
                </w:p>
              </w:tc>
              <w:tc>
                <w:tcPr>
                  <w:tcW w:w="1595" w:type="pct"/>
                  <w:vAlign w:val="center"/>
                </w:tcPr>
                <w:p>
                  <w:pPr>
                    <w:pStyle w:val="20"/>
                    <w:widowControl w:val="0"/>
                  </w:pPr>
                  <w:r>
                    <w:rPr>
                      <w:rFonts w:hint="eastAsia"/>
                    </w:rPr>
                    <w:t>距离65m处噪声值噪声贡献值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9" w:type="pct"/>
                  <w:vAlign w:val="center"/>
                </w:tcPr>
                <w:p>
                  <w:pPr>
                    <w:pStyle w:val="20"/>
                    <w:widowControl w:val="0"/>
                  </w:pPr>
                  <w:r>
                    <w:rPr>
                      <w:rFonts w:hint="eastAsia"/>
                    </w:rPr>
                    <w:t>1</w:t>
                  </w:r>
                </w:p>
              </w:tc>
              <w:tc>
                <w:tcPr>
                  <w:tcW w:w="1201" w:type="pct"/>
                  <w:vAlign w:val="center"/>
                </w:tcPr>
                <w:p>
                  <w:pPr>
                    <w:pStyle w:val="20"/>
                    <w:widowControl w:val="0"/>
                  </w:pPr>
                  <w:r>
                    <w:rPr>
                      <w:rFonts w:hint="eastAsia"/>
                    </w:rPr>
                    <w:t>挖掘机</w:t>
                  </w:r>
                </w:p>
              </w:tc>
              <w:tc>
                <w:tcPr>
                  <w:tcW w:w="1523" w:type="pct"/>
                  <w:vAlign w:val="center"/>
                </w:tcPr>
                <w:p>
                  <w:pPr>
                    <w:pStyle w:val="20"/>
                    <w:widowControl w:val="0"/>
                  </w:pPr>
                  <w:r>
                    <w:rPr>
                      <w:rFonts w:hint="eastAsia"/>
                    </w:rPr>
                    <w:t>82</w:t>
                  </w:r>
                </w:p>
              </w:tc>
              <w:tc>
                <w:tcPr>
                  <w:tcW w:w="1595" w:type="pct"/>
                  <w:vAlign w:val="center"/>
                </w:tcPr>
                <w:p>
                  <w:pPr>
                    <w:pStyle w:val="20"/>
                    <w:widowControl w:val="0"/>
                  </w:pPr>
                  <w:r>
                    <w:rPr>
                      <w:rFonts w:hint="eastAsia"/>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679" w:type="pct"/>
                  <w:vAlign w:val="center"/>
                </w:tcPr>
                <w:p>
                  <w:pPr>
                    <w:pStyle w:val="20"/>
                    <w:widowControl w:val="0"/>
                  </w:pPr>
                  <w:r>
                    <w:rPr>
                      <w:rFonts w:hint="eastAsia"/>
                    </w:rPr>
                    <w:t>2</w:t>
                  </w:r>
                </w:p>
              </w:tc>
              <w:tc>
                <w:tcPr>
                  <w:tcW w:w="1201" w:type="pct"/>
                  <w:vAlign w:val="center"/>
                </w:tcPr>
                <w:p>
                  <w:pPr>
                    <w:pStyle w:val="20"/>
                    <w:widowControl w:val="0"/>
                  </w:pPr>
                  <w:r>
                    <w:rPr>
                      <w:rFonts w:hint="eastAsia"/>
                    </w:rPr>
                    <w:t>推土机</w:t>
                  </w:r>
                </w:p>
              </w:tc>
              <w:tc>
                <w:tcPr>
                  <w:tcW w:w="1523" w:type="pct"/>
                  <w:vAlign w:val="center"/>
                </w:tcPr>
                <w:p>
                  <w:pPr>
                    <w:pStyle w:val="20"/>
                    <w:widowControl w:val="0"/>
                  </w:pPr>
                  <w:r>
                    <w:rPr>
                      <w:rFonts w:hint="eastAsia"/>
                    </w:rPr>
                    <w:t>80</w:t>
                  </w:r>
                </w:p>
              </w:tc>
              <w:tc>
                <w:tcPr>
                  <w:tcW w:w="1595" w:type="pct"/>
                  <w:vAlign w:val="center"/>
                </w:tcPr>
                <w:p>
                  <w:pPr>
                    <w:pStyle w:val="20"/>
                    <w:widowControl w:val="0"/>
                  </w:pPr>
                  <w:r>
                    <w:rPr>
                      <w:rFonts w:hint="eastAsia"/>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679" w:type="pct"/>
                  <w:vAlign w:val="center"/>
                </w:tcPr>
                <w:p>
                  <w:pPr>
                    <w:pStyle w:val="20"/>
                    <w:widowControl w:val="0"/>
                  </w:pPr>
                  <w:r>
                    <w:rPr>
                      <w:rFonts w:hint="eastAsia"/>
                    </w:rPr>
                    <w:t>3</w:t>
                  </w:r>
                </w:p>
              </w:tc>
              <w:tc>
                <w:tcPr>
                  <w:tcW w:w="1201" w:type="pct"/>
                  <w:vAlign w:val="center"/>
                </w:tcPr>
                <w:p>
                  <w:pPr>
                    <w:pStyle w:val="20"/>
                    <w:widowControl w:val="0"/>
                  </w:pPr>
                  <w:r>
                    <w:rPr>
                      <w:rFonts w:hint="eastAsia"/>
                    </w:rPr>
                    <w:t>搅拌机</w:t>
                  </w:r>
                </w:p>
              </w:tc>
              <w:tc>
                <w:tcPr>
                  <w:tcW w:w="1523" w:type="pct"/>
                  <w:vAlign w:val="center"/>
                </w:tcPr>
                <w:p>
                  <w:pPr>
                    <w:pStyle w:val="20"/>
                    <w:widowControl w:val="0"/>
                  </w:pPr>
                  <w:r>
                    <w:rPr>
                      <w:rFonts w:hint="eastAsia"/>
                    </w:rPr>
                    <w:t>84</w:t>
                  </w:r>
                </w:p>
              </w:tc>
              <w:tc>
                <w:tcPr>
                  <w:tcW w:w="1595" w:type="pct"/>
                  <w:vAlign w:val="center"/>
                </w:tcPr>
                <w:p>
                  <w:pPr>
                    <w:pStyle w:val="20"/>
                    <w:widowControl w:val="0"/>
                  </w:pPr>
                  <w:r>
                    <w:rPr>
                      <w:rFonts w:hint="eastAsia"/>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9" w:hRule="atLeast"/>
              </w:trPr>
              <w:tc>
                <w:tcPr>
                  <w:tcW w:w="679" w:type="pct"/>
                  <w:vAlign w:val="center"/>
                </w:tcPr>
                <w:p>
                  <w:pPr>
                    <w:pStyle w:val="20"/>
                    <w:widowControl w:val="0"/>
                  </w:pPr>
                  <w:r>
                    <w:rPr>
                      <w:rFonts w:hint="eastAsia"/>
                    </w:rPr>
                    <w:t>4</w:t>
                  </w:r>
                </w:p>
              </w:tc>
              <w:tc>
                <w:tcPr>
                  <w:tcW w:w="1201" w:type="pct"/>
                  <w:vAlign w:val="center"/>
                </w:tcPr>
                <w:p>
                  <w:pPr>
                    <w:pStyle w:val="20"/>
                    <w:widowControl w:val="0"/>
                  </w:pPr>
                  <w:r>
                    <w:rPr>
                      <w:rFonts w:hint="eastAsia"/>
                    </w:rPr>
                    <w:t>振动碾</w:t>
                  </w:r>
                </w:p>
              </w:tc>
              <w:tc>
                <w:tcPr>
                  <w:tcW w:w="1523" w:type="pct"/>
                  <w:vAlign w:val="center"/>
                </w:tcPr>
                <w:p>
                  <w:pPr>
                    <w:pStyle w:val="20"/>
                    <w:widowControl w:val="0"/>
                  </w:pPr>
                  <w:r>
                    <w:rPr>
                      <w:rFonts w:hint="eastAsia"/>
                    </w:rPr>
                    <w:t>80</w:t>
                  </w:r>
                </w:p>
              </w:tc>
              <w:tc>
                <w:tcPr>
                  <w:tcW w:w="1595" w:type="pct"/>
                  <w:vAlign w:val="center"/>
                </w:tcPr>
                <w:p>
                  <w:pPr>
                    <w:pStyle w:val="20"/>
                    <w:widowControl w:val="0"/>
                  </w:pPr>
                  <w:r>
                    <w:rPr>
                      <w:rFonts w:hint="eastAsia"/>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679" w:type="pct"/>
                  <w:vAlign w:val="center"/>
                </w:tcPr>
                <w:p>
                  <w:pPr>
                    <w:pStyle w:val="20"/>
                    <w:widowControl w:val="0"/>
                  </w:pPr>
                  <w:r>
                    <w:rPr>
                      <w:rFonts w:hint="eastAsia"/>
                    </w:rPr>
                    <w:t>5</w:t>
                  </w:r>
                </w:p>
              </w:tc>
              <w:tc>
                <w:tcPr>
                  <w:tcW w:w="1201" w:type="pct"/>
                  <w:vAlign w:val="center"/>
                </w:tcPr>
                <w:p>
                  <w:pPr>
                    <w:pStyle w:val="20"/>
                    <w:widowControl w:val="0"/>
                  </w:pPr>
                  <w:r>
                    <w:rPr>
                      <w:rFonts w:hint="eastAsia"/>
                    </w:rPr>
                    <w:t>水泵</w:t>
                  </w:r>
                </w:p>
              </w:tc>
              <w:tc>
                <w:tcPr>
                  <w:tcW w:w="1523" w:type="pct"/>
                  <w:vAlign w:val="center"/>
                </w:tcPr>
                <w:p>
                  <w:pPr>
                    <w:pStyle w:val="20"/>
                    <w:widowControl w:val="0"/>
                  </w:pPr>
                  <w:r>
                    <w:rPr>
                      <w:rFonts w:hint="eastAsia"/>
                    </w:rPr>
                    <w:t>85</w:t>
                  </w:r>
                </w:p>
              </w:tc>
              <w:tc>
                <w:tcPr>
                  <w:tcW w:w="1595" w:type="pct"/>
                  <w:vAlign w:val="center"/>
                </w:tcPr>
                <w:p>
                  <w:pPr>
                    <w:pStyle w:val="20"/>
                    <w:widowControl w:val="0"/>
                  </w:pPr>
                  <w:r>
                    <w:rPr>
                      <w:rFonts w:hint="eastAsia"/>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679" w:type="pct"/>
                  <w:vAlign w:val="center"/>
                </w:tcPr>
                <w:p>
                  <w:pPr>
                    <w:pStyle w:val="20"/>
                    <w:widowControl w:val="0"/>
                  </w:pPr>
                  <w:r>
                    <w:rPr>
                      <w:rFonts w:hint="eastAsia"/>
                    </w:rPr>
                    <w:t>6</w:t>
                  </w:r>
                </w:p>
              </w:tc>
              <w:tc>
                <w:tcPr>
                  <w:tcW w:w="1201" w:type="pct"/>
                  <w:vAlign w:val="center"/>
                </w:tcPr>
                <w:p>
                  <w:pPr>
                    <w:pStyle w:val="20"/>
                    <w:widowControl w:val="0"/>
                  </w:pPr>
                  <w:r>
                    <w:rPr>
                      <w:rFonts w:hint="eastAsia"/>
                    </w:rPr>
                    <w:t>载重车</w:t>
                  </w:r>
                </w:p>
              </w:tc>
              <w:tc>
                <w:tcPr>
                  <w:tcW w:w="1523" w:type="pct"/>
                  <w:vAlign w:val="center"/>
                </w:tcPr>
                <w:p>
                  <w:pPr>
                    <w:pStyle w:val="20"/>
                    <w:widowControl w:val="0"/>
                  </w:pPr>
                  <w:r>
                    <w:rPr>
                      <w:rFonts w:hint="eastAsia"/>
                    </w:rPr>
                    <w:t>75</w:t>
                  </w:r>
                </w:p>
              </w:tc>
              <w:tc>
                <w:tcPr>
                  <w:tcW w:w="1595" w:type="pct"/>
                  <w:vAlign w:val="center"/>
                </w:tcPr>
                <w:p>
                  <w:pPr>
                    <w:pStyle w:val="20"/>
                    <w:widowControl w:val="0"/>
                  </w:pPr>
                  <w:r>
                    <w:rPr>
                      <w:rFonts w:hint="eastAsia"/>
                    </w:rPr>
                    <w:t>59</w:t>
                  </w:r>
                </w:p>
              </w:tc>
            </w:tr>
          </w:tbl>
          <w:p>
            <w:pPr>
              <w:pStyle w:val="13"/>
              <w:ind w:firstLine="480"/>
            </w:pPr>
            <w:r>
              <w:rPr>
                <w:rFonts w:hint="eastAsia"/>
              </w:rPr>
              <w:t>距离项目施工区最近的声环境敏感目标为项目施工营地东北侧65m处的却旦塘村，因此，为保证项目施工期噪声达标排放，减轻对声环境保护目标的影响，项目施工营地禁止夜间施工。综上，项目在昼间施工可满足行《建筑施工厂界环境噪声排放标准》（GB12523—2011）。</w:t>
            </w:r>
          </w:p>
          <w:p>
            <w:pPr>
              <w:pStyle w:val="3"/>
            </w:pPr>
            <w:r>
              <w:rPr>
                <w:rFonts w:hint="eastAsia"/>
              </w:rPr>
              <w:t>5施工期固体废物环境影响分析</w:t>
            </w:r>
          </w:p>
          <w:p>
            <w:pPr>
              <w:pStyle w:val="13"/>
              <w:ind w:firstLine="480"/>
              <w:rPr>
                <w:b/>
                <w:bCs/>
              </w:rPr>
            </w:pPr>
            <w:r>
              <w:rPr>
                <w:rFonts w:hint="eastAsia"/>
              </w:rPr>
              <w:t>项目施工期固体废物主要包括土石方、建筑垃圾以及施工人员生活垃圾。</w:t>
            </w:r>
          </w:p>
          <w:p>
            <w:pPr>
              <w:pStyle w:val="13"/>
              <w:numPr>
                <w:ilvl w:val="0"/>
                <w:numId w:val="0"/>
              </w:numPr>
              <w:ind w:firstLine="480" w:firstLineChars="200"/>
              <w:rPr>
                <w:b/>
                <w:bCs/>
              </w:rPr>
            </w:pPr>
            <w:r>
              <w:rPr>
                <w:rFonts w:hint="eastAsia"/>
                <w:lang w:eastAsia="zh-CN"/>
              </w:rPr>
              <w:t>（</w:t>
            </w:r>
            <w:r>
              <w:rPr>
                <w:rFonts w:hint="eastAsia"/>
                <w:lang w:val="en-US" w:eastAsia="zh-CN"/>
              </w:rPr>
              <w:t>1</w:t>
            </w:r>
            <w:r>
              <w:rPr>
                <w:rFonts w:hint="eastAsia"/>
                <w:lang w:eastAsia="zh-CN"/>
              </w:rPr>
              <w:t>）</w:t>
            </w:r>
            <w:r>
              <w:rPr>
                <w:rFonts w:hint="eastAsia"/>
              </w:rPr>
              <w:t>土石方</w:t>
            </w:r>
          </w:p>
          <w:p>
            <w:pPr>
              <w:pStyle w:val="13"/>
              <w:ind w:firstLine="480"/>
              <w:rPr>
                <w:b/>
                <w:bCs/>
              </w:rPr>
            </w:pPr>
            <w:r>
              <w:rPr>
                <w:rFonts w:hint="eastAsia"/>
              </w:rPr>
              <w:t>根据土石方平衡分析，项目土石方主要来自管沟及其他构筑物基础开挖环节。项目土石方挖方共产生</w:t>
            </w:r>
            <w:r>
              <w:rPr>
                <w:rFonts w:hint="eastAsia" w:cs="Times New Roman"/>
                <w:kern w:val="0"/>
              </w:rPr>
              <w:t>23339</w:t>
            </w:r>
            <w:r>
              <w:rPr>
                <w:rFonts w:cs="Times New Roman"/>
                <w:kern w:val="0"/>
              </w:rPr>
              <w:t>m</w:t>
            </w:r>
            <w:r>
              <w:rPr>
                <w:rFonts w:hint="eastAsia" w:ascii="宋体" w:hAnsi="宋体"/>
                <w:kern w:val="0"/>
              </w:rPr>
              <w:t>³，回填</w:t>
            </w:r>
            <w:r>
              <w:rPr>
                <w:rFonts w:hint="eastAsia" w:cs="Times New Roman"/>
                <w:kern w:val="0"/>
              </w:rPr>
              <w:t>21433</w:t>
            </w:r>
            <w:r>
              <w:rPr>
                <w:rFonts w:hint="eastAsia" w:ascii="宋体" w:hAnsi="宋体"/>
                <w:kern w:val="0"/>
              </w:rPr>
              <w:t>万</w:t>
            </w:r>
            <w:r>
              <w:rPr>
                <w:rFonts w:cs="Times New Roman"/>
                <w:kern w:val="0"/>
              </w:rPr>
              <w:t>m</w:t>
            </w:r>
            <w:r>
              <w:rPr>
                <w:rFonts w:hint="eastAsia" w:ascii="宋体" w:hAnsi="宋体"/>
                <w:kern w:val="0"/>
              </w:rPr>
              <w:t>³，剩余</w:t>
            </w:r>
            <w:r>
              <w:rPr>
                <w:rFonts w:hint="eastAsia" w:cs="Times New Roman"/>
                <w:kern w:val="0"/>
              </w:rPr>
              <w:t>1906</w:t>
            </w:r>
            <w:r>
              <w:rPr>
                <w:rFonts w:hint="eastAsia" w:ascii="宋体" w:hAnsi="宋体"/>
                <w:kern w:val="0"/>
              </w:rPr>
              <w:t>万</w:t>
            </w:r>
            <w:r>
              <w:rPr>
                <w:rFonts w:cs="Times New Roman"/>
                <w:kern w:val="0"/>
              </w:rPr>
              <w:t>m</w:t>
            </w:r>
            <w:r>
              <w:rPr>
                <w:rFonts w:hint="eastAsia" w:ascii="宋体" w:hAnsi="宋体"/>
                <w:kern w:val="0"/>
              </w:rPr>
              <w:t>³用于场地整理及渠道延边铺填。无借方，无弃方，土石方平衡。项目开挖的土石方在管沟沿线及构筑物基础旁暂存，待回填使用。</w:t>
            </w:r>
          </w:p>
          <w:p>
            <w:pPr>
              <w:pStyle w:val="13"/>
              <w:numPr>
                <w:ilvl w:val="0"/>
                <w:numId w:val="0"/>
              </w:numPr>
              <w:ind w:firstLine="480" w:firstLineChars="200"/>
            </w:pPr>
            <w:r>
              <w:rPr>
                <w:rFonts w:hint="eastAsia"/>
                <w:lang w:eastAsia="zh-CN"/>
              </w:rPr>
              <w:t>（</w:t>
            </w:r>
            <w:r>
              <w:rPr>
                <w:rFonts w:hint="eastAsia"/>
                <w:lang w:val="en-US" w:eastAsia="zh-CN"/>
              </w:rPr>
              <w:t>2</w:t>
            </w:r>
            <w:r>
              <w:rPr>
                <w:rFonts w:hint="eastAsia"/>
                <w:lang w:eastAsia="zh-CN"/>
              </w:rPr>
              <w:t>）</w:t>
            </w:r>
            <w:r>
              <w:rPr>
                <w:rFonts w:hint="eastAsia"/>
              </w:rPr>
              <w:t>建筑垃圾</w:t>
            </w:r>
          </w:p>
          <w:p>
            <w:pPr>
              <w:pStyle w:val="13"/>
              <w:ind w:firstLine="480"/>
            </w:pPr>
            <w:r>
              <w:rPr>
                <w:rFonts w:hint="eastAsia"/>
              </w:rPr>
              <w:t>项目建筑垃圾包括管沟开挖过程中挖出的原有废旧PVC管材、废砖块、砂石渣，其中旧PVC管材产生量约1000m，经收集后由项目周围农户资源化利用；废砖块、砂石渣等产生量约20m</w:t>
            </w:r>
            <w:r>
              <w:rPr>
                <w:rFonts w:hint="eastAsia"/>
                <w:vertAlign w:val="superscript"/>
              </w:rPr>
              <w:t>3</w:t>
            </w:r>
            <w:r>
              <w:rPr>
                <w:rFonts w:hint="eastAsia"/>
              </w:rPr>
              <w:t>，经收集后就近用作村内道路坑洼处填铺。</w:t>
            </w:r>
          </w:p>
          <w:p>
            <w:pPr>
              <w:pStyle w:val="13"/>
              <w:numPr>
                <w:ilvl w:val="0"/>
                <w:numId w:val="0"/>
              </w:numPr>
              <w:ind w:firstLine="480" w:firstLineChars="200"/>
              <w:rPr>
                <w:b/>
                <w:bCs/>
              </w:rPr>
            </w:pPr>
            <w:r>
              <w:rPr>
                <w:rFonts w:hint="eastAsia"/>
                <w:lang w:eastAsia="zh-CN"/>
              </w:rPr>
              <w:t>（</w:t>
            </w:r>
            <w:r>
              <w:rPr>
                <w:rFonts w:hint="eastAsia"/>
                <w:lang w:val="en-US" w:eastAsia="zh-CN"/>
              </w:rPr>
              <w:t>3</w:t>
            </w:r>
            <w:r>
              <w:rPr>
                <w:rFonts w:hint="eastAsia"/>
                <w:lang w:eastAsia="zh-CN"/>
              </w:rPr>
              <w:t>）</w:t>
            </w:r>
            <w:r>
              <w:rPr>
                <w:rFonts w:hint="eastAsia"/>
              </w:rPr>
              <w:t>生活垃圾</w:t>
            </w:r>
          </w:p>
          <w:p>
            <w:pPr>
              <w:pStyle w:val="13"/>
              <w:ind w:firstLine="480"/>
              <w:rPr>
                <w:b/>
                <w:bCs/>
              </w:rPr>
            </w:pPr>
            <w:r>
              <w:rPr>
                <w:rFonts w:hint="eastAsia"/>
              </w:rPr>
              <w:t>项目施工期平均每天施工人数为10人，生活垃圾按0.2kg/人·d计，则项目施工人员每天产生的生活垃圾量为2kg/d，项目施工期共120d（4个月），生活垃圾产生量为0.24t。施工期生活垃圾经收集后运至村民生活垃圾收集点，最终清运至生活垃圾填埋场处置。</w:t>
            </w:r>
          </w:p>
          <w:p>
            <w:pPr>
              <w:pStyle w:val="13"/>
              <w:ind w:firstLine="480"/>
              <w:rPr>
                <w:rFonts w:eastAsia="黑体"/>
                <w:b/>
                <w:bCs/>
              </w:rPr>
            </w:pPr>
            <w:r>
              <w:rPr>
                <w:rFonts w:hint="eastAsia"/>
              </w:rPr>
              <w:t>经采取以上措施，施工期产生的各类固体废物均能得到合理处置，对环境影响小。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tcMar>
              <w:left w:w="28" w:type="dxa"/>
              <w:right w:w="28" w:type="dxa"/>
            </w:tcMar>
            <w:vAlign w:val="center"/>
          </w:tcPr>
          <w:p>
            <w:pPr>
              <w:jc w:val="center"/>
            </w:pPr>
            <w:r>
              <w:rPr>
                <w:rFonts w:hint="eastAsia"/>
              </w:rPr>
              <w:t>运营期生态环境影响分析</w:t>
            </w:r>
          </w:p>
        </w:tc>
        <w:tc>
          <w:tcPr>
            <w:tcW w:w="4618" w:type="pct"/>
            <w:vAlign w:val="center"/>
          </w:tcPr>
          <w:p>
            <w:pPr>
              <w:ind w:firstLine="482" w:firstLineChars="200"/>
              <w:rPr>
                <w:rFonts w:hint="default" w:eastAsia="宋体"/>
                <w:b/>
                <w:bCs/>
                <w:lang w:val="en-US" w:eastAsia="zh-CN"/>
              </w:rPr>
            </w:pPr>
            <w:r>
              <w:rPr>
                <w:rFonts w:hint="eastAsia"/>
                <w:b/>
                <w:bCs/>
              </w:rPr>
              <w:t>（1）</w:t>
            </w:r>
            <w:r>
              <w:rPr>
                <w:rFonts w:hint="eastAsia"/>
                <w:b/>
                <w:bCs/>
                <w:lang w:val="en-US" w:eastAsia="zh-CN"/>
              </w:rPr>
              <w:t>运营期废气和固废</w:t>
            </w:r>
            <w:r>
              <w:rPr>
                <w:rFonts w:hint="eastAsia"/>
                <w:b/>
                <w:bCs/>
              </w:rPr>
              <w:t>影响分析</w:t>
            </w:r>
          </w:p>
          <w:p>
            <w:pPr>
              <w:ind w:firstLine="480" w:firstLineChars="200"/>
            </w:pPr>
            <w:r>
              <w:rPr>
                <w:rFonts w:hint="eastAsia"/>
              </w:rPr>
              <w:t>项目运营期无废气和固废产生。</w:t>
            </w:r>
          </w:p>
          <w:p>
            <w:pPr>
              <w:ind w:firstLine="482" w:firstLineChars="200"/>
              <w:rPr>
                <w:rFonts w:hint="eastAsia"/>
                <w:b/>
                <w:bCs/>
              </w:rPr>
            </w:pPr>
            <w:r>
              <w:rPr>
                <w:rFonts w:hint="eastAsia"/>
                <w:b/>
                <w:bCs/>
              </w:rPr>
              <w:t>（2）运营期对</w:t>
            </w:r>
            <w:r>
              <w:rPr>
                <w:rFonts w:hint="eastAsia"/>
                <w:b/>
                <w:bCs/>
                <w:lang w:val="en-US" w:eastAsia="zh-CN"/>
              </w:rPr>
              <w:t>声</w:t>
            </w:r>
            <w:r>
              <w:rPr>
                <w:rFonts w:hint="eastAsia"/>
                <w:b/>
                <w:bCs/>
              </w:rPr>
              <w:t>环境的影响分析</w:t>
            </w:r>
          </w:p>
          <w:p>
            <w:pPr>
              <w:ind w:firstLine="480" w:firstLineChars="200"/>
            </w:pPr>
            <w:r>
              <w:rPr>
                <w:rFonts w:hint="eastAsia"/>
              </w:rPr>
              <w:t>项目运营期噪声源主要是水泵，噪声源强约85dB（A），噪声源及降噪措施见下表：</w:t>
            </w:r>
          </w:p>
          <w:p>
            <w:pPr>
              <w:ind w:firstLine="482" w:firstLineChars="200"/>
              <w:jc w:val="center"/>
            </w:pPr>
            <w:r>
              <w:rPr>
                <w:rFonts w:hint="eastAsia"/>
                <w:b/>
                <w:kern w:val="0"/>
                <w:szCs w:val="20"/>
              </w:rPr>
              <w:t>表4.2项目运营期噪声源强及降噪措施</w:t>
            </w:r>
          </w:p>
          <w:tbl>
            <w:tblPr>
              <w:tblStyle w:val="14"/>
              <w:tblW w:w="46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1590"/>
              <w:gridCol w:w="1347"/>
              <w:gridCol w:w="2110"/>
              <w:gridCol w:w="2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762" w:type="pct"/>
                  <w:vAlign w:val="center"/>
                </w:tcPr>
                <w:p>
                  <w:pPr>
                    <w:jc w:val="center"/>
                    <w:rPr>
                      <w:bCs/>
                      <w:sz w:val="21"/>
                      <w:szCs w:val="21"/>
                    </w:rPr>
                  </w:pPr>
                  <w:r>
                    <w:rPr>
                      <w:bCs/>
                      <w:sz w:val="21"/>
                      <w:szCs w:val="21"/>
                    </w:rPr>
                    <w:t>分类</w:t>
                  </w:r>
                </w:p>
              </w:tc>
              <w:tc>
                <w:tcPr>
                  <w:tcW w:w="949" w:type="pct"/>
                  <w:vAlign w:val="center"/>
                </w:tcPr>
                <w:p>
                  <w:pPr>
                    <w:rPr>
                      <w:bCs/>
                      <w:sz w:val="21"/>
                      <w:szCs w:val="21"/>
                    </w:rPr>
                  </w:pPr>
                  <w:r>
                    <w:rPr>
                      <w:rFonts w:hint="eastAsia"/>
                      <w:bCs/>
                      <w:sz w:val="21"/>
                      <w:szCs w:val="21"/>
                    </w:rPr>
                    <w:t>设备名称</w:t>
                  </w:r>
                </w:p>
              </w:tc>
              <w:tc>
                <w:tcPr>
                  <w:tcW w:w="804" w:type="pct"/>
                  <w:vAlign w:val="center"/>
                </w:tcPr>
                <w:p>
                  <w:pPr>
                    <w:rPr>
                      <w:bCs/>
                      <w:sz w:val="21"/>
                      <w:szCs w:val="21"/>
                    </w:rPr>
                  </w:pPr>
                  <w:r>
                    <w:rPr>
                      <w:bCs/>
                      <w:sz w:val="21"/>
                      <w:szCs w:val="21"/>
                    </w:rPr>
                    <w:t>数量（台）</w:t>
                  </w:r>
                </w:p>
              </w:tc>
              <w:tc>
                <w:tcPr>
                  <w:tcW w:w="1259" w:type="pct"/>
                  <w:vAlign w:val="center"/>
                </w:tcPr>
                <w:p>
                  <w:pPr>
                    <w:jc w:val="center"/>
                    <w:rPr>
                      <w:bCs/>
                      <w:sz w:val="21"/>
                      <w:szCs w:val="21"/>
                    </w:rPr>
                  </w:pPr>
                  <w:r>
                    <w:rPr>
                      <w:rFonts w:hint="eastAsia"/>
                      <w:bCs/>
                      <w:sz w:val="21"/>
                      <w:szCs w:val="21"/>
                    </w:rPr>
                    <w:t>降噪措施</w:t>
                  </w:r>
                </w:p>
              </w:tc>
              <w:tc>
                <w:tcPr>
                  <w:tcW w:w="1224" w:type="pct"/>
                  <w:vAlign w:val="center"/>
                </w:tcPr>
                <w:p>
                  <w:pPr>
                    <w:jc w:val="center"/>
                    <w:rPr>
                      <w:bCs/>
                      <w:sz w:val="21"/>
                      <w:szCs w:val="21"/>
                    </w:rPr>
                  </w:pPr>
                  <w:r>
                    <w:rPr>
                      <w:bCs/>
                      <w:sz w:val="21"/>
                      <w:szCs w:val="21"/>
                    </w:rPr>
                    <w:t>单台噪声值dB(A)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762" w:type="pct"/>
                  <w:vAlign w:val="center"/>
                </w:tcPr>
                <w:p>
                  <w:pPr>
                    <w:rPr>
                      <w:bCs/>
                      <w:sz w:val="21"/>
                      <w:szCs w:val="21"/>
                    </w:rPr>
                  </w:pPr>
                  <w:r>
                    <w:rPr>
                      <w:rFonts w:hint="eastAsia"/>
                      <w:bCs/>
                      <w:sz w:val="21"/>
                      <w:szCs w:val="21"/>
                    </w:rPr>
                    <w:t>设备噪声</w:t>
                  </w:r>
                </w:p>
              </w:tc>
              <w:tc>
                <w:tcPr>
                  <w:tcW w:w="949" w:type="pct"/>
                  <w:vAlign w:val="center"/>
                </w:tcPr>
                <w:p>
                  <w:pPr>
                    <w:autoSpaceDE w:val="0"/>
                    <w:autoSpaceDN w:val="0"/>
                    <w:adjustRightInd w:val="0"/>
                    <w:jc w:val="center"/>
                    <w:rPr>
                      <w:sz w:val="21"/>
                      <w:szCs w:val="21"/>
                    </w:rPr>
                  </w:pPr>
                  <w:r>
                    <w:rPr>
                      <w:rFonts w:hint="eastAsia"/>
                      <w:sz w:val="21"/>
                      <w:szCs w:val="21"/>
                    </w:rPr>
                    <w:t>水泵</w:t>
                  </w:r>
                </w:p>
              </w:tc>
              <w:tc>
                <w:tcPr>
                  <w:tcW w:w="804" w:type="pct"/>
                  <w:vAlign w:val="center"/>
                </w:tcPr>
                <w:p>
                  <w:pPr>
                    <w:jc w:val="center"/>
                    <w:rPr>
                      <w:bCs/>
                      <w:sz w:val="21"/>
                      <w:szCs w:val="21"/>
                    </w:rPr>
                  </w:pPr>
                  <w:r>
                    <w:rPr>
                      <w:rFonts w:hint="eastAsia"/>
                      <w:bCs/>
                      <w:sz w:val="21"/>
                      <w:szCs w:val="21"/>
                    </w:rPr>
                    <w:t>1</w:t>
                  </w:r>
                </w:p>
              </w:tc>
              <w:tc>
                <w:tcPr>
                  <w:tcW w:w="1259" w:type="pct"/>
                  <w:vAlign w:val="center"/>
                </w:tcPr>
                <w:p>
                  <w:pPr>
                    <w:jc w:val="center"/>
                    <w:rPr>
                      <w:bCs/>
                      <w:sz w:val="21"/>
                      <w:szCs w:val="21"/>
                    </w:rPr>
                  </w:pPr>
                  <w:r>
                    <w:rPr>
                      <w:rFonts w:hint="eastAsia"/>
                      <w:bCs/>
                      <w:sz w:val="21"/>
                      <w:szCs w:val="21"/>
                    </w:rPr>
                    <w:t>隔声减振</w:t>
                  </w:r>
                </w:p>
              </w:tc>
              <w:tc>
                <w:tcPr>
                  <w:tcW w:w="1224" w:type="pct"/>
                  <w:vAlign w:val="center"/>
                </w:tcPr>
                <w:p>
                  <w:pPr>
                    <w:autoSpaceDE w:val="0"/>
                    <w:autoSpaceDN w:val="0"/>
                    <w:adjustRightInd w:val="0"/>
                    <w:jc w:val="center"/>
                    <w:rPr>
                      <w:sz w:val="21"/>
                      <w:szCs w:val="21"/>
                    </w:rPr>
                  </w:pPr>
                  <w:r>
                    <w:rPr>
                      <w:rFonts w:hint="eastAsia"/>
                      <w:sz w:val="21"/>
                      <w:szCs w:val="21"/>
                    </w:rPr>
                    <w:t>85</w:t>
                  </w:r>
                </w:p>
              </w:tc>
            </w:tr>
          </w:tbl>
          <w:p>
            <w:pPr>
              <w:widowControl w:val="0"/>
              <w:spacing w:line="360" w:lineRule="auto"/>
              <w:jc w:val="both"/>
              <w:rPr>
                <w:rFonts w:ascii="Times New Roman" w:hAnsi="宋体" w:eastAsia="宋体" w:cs="Times New Roman"/>
                <w:b/>
                <w:color w:val="000000"/>
                <w:kern w:val="0"/>
                <w:szCs w:val="24"/>
              </w:rPr>
            </w:pPr>
            <w:r>
              <w:rPr>
                <w:rFonts w:hint="eastAsia" w:ascii="Times New Roman" w:hAnsi="宋体" w:eastAsia="宋体" w:cs="Times New Roman"/>
                <w:b/>
                <w:color w:val="000000"/>
                <w:kern w:val="0"/>
                <w:szCs w:val="24"/>
                <w:lang w:eastAsia="zh-CN"/>
              </w:rPr>
              <w:t>（</w:t>
            </w:r>
            <w:r>
              <w:rPr>
                <w:rFonts w:hint="eastAsia" w:ascii="Times New Roman" w:hAnsi="宋体" w:eastAsia="宋体" w:cs="Times New Roman"/>
                <w:b/>
                <w:color w:val="000000"/>
                <w:kern w:val="0"/>
                <w:szCs w:val="24"/>
                <w:lang w:val="en-US" w:eastAsia="zh-CN"/>
              </w:rPr>
              <w:t>3</w:t>
            </w:r>
            <w:r>
              <w:rPr>
                <w:rFonts w:hint="eastAsia" w:ascii="Times New Roman" w:hAnsi="宋体" w:eastAsia="宋体" w:cs="Times New Roman"/>
                <w:b/>
                <w:color w:val="000000"/>
                <w:kern w:val="0"/>
                <w:szCs w:val="24"/>
                <w:lang w:eastAsia="zh-CN"/>
              </w:rPr>
              <w:t>）</w:t>
            </w:r>
            <w:r>
              <w:rPr>
                <w:rFonts w:hint="eastAsia" w:ascii="Times New Roman" w:hAnsi="宋体" w:eastAsia="宋体" w:cs="Times New Roman"/>
                <w:b/>
                <w:color w:val="000000"/>
                <w:kern w:val="0"/>
                <w:szCs w:val="24"/>
              </w:rPr>
              <w:t>灌溉回归水对水质的影响分析</w:t>
            </w:r>
          </w:p>
          <w:p>
            <w:pPr>
              <w:numPr>
                <w:ilvl w:val="0"/>
                <w:numId w:val="5"/>
              </w:numPr>
              <w:ind w:firstLine="480" w:firstLineChars="200"/>
            </w:pPr>
            <w:r>
              <w:rPr>
                <w:rFonts w:hint="eastAsia"/>
              </w:rPr>
              <w:t>项目运营期主要污染物是灌溉工程的灌溉回归水对水质的影响，灌溉回归水是指灌溉水通过排水系统又回到河道的水量，主要包括灌溉盈余水量和灌溉退水量。灌溉回归水的水质与天然水源的水质比较，一般都有变化，如有机质增加、溶解氧降低或溶入农田的化肥和农药等，导致TN、TP浓度增加，项目回归水通过退水管道排至茫拉河。</w:t>
            </w:r>
          </w:p>
          <w:p>
            <w:pPr>
              <w:ind w:firstLine="480" w:firstLineChars="200"/>
            </w:pPr>
            <w:r>
              <w:rPr>
                <w:rFonts w:hint="eastAsia"/>
              </w:rPr>
              <w:t>灌溉回归水量计算公式如下：</w:t>
            </w:r>
          </w:p>
          <w:p>
            <w:pPr>
              <w:ind w:firstLine="1200" w:firstLineChars="500"/>
            </w:pPr>
            <w:r>
              <w:rPr>
                <w:rFonts w:hint="eastAsia"/>
                <w:position w:val="-14"/>
              </w:rPr>
              <w:object>
                <v:shape id="_x0000_i1026" o:spt="75" type="#_x0000_t75" style="height:19.5pt;width:117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5" r:id="rId19">
                  <o:LockedField>false</o:LockedField>
                </o:OLEObject>
              </w:object>
            </w:r>
          </w:p>
          <w:p>
            <w:pPr>
              <w:ind w:firstLine="480" w:firstLineChars="200"/>
            </w:pPr>
            <w:r>
              <w:t>根据项目《</w:t>
            </w:r>
            <w:r>
              <w:rPr>
                <w:rFonts w:hint="eastAsia"/>
              </w:rPr>
              <w:t>实施方案</w:t>
            </w:r>
            <w:r>
              <w:t>》，项目灌溉用水量为</w:t>
            </w:r>
            <w:r>
              <w:rPr>
                <w:rFonts w:hint="eastAsia"/>
                <w:lang w:val="en-US" w:eastAsia="zh-CN"/>
              </w:rPr>
              <w:t>58.05</w:t>
            </w:r>
            <w:r>
              <w:t>万m</w:t>
            </w:r>
            <w:r>
              <w:rPr>
                <w:vertAlign w:val="superscript"/>
              </w:rPr>
              <w:t>3</w:t>
            </w:r>
            <w:r>
              <w:t>，输水灌溉水利用系数达</w:t>
            </w:r>
            <w:r>
              <w:rPr>
                <w:rFonts w:hint="eastAsia"/>
              </w:rPr>
              <w:t>0.64</w:t>
            </w:r>
            <w:r>
              <w:t>，则损耗率约</w:t>
            </w:r>
            <w:r>
              <w:rPr>
                <w:rFonts w:hint="eastAsia"/>
              </w:rPr>
              <w:t>0.36</w:t>
            </w:r>
            <w:r>
              <w:t>，损耗水量为</w:t>
            </w:r>
            <w:r>
              <w:rPr>
                <w:rFonts w:hint="eastAsia"/>
                <w:lang w:val="en-US" w:eastAsia="zh-CN"/>
              </w:rPr>
              <w:t>19.94</w:t>
            </w:r>
            <w:r>
              <w:t>万m</w:t>
            </w:r>
            <w:r>
              <w:rPr>
                <w:vertAlign w:val="superscript"/>
              </w:rPr>
              <w:t>3</w:t>
            </w:r>
            <w:r>
              <w:t>，灌区净灌溉耗水量</w:t>
            </w:r>
            <w:r>
              <w:rPr>
                <w:rFonts w:hint="eastAsia"/>
                <w:lang w:val="en-US" w:eastAsia="zh-CN"/>
              </w:rPr>
              <w:t>37.15</w:t>
            </w:r>
            <w:r>
              <w:t>万m</w:t>
            </w:r>
            <w:r>
              <w:rPr>
                <w:vertAlign w:val="superscript"/>
              </w:rPr>
              <w:t>3</w:t>
            </w:r>
            <w:r>
              <w:t>，经计算，回归水量为</w:t>
            </w:r>
            <w:r>
              <w:rPr>
                <w:rFonts w:hint="eastAsia"/>
                <w:lang w:val="en-US" w:eastAsia="zh-CN"/>
              </w:rPr>
              <w:t>0.96</w:t>
            </w:r>
            <w:r>
              <w:t>万m</w:t>
            </w:r>
            <w:r>
              <w:rPr>
                <w:vertAlign w:val="superscript"/>
              </w:rPr>
              <w:t>3</w:t>
            </w:r>
            <w:r>
              <w:t>。</w:t>
            </w:r>
          </w:p>
          <w:p>
            <w:pPr>
              <w:widowControl w:val="0"/>
              <w:spacing w:line="360" w:lineRule="auto"/>
              <w:ind w:firstLine="480" w:firstLineChars="200"/>
              <w:jc w:val="both"/>
              <w:rPr>
                <w:rFonts w:ascii="Times New Roman" w:hAnsi="宋体" w:eastAsia="宋体" w:cs="Times New Roman"/>
                <w:color w:val="000000"/>
                <w:kern w:val="0"/>
                <w:szCs w:val="24"/>
              </w:rPr>
            </w:pPr>
            <w:r>
              <w:rPr>
                <w:rFonts w:hint="eastAsia" w:ascii="Times New Roman" w:hAnsi="宋体" w:eastAsia="宋体" w:cs="Times New Roman"/>
                <w:color w:val="000000"/>
                <w:kern w:val="0"/>
                <w:szCs w:val="24"/>
              </w:rPr>
              <w:t>灌溉回归水是农田灌溉中，流经渠系和田间的地表水流回流到下游沟渠或河道中的灌溉余水，项目灌溉富余水通过退水管道排入</w:t>
            </w:r>
            <w:r>
              <w:rPr>
                <w:rFonts w:hint="eastAsia" w:ascii="Times New Roman" w:hAnsi="宋体" w:eastAsia="宋体" w:cs="Times New Roman"/>
                <w:color w:val="000000"/>
                <w:kern w:val="0"/>
                <w:szCs w:val="24"/>
                <w:lang w:eastAsia="zh-CN"/>
              </w:rPr>
              <w:t>退水井</w:t>
            </w:r>
            <w:r>
              <w:rPr>
                <w:rFonts w:hint="eastAsia" w:ascii="Times New Roman" w:hAnsi="宋体" w:eastAsia="宋体" w:cs="Times New Roman"/>
                <w:color w:val="000000"/>
                <w:kern w:val="0"/>
                <w:szCs w:val="24"/>
              </w:rPr>
              <w:t>，灌溉回水对下游河道的水质影响</w:t>
            </w:r>
            <w:r>
              <w:rPr>
                <w:rFonts w:hint="eastAsia" w:hAnsi="宋体" w:cs="Times New Roman"/>
                <w:color w:val="000000"/>
                <w:kern w:val="0"/>
                <w:szCs w:val="24"/>
                <w:lang w:val="en-US" w:eastAsia="zh-CN"/>
              </w:rPr>
              <w:t>较小</w:t>
            </w:r>
            <w:r>
              <w:rPr>
                <w:rFonts w:hint="eastAsia" w:ascii="Times New Roman" w:hAnsi="宋体" w:eastAsia="宋体" w:cs="Times New Roman"/>
                <w:color w:val="000000"/>
                <w:kern w:val="0"/>
                <w:szCs w:val="24"/>
              </w:rPr>
              <w:t>。</w:t>
            </w:r>
          </w:p>
          <w:p>
            <w:pPr>
              <w:widowControl w:val="0"/>
              <w:spacing w:line="360" w:lineRule="auto"/>
              <w:ind w:firstLine="480" w:firstLineChars="200"/>
              <w:jc w:val="both"/>
              <w:rPr>
                <w:rFonts w:ascii="Times New Roman" w:hAnsi="宋体" w:eastAsia="宋体" w:cs="Times New Roman"/>
                <w:color w:val="000000"/>
                <w:kern w:val="0"/>
                <w:szCs w:val="24"/>
              </w:rPr>
            </w:pPr>
            <w:r>
              <w:rPr>
                <w:rFonts w:hint="eastAsia" w:ascii="Times New Roman" w:hAnsi="宋体" w:eastAsia="宋体" w:cs="Times New Roman"/>
                <w:color w:val="000000"/>
                <w:kern w:val="0"/>
                <w:szCs w:val="24"/>
              </w:rPr>
              <w:t>灌区范围内无大型工矿企业，不存在工矿污染源；项目退水管道沿线设置进水池、出水池，且退水管道采用PE管道，故对输水沿线的残枝烂叶、泥沙等有截流、沉淀的作用，故造成的影响不大；目前随着新农村的建设，乡村中的旱厕均改造为环保旱厕，粪便污水可采用防渗粪池收集并清掏还田，</w:t>
            </w:r>
            <w:r>
              <w:rPr>
                <w:rFonts w:hint="eastAsia" w:hAnsi="宋体" w:cs="Times New Roman"/>
                <w:color w:val="000000"/>
                <w:kern w:val="0"/>
                <w:szCs w:val="24"/>
                <w:lang w:val="en-US" w:eastAsia="zh-CN"/>
              </w:rPr>
              <w:t>且</w:t>
            </w:r>
            <w:r>
              <w:rPr>
                <w:rFonts w:hint="eastAsia" w:ascii="Times New Roman" w:hAnsi="宋体" w:eastAsia="宋体" w:cs="Times New Roman"/>
                <w:color w:val="000000"/>
                <w:kern w:val="0"/>
                <w:szCs w:val="24"/>
              </w:rPr>
              <w:t>灌区工程</w:t>
            </w:r>
            <w:r>
              <w:rPr>
                <w:rFonts w:hint="eastAsia"/>
              </w:rPr>
              <w:t>铺设</w:t>
            </w:r>
            <w:r>
              <w:rPr>
                <w:rFonts w:hint="eastAsia" w:hAnsi="宋体" w:cs="Times New Roman"/>
                <w:color w:val="000000"/>
                <w:kern w:val="0"/>
                <w:szCs w:val="24"/>
                <w:lang w:val="en-US" w:eastAsia="zh-CN"/>
              </w:rPr>
              <w:t>供水</w:t>
            </w:r>
            <w:r>
              <w:rPr>
                <w:rFonts w:hint="eastAsia"/>
              </w:rPr>
              <w:t>管网及相关配套设施</w:t>
            </w:r>
            <w:r>
              <w:rPr>
                <w:rFonts w:hint="eastAsia" w:ascii="Times New Roman" w:hAnsi="宋体" w:eastAsia="宋体" w:cs="Times New Roman"/>
                <w:color w:val="000000"/>
                <w:kern w:val="0"/>
                <w:szCs w:val="24"/>
              </w:rPr>
              <w:t>，故灌溉水受生活污水的影响概率较小。</w:t>
            </w:r>
          </w:p>
          <w:p>
            <w:pPr>
              <w:widowControl w:val="0"/>
              <w:spacing w:line="360" w:lineRule="auto"/>
              <w:ind w:firstLine="480" w:firstLineChars="200"/>
              <w:jc w:val="both"/>
              <w:rPr>
                <w:rFonts w:ascii="Times New Roman" w:hAnsi="宋体" w:eastAsia="宋体" w:cs="Times New Roman"/>
                <w:color w:val="000000"/>
                <w:kern w:val="0"/>
                <w:szCs w:val="24"/>
              </w:rPr>
            </w:pPr>
            <w:r>
              <w:rPr>
                <w:rFonts w:hint="eastAsia" w:ascii="Times New Roman" w:hAnsi="宋体" w:eastAsia="宋体" w:cs="Times New Roman"/>
                <w:color w:val="000000"/>
                <w:kern w:val="0"/>
                <w:szCs w:val="24"/>
              </w:rPr>
              <w:t>灌溉回归水最重要的在于农作物种植过程中因化肥、农药施用而产生的面源污染，根据我国农田化肥、用药利用情况的研究结果，农药的使用效率为20%，化肥的使用效率为30%，特别是氮肥的流失率较高，氮进入水体是潜在的污染源，因此，灌溉回归水对地表水是一个潜在的污染源。但根据现场调查，项目区</w:t>
            </w:r>
            <w:r>
              <w:rPr>
                <w:rFonts w:hint="eastAsia" w:hAnsi="宋体" w:cs="Times New Roman"/>
                <w:color w:val="000000"/>
                <w:kern w:val="0"/>
                <w:szCs w:val="24"/>
                <w:lang w:val="en-US" w:eastAsia="zh-CN"/>
              </w:rPr>
              <w:t>下游</w:t>
            </w:r>
            <w:r>
              <w:rPr>
                <w:rFonts w:hint="eastAsia" w:ascii="Times New Roman" w:hAnsi="宋体" w:eastAsia="宋体" w:cs="Times New Roman"/>
                <w:color w:val="000000"/>
                <w:kern w:val="0"/>
                <w:szCs w:val="24"/>
              </w:rPr>
              <w:t>生活用水采用村镇人畜供水工程供给，项目下游不存在人畜饮水取水点和备用取水点，故项目回归水对人畜饮水不会造成影响。</w:t>
            </w:r>
          </w:p>
          <w:p>
            <w:pPr>
              <w:widowControl w:val="0"/>
              <w:spacing w:line="360" w:lineRule="auto"/>
              <w:ind w:firstLine="480" w:firstLineChars="200"/>
              <w:jc w:val="both"/>
              <w:rPr>
                <w:rFonts w:ascii="Times New Roman" w:hAnsi="宋体" w:eastAsia="宋体" w:cs="Times New Roman"/>
                <w:color w:val="000000"/>
                <w:kern w:val="0"/>
                <w:szCs w:val="24"/>
              </w:rPr>
            </w:pPr>
            <w:r>
              <w:rPr>
                <w:rFonts w:hint="eastAsia" w:ascii="Times New Roman" w:hAnsi="宋体" w:eastAsia="宋体" w:cs="Times New Roman"/>
                <w:color w:val="000000"/>
                <w:kern w:val="0"/>
                <w:szCs w:val="24"/>
              </w:rPr>
              <w:t>灌区回归水排放期主要集中在灌溉期，且项目区属于旱地浇灌，浇灌水基本被植被或土壤吸收，回归水量不大，约</w:t>
            </w:r>
            <w:r>
              <w:rPr>
                <w:rFonts w:hint="eastAsia" w:hAnsi="宋体" w:cs="Times New Roman"/>
                <w:color w:val="000000"/>
                <w:kern w:val="0"/>
                <w:szCs w:val="24"/>
                <w:lang w:val="en-US" w:eastAsia="zh-CN"/>
              </w:rPr>
              <w:t>0.96</w:t>
            </w:r>
            <w:r>
              <w:rPr>
                <w:rFonts w:hint="eastAsia" w:ascii="Times New Roman" w:hAnsi="宋体" w:eastAsia="宋体" w:cs="Times New Roman"/>
                <w:color w:val="000000"/>
                <w:kern w:val="0"/>
                <w:szCs w:val="24"/>
              </w:rPr>
              <w:t>万m</w:t>
            </w:r>
            <w:r>
              <w:rPr>
                <w:rFonts w:hint="eastAsia" w:ascii="Times New Roman" w:hAnsi="宋体" w:eastAsia="宋体" w:cs="Times New Roman"/>
                <w:color w:val="000000"/>
                <w:kern w:val="0"/>
                <w:szCs w:val="24"/>
                <w:vertAlign w:val="superscript"/>
              </w:rPr>
              <w:t>3</w:t>
            </w:r>
            <w:r>
              <w:rPr>
                <w:rFonts w:hint="eastAsia" w:ascii="Times New Roman" w:hAnsi="宋体" w:eastAsia="宋体" w:cs="Times New Roman"/>
                <w:color w:val="000000"/>
                <w:kern w:val="0"/>
                <w:szCs w:val="24"/>
              </w:rPr>
              <w:t>/a，且主要在</w:t>
            </w:r>
            <w:r>
              <w:rPr>
                <w:rFonts w:hint="eastAsia" w:hAnsi="宋体" w:cs="Times New Roman"/>
                <w:color w:val="000000"/>
                <w:kern w:val="0"/>
                <w:szCs w:val="24"/>
                <w:lang w:val="en-US" w:eastAsia="zh-CN"/>
              </w:rPr>
              <w:t>管道</w:t>
            </w:r>
            <w:r>
              <w:rPr>
                <w:rFonts w:hint="eastAsia" w:ascii="Times New Roman" w:hAnsi="宋体" w:eastAsia="宋体" w:cs="Times New Roman"/>
                <w:color w:val="000000"/>
                <w:kern w:val="0"/>
                <w:szCs w:val="24"/>
              </w:rPr>
              <w:t>退水等过程产生，不像稻田换水等在田间滞留一段时间后排出的水，故其中TN、TP等的污染物含量不高，另外，</w:t>
            </w:r>
            <w:r>
              <w:rPr>
                <w:rFonts w:hint="eastAsia" w:hAnsi="宋体" w:cs="Times New Roman"/>
                <w:color w:val="000000"/>
                <w:kern w:val="0"/>
                <w:szCs w:val="24"/>
                <w:lang w:val="en-US" w:eastAsia="zh-CN"/>
              </w:rPr>
              <w:t>角乎拉沟和西龙曲</w:t>
            </w:r>
            <w:r>
              <w:rPr>
                <w:rFonts w:hint="eastAsia" w:ascii="Times New Roman" w:hAnsi="宋体" w:eastAsia="宋体" w:cs="Times New Roman"/>
                <w:color w:val="000000"/>
                <w:kern w:val="0"/>
                <w:szCs w:val="24"/>
              </w:rPr>
              <w:t>接纳的回归水可以通过自净能力得到净化，目前参照</w:t>
            </w:r>
            <w:r>
              <w:rPr>
                <w:rFonts w:hint="eastAsia" w:hAnsi="宋体" w:cs="Times New Roman"/>
                <w:color w:val="000000"/>
                <w:kern w:val="0"/>
                <w:szCs w:val="24"/>
                <w:lang w:val="en-US" w:eastAsia="zh-CN"/>
              </w:rPr>
              <w:t>茫拉河</w:t>
            </w:r>
            <w:r>
              <w:rPr>
                <w:rFonts w:hint="eastAsia" w:ascii="Times New Roman" w:hAnsi="宋体" w:eastAsia="宋体" w:cs="Times New Roman"/>
                <w:color w:val="000000"/>
                <w:kern w:val="0"/>
                <w:szCs w:val="24"/>
              </w:rPr>
              <w:t>干流的水质现状，</w:t>
            </w:r>
            <w:r>
              <w:rPr>
                <w:rFonts w:hint="eastAsia" w:hAnsi="宋体" w:cs="Times New Roman"/>
                <w:color w:val="000000"/>
                <w:kern w:val="0"/>
                <w:szCs w:val="24"/>
                <w:lang w:val="en-US" w:eastAsia="zh-CN"/>
              </w:rPr>
              <w:t>角乎拉沟和西龙曲</w:t>
            </w:r>
            <w:r>
              <w:rPr>
                <w:rFonts w:hint="eastAsia" w:ascii="Times New Roman" w:hAnsi="宋体" w:eastAsia="宋体" w:cs="Times New Roman"/>
                <w:color w:val="000000"/>
                <w:kern w:val="0"/>
                <w:szCs w:val="24"/>
              </w:rPr>
              <w:t>作为</w:t>
            </w:r>
            <w:r>
              <w:rPr>
                <w:rFonts w:hint="eastAsia" w:hAnsi="宋体" w:cs="Times New Roman"/>
                <w:color w:val="000000"/>
                <w:kern w:val="0"/>
                <w:szCs w:val="24"/>
                <w:lang w:val="en-US" w:eastAsia="zh-CN"/>
              </w:rPr>
              <w:t>一级</w:t>
            </w:r>
            <w:r>
              <w:rPr>
                <w:rFonts w:hint="eastAsia" w:ascii="Times New Roman" w:hAnsi="宋体" w:eastAsia="宋体" w:cs="Times New Roman"/>
                <w:color w:val="000000"/>
                <w:kern w:val="0"/>
                <w:szCs w:val="24"/>
              </w:rPr>
              <w:t>支流，水质满足功能区划的II水质要求，故项目区灌溉回归水对水质造成的影响不大。</w:t>
            </w:r>
          </w:p>
          <w:p>
            <w:pPr>
              <w:rPr>
                <w:rFonts w:hint="eastAsia"/>
                <w:b/>
                <w:bCs/>
              </w:rPr>
            </w:pPr>
            <w:r>
              <w:rPr>
                <w:rFonts w:hint="eastAsia"/>
                <w:b/>
                <w:bCs/>
                <w:lang w:eastAsia="zh-CN"/>
              </w:rPr>
              <w:t>（</w:t>
            </w:r>
            <w:r>
              <w:rPr>
                <w:rFonts w:hint="eastAsia"/>
                <w:b/>
                <w:bCs/>
                <w:lang w:val="en-US" w:eastAsia="zh-CN"/>
              </w:rPr>
              <w:t>4</w:t>
            </w:r>
            <w:r>
              <w:rPr>
                <w:rFonts w:hint="eastAsia"/>
                <w:b/>
                <w:bCs/>
                <w:lang w:eastAsia="zh-CN"/>
              </w:rPr>
              <w:t>）</w:t>
            </w:r>
            <w:r>
              <w:rPr>
                <w:rFonts w:hint="eastAsia"/>
                <w:b/>
                <w:bCs/>
              </w:rPr>
              <w:t>运营期</w:t>
            </w:r>
            <w:r>
              <w:rPr>
                <w:rFonts w:hint="eastAsia"/>
                <w:b/>
                <w:bCs/>
                <w:lang w:eastAsia="zh-CN"/>
              </w:rPr>
              <w:t>灌溉</w:t>
            </w:r>
            <w:r>
              <w:rPr>
                <w:rFonts w:hint="eastAsia"/>
                <w:b/>
                <w:bCs/>
              </w:rPr>
              <w:t>对土壤环境的影响分析</w:t>
            </w:r>
          </w:p>
          <w:p>
            <w:pPr>
              <w:ind w:firstLine="480" w:firstLineChars="200"/>
              <w:rPr>
                <w:rFonts w:hint="eastAsia"/>
              </w:rPr>
            </w:pPr>
            <w:r>
              <w:rPr>
                <w:rFonts w:hint="eastAsia"/>
              </w:rPr>
              <w:t>对土壤环境的影响主要从土壤潜育化和土壤盐碱化进行分析。</w:t>
            </w:r>
          </w:p>
          <w:p>
            <w:pPr>
              <w:ind w:firstLine="480" w:firstLineChars="200"/>
              <w:rPr>
                <w:rFonts w:hint="eastAsia"/>
              </w:rPr>
            </w:pPr>
            <w:r>
              <w:rPr>
                <w:rFonts w:hint="eastAsia"/>
              </w:rPr>
              <w:t>土壤潜育化是土壤处于地下水饱和、过饱和水长期浸润状态下，出现Fe、Mn还原而生成的灰色斑纹层、腐泥层、青泥层、泥炭层的土壤过程，排水不良是滋生潜育化的根本原因；土壤盐碱化是指土壤含盐量太高（超过0.3%），在地表形成“盐霜”使农作物低产或不能生长的现象。</w:t>
            </w:r>
          </w:p>
          <w:p>
            <w:pPr>
              <w:ind w:firstLine="480" w:firstLineChars="200"/>
              <w:rPr>
                <w:rFonts w:hint="eastAsia" w:eastAsia="宋体"/>
                <w:lang w:val="en-US" w:eastAsia="zh-CN"/>
              </w:rPr>
            </w:pPr>
            <w:r>
              <w:rPr>
                <w:rFonts w:hint="eastAsia"/>
              </w:rPr>
              <w:t>本工程建成后，有合理的排水</w:t>
            </w:r>
            <w:r>
              <w:rPr>
                <w:rFonts w:hint="eastAsia"/>
                <w:lang w:val="en-US" w:eastAsia="zh-CN"/>
              </w:rPr>
              <w:t>管和退水井</w:t>
            </w:r>
            <w:r>
              <w:rPr>
                <w:rFonts w:hint="eastAsia"/>
              </w:rPr>
              <w:t>，排水顺畅，且项目根据</w:t>
            </w:r>
            <w:r>
              <w:t>《青海省用水定额》（DB63/T1429-2015）并结合项目区多年灌溉经验，确定小麦和青稞灌溉用水定额均为325m³/亩，灌水均为5次；油菜灌水定额为260m³/亩，灌水次数为4次；洋芋灌水定额200m³/亩，灌水次数为4次；林地灌水定额240m³/亩，灌水次数为4次</w:t>
            </w:r>
            <w:r>
              <w:rPr>
                <w:rFonts w:hint="eastAsia"/>
              </w:rPr>
              <w:t>。灌溉深度一般为30cm，属于非充分灌溉，故项目运营期不存在土壤处于地下水饱和、过饱和和长期浸润的现象，故不会导致灌区土壤潜育化和盐碱化。</w:t>
            </w:r>
          </w:p>
          <w:p>
            <w:pPr>
              <w:widowControl w:val="0"/>
              <w:spacing w:line="360" w:lineRule="auto"/>
              <w:jc w:val="both"/>
              <w:rPr>
                <w:rFonts w:ascii="Times New Roman" w:cs="Times New Roman"/>
                <w:color w:val="000000" w:themeColor="text1"/>
              </w:rPr>
            </w:pPr>
            <w:r>
              <w:rPr>
                <w:rFonts w:hint="eastAsia" w:ascii="Times New Roman" w:cs="Times New Roman"/>
                <w:b/>
                <w:color w:val="000000" w:themeColor="text1"/>
                <w:lang w:eastAsia="zh-CN"/>
              </w:rPr>
              <w:t>（</w:t>
            </w:r>
            <w:r>
              <w:rPr>
                <w:rFonts w:hint="eastAsia" w:ascii="Times New Roman" w:cs="Times New Roman"/>
                <w:b/>
                <w:color w:val="000000" w:themeColor="text1"/>
                <w:lang w:val="en-US" w:eastAsia="zh-CN"/>
              </w:rPr>
              <w:t>5</w:t>
            </w:r>
            <w:r>
              <w:rPr>
                <w:rFonts w:hint="eastAsia" w:ascii="Times New Roman" w:cs="Times New Roman"/>
                <w:b/>
                <w:color w:val="000000" w:themeColor="text1"/>
                <w:lang w:eastAsia="zh-CN"/>
              </w:rPr>
              <w:t>）</w:t>
            </w:r>
            <w:r>
              <w:rPr>
                <w:rFonts w:hint="eastAsia" w:ascii="Times New Roman" w:cs="Times New Roman"/>
                <w:b/>
                <w:color w:val="000000" w:themeColor="text1"/>
                <w:lang w:val="en-US" w:eastAsia="zh-CN"/>
              </w:rPr>
              <w:t>运营期灌溉对</w:t>
            </w:r>
            <w:r>
              <w:rPr>
                <w:rFonts w:ascii="Times New Roman" w:cs="Times New Roman"/>
                <w:b/>
                <w:color w:val="000000" w:themeColor="text1"/>
              </w:rPr>
              <w:t>生态环境影响分析</w:t>
            </w:r>
          </w:p>
          <w:p>
            <w:pPr>
              <w:autoSpaceDE w:val="0"/>
              <w:autoSpaceDN w:val="0"/>
              <w:adjustRightInd w:val="0"/>
              <w:spacing w:line="360" w:lineRule="auto"/>
              <w:ind w:firstLine="480" w:firstLineChars="200"/>
              <w:rPr>
                <w:rFonts w:ascii="Times New Roman" w:cs="Times New Roman"/>
                <w:color w:val="000000" w:themeColor="text1"/>
              </w:rPr>
            </w:pPr>
            <w:r>
              <w:rPr>
                <w:rFonts w:hint="eastAsia" w:ascii="Times New Roman" w:cs="Times New Roman"/>
                <w:color w:val="000000" w:themeColor="text1"/>
              </w:rPr>
              <w:t>项目运营期生态环境影响，主要从项目引水灌溉可能造成的下游减脱水及其对水生生物的影响进行分析。</w:t>
            </w:r>
          </w:p>
          <w:p>
            <w:pPr>
              <w:autoSpaceDE w:val="0"/>
              <w:autoSpaceDN w:val="0"/>
              <w:adjustRightInd w:val="0"/>
              <w:spacing w:line="360" w:lineRule="auto"/>
              <w:ind w:firstLine="480" w:firstLineChars="200"/>
              <w:rPr>
                <w:rFonts w:hint="eastAsia" w:ascii="Times New Roman" w:cs="Times New Roman"/>
                <w:color w:val="000000" w:themeColor="text1"/>
                <w:sz w:val="24"/>
                <w:szCs w:val="24"/>
              </w:rPr>
            </w:pPr>
            <w:r>
              <w:rPr>
                <w:rFonts w:hint="eastAsia" w:ascii="Times New Roman" w:cs="Times New Roman"/>
                <w:color w:val="000000" w:themeColor="text1"/>
              </w:rPr>
              <w:t>项目工程取水口下游河段不涉及居民饮用水取水要求，附近居民地饮用水均取自人畜饮水工程，同时，本工程取水口下游河段也没有工矿企业，不涉及相关企业地取用水要求。</w:t>
            </w:r>
            <w:r>
              <w:rPr>
                <w:rFonts w:hint="eastAsia" w:ascii="Times New Roman" w:cs="Times New Roman"/>
                <w:color w:val="000000" w:themeColor="text1"/>
                <w:sz w:val="24"/>
                <w:szCs w:val="24"/>
              </w:rPr>
              <w:t>其次，项目引水口下游再不涉及其他灌溉等取水设施。再者，项目均采取无坝引水灌溉，故对下游河段造成的减水现象具有暂时性和间歇性，且本工程引水河流中无珍惜保护鱼类。</w:t>
            </w:r>
          </w:p>
          <w:p>
            <w:pPr>
              <w:pStyle w:val="13"/>
              <w:pageBreakBefore w:val="0"/>
              <w:kinsoku/>
              <w:wordWrap/>
              <w:topLinePunct w:val="0"/>
              <w:autoSpaceDE/>
              <w:autoSpaceDN/>
              <w:bidi w:val="0"/>
              <w:ind w:firstLine="480"/>
              <w:textAlignment w:val="auto"/>
              <w:rPr>
                <w:rFonts w:hint="eastAsia" w:ascii="Times New Roman" w:cs="Times New Roman"/>
                <w:color w:val="000000" w:themeColor="text1"/>
                <w:sz w:val="24"/>
                <w:szCs w:val="24"/>
              </w:rPr>
            </w:pPr>
            <w:r>
              <w:rPr>
                <w:rFonts w:hint="eastAsia" w:ascii="Times New Roman" w:cs="Times New Roman"/>
                <w:color w:val="000000" w:themeColor="text1"/>
                <w:sz w:val="24"/>
                <w:szCs w:val="24"/>
              </w:rPr>
              <w:t>因此，项目运营期取水口下游减脱水现象，尽可能会对浮游动物的生存空间会产生影响，但其影响程度和范围较小，且随着灌溉季节的结束会随之自行恢复，除此之外，对引水口下游的陆生生态环境不造成影响。</w:t>
            </w:r>
          </w:p>
          <w:p>
            <w:pPr>
              <w:pStyle w:val="13"/>
              <w:pageBreakBefore w:val="0"/>
              <w:kinsoku/>
              <w:wordWrap/>
              <w:topLinePunct w:val="0"/>
              <w:autoSpaceDE/>
              <w:autoSpaceDN/>
              <w:bidi w:val="0"/>
              <w:ind w:firstLine="480"/>
              <w:textAlignment w:val="auto"/>
              <w:rPr>
                <w:rFonts w:hint="eastAsia"/>
                <w:sz w:val="24"/>
                <w:szCs w:val="24"/>
              </w:rPr>
            </w:pPr>
            <w:r>
              <w:rPr>
                <w:rFonts w:hint="eastAsia"/>
                <w:sz w:val="24"/>
                <w:szCs w:val="24"/>
                <w:lang w:val="en-US" w:eastAsia="zh-CN"/>
              </w:rPr>
              <w:t>项目区灌溉面积为2000亩，本项目实施前，由于渠道为土渠，灌溉水利用系数为0.35左右。通过本项目的实施，通过干管的配套，灌溉水利用系数可达到0.52。若按净灌溉定额不变计算，每亩用水量由原来的平均每亩527.75m³减少到290.26m³。亩均可节水237.49m³，按项目总灌溉面积2000亩计算，可节水47.5万m³左右，按亩均综合毛灌溉定额530m³亩计，相当于可扩大灌溉面积896.19亩，节水效益十分显著。</w:t>
            </w:r>
          </w:p>
          <w:p>
            <w:pPr>
              <w:ind w:firstLine="480" w:firstLineChars="200"/>
              <w:rPr>
                <w:rFonts w:hint="eastAsia"/>
                <w:lang w:val="en-US" w:eastAsia="zh-CN"/>
              </w:rPr>
            </w:pPr>
            <w:r>
              <w:rPr>
                <w:rFonts w:hint="eastAsia" w:ascii="Times New Roman" w:cs="Times New Roman"/>
                <w:color w:val="000000" w:themeColor="text1"/>
                <w:sz w:val="24"/>
                <w:szCs w:val="24"/>
                <w:lang w:val="en-US" w:eastAsia="zh-CN"/>
              </w:rPr>
              <w:t>1）</w:t>
            </w:r>
            <w:r>
              <w:rPr>
                <w:rFonts w:hint="eastAsia" w:cs="Times New Roman"/>
                <w:color w:val="000000" w:themeColor="text1"/>
                <w:sz w:val="24"/>
                <w:szCs w:val="24"/>
                <w:lang w:val="en-US" w:eastAsia="zh-CN"/>
              </w:rPr>
              <w:t>过度</w:t>
            </w:r>
            <w:r>
              <w:rPr>
                <w:rFonts w:hint="eastAsia" w:ascii="Times New Roman" w:cs="Times New Roman"/>
                <w:color w:val="000000" w:themeColor="text1"/>
                <w:sz w:val="24"/>
                <w:szCs w:val="24"/>
              </w:rPr>
              <w:t>灌溉造成水资源失衡。</w:t>
            </w:r>
            <w:r>
              <w:rPr>
                <w:rFonts w:hint="eastAsia" w:ascii="Times New Roman" w:cs="Times New Roman"/>
                <w:color w:val="000000" w:themeColor="text1"/>
                <w:sz w:val="24"/>
                <w:szCs w:val="24"/>
                <w:lang w:val="en-US" w:eastAsia="zh-CN"/>
              </w:rPr>
              <w:t>运营期</w:t>
            </w:r>
            <w:r>
              <w:rPr>
                <w:rFonts w:hint="eastAsia" w:ascii="Times New Roman" w:cs="Times New Roman"/>
                <w:color w:val="000000" w:themeColor="text1"/>
                <w:sz w:val="24"/>
                <w:szCs w:val="24"/>
              </w:rPr>
              <w:t>造成生态破坏的最重要原因之一是下游河流流量减少。当河流流量减少时，可能导</w:t>
            </w:r>
            <w:r>
              <w:rPr>
                <w:rFonts w:hint="eastAsia" w:cs="Times New Roman"/>
                <w:color w:val="000000" w:themeColor="text1"/>
                <w:sz w:val="24"/>
                <w:szCs w:val="24"/>
                <w:lang w:val="en-US" w:eastAsia="zh-CN"/>
              </w:rPr>
              <w:t>致下游</w:t>
            </w:r>
            <w:r>
              <w:rPr>
                <w:rFonts w:hint="eastAsia" w:ascii="Times New Roman" w:cs="Times New Roman"/>
                <w:color w:val="000000" w:themeColor="text1"/>
                <w:sz w:val="24"/>
                <w:szCs w:val="24"/>
              </w:rPr>
              <w:t>饮用水</w:t>
            </w:r>
            <w:r>
              <w:rPr>
                <w:rFonts w:hint="eastAsia" w:cs="Times New Roman"/>
                <w:color w:val="000000" w:themeColor="text1"/>
                <w:sz w:val="24"/>
                <w:szCs w:val="24"/>
                <w:lang w:eastAsia="zh-CN"/>
              </w:rPr>
              <w:t>、</w:t>
            </w:r>
            <w:r>
              <w:rPr>
                <w:rFonts w:hint="eastAsia" w:ascii="Times New Roman" w:cs="Times New Roman"/>
                <w:color w:val="000000" w:themeColor="text1"/>
                <w:sz w:val="24"/>
                <w:szCs w:val="24"/>
              </w:rPr>
              <w:t>工业和市政供水</w:t>
            </w:r>
            <w:r>
              <w:rPr>
                <w:rFonts w:hint="eastAsia" w:cs="Times New Roman"/>
                <w:color w:val="000000" w:themeColor="text1"/>
                <w:sz w:val="24"/>
                <w:szCs w:val="24"/>
                <w:lang w:eastAsia="zh-CN"/>
              </w:rPr>
              <w:t>、</w:t>
            </w:r>
            <w:r>
              <w:rPr>
                <w:rFonts w:hint="eastAsia" w:cs="Times New Roman"/>
                <w:color w:val="000000" w:themeColor="text1"/>
                <w:sz w:val="24"/>
                <w:szCs w:val="24"/>
                <w:lang w:val="en-US" w:eastAsia="zh-CN"/>
              </w:rPr>
              <w:t>生态需水</w:t>
            </w:r>
            <w:r>
              <w:rPr>
                <w:rFonts w:hint="eastAsia" w:ascii="Times New Roman" w:cs="Times New Roman"/>
                <w:color w:val="000000" w:themeColor="text1"/>
                <w:sz w:val="24"/>
                <w:szCs w:val="24"/>
              </w:rPr>
              <w:t>不足</w:t>
            </w:r>
            <w:r>
              <w:rPr>
                <w:rFonts w:hint="eastAsia" w:ascii="Times New Roman" w:cs="Times New Roman"/>
                <w:color w:val="000000" w:themeColor="text1"/>
                <w:sz w:val="24"/>
                <w:szCs w:val="24"/>
                <w:lang w:eastAsia="zh-CN"/>
              </w:rPr>
              <w:t>，</w:t>
            </w:r>
            <w:r>
              <w:rPr>
                <w:rFonts w:hint="eastAsia" w:ascii="Times New Roman" w:hAnsi="宋体" w:eastAsia="宋体" w:cs="Times New Roman"/>
                <w:color w:val="000000"/>
                <w:kern w:val="0"/>
                <w:sz w:val="24"/>
                <w:szCs w:val="24"/>
              </w:rPr>
              <w:t>但根据现场调查，项目区</w:t>
            </w:r>
            <w:r>
              <w:rPr>
                <w:rFonts w:hint="eastAsia" w:hAnsi="宋体" w:cs="Times New Roman"/>
                <w:color w:val="000000"/>
                <w:kern w:val="0"/>
                <w:sz w:val="24"/>
                <w:szCs w:val="24"/>
                <w:lang w:val="en-US" w:eastAsia="zh-CN"/>
              </w:rPr>
              <w:t>下游</w:t>
            </w:r>
            <w:r>
              <w:rPr>
                <w:rFonts w:hint="eastAsia" w:ascii="Times New Roman" w:hAnsi="宋体" w:eastAsia="宋体" w:cs="Times New Roman"/>
                <w:color w:val="000000"/>
                <w:kern w:val="0"/>
                <w:sz w:val="24"/>
                <w:szCs w:val="24"/>
              </w:rPr>
              <w:t>生活用水采用村镇人畜供水工程供给，项目下游不存在人畜饮水取水点和备用取水点</w:t>
            </w:r>
            <w:r>
              <w:rPr>
                <w:rFonts w:hint="eastAsia" w:hAnsi="宋体" w:cs="Times New Roman"/>
                <w:color w:val="000000"/>
                <w:kern w:val="0"/>
                <w:sz w:val="24"/>
                <w:szCs w:val="24"/>
                <w:lang w:eastAsia="zh-CN"/>
              </w:rPr>
              <w:t>。</w:t>
            </w:r>
            <w:r>
              <w:rPr>
                <w:rFonts w:hint="eastAsia" w:hAnsi="宋体" w:cs="Times New Roman"/>
                <w:color w:val="000000"/>
                <w:kern w:val="0"/>
                <w:sz w:val="24"/>
                <w:szCs w:val="24"/>
                <w:lang w:val="en-US" w:eastAsia="zh-CN"/>
              </w:rPr>
              <w:t>本项目下游的生态需水量较小，却旦塘灌区引水量为角乎拉沟年径流量的4.42%，下洛哇灌溉区引水量为西龙曲年净流量的0.79%，水量减少幅度不大，对下游生态需水影响较小。</w:t>
            </w:r>
            <w:r>
              <w:rPr>
                <w:rFonts w:hint="eastAsia" w:ascii="Times New Roman" w:cs="Times New Roman"/>
                <w:color w:val="000000" w:themeColor="text1"/>
                <w:sz w:val="24"/>
                <w:szCs w:val="24"/>
              </w:rPr>
              <w:t>此外，</w:t>
            </w:r>
            <w:r>
              <w:rPr>
                <w:rFonts w:hint="eastAsia" w:ascii="Times New Roman" w:cs="Times New Roman"/>
                <w:color w:val="000000" w:themeColor="text1"/>
                <w:sz w:val="24"/>
                <w:szCs w:val="24"/>
                <w:lang w:val="en-US" w:eastAsia="zh-CN"/>
              </w:rPr>
              <w:t>灌溉工程</w:t>
            </w:r>
            <w:r>
              <w:rPr>
                <w:rFonts w:hint="eastAsia" w:ascii="Times New Roman" w:cs="Times New Roman"/>
                <w:color w:val="000000" w:themeColor="text1"/>
                <w:sz w:val="24"/>
                <w:szCs w:val="24"/>
              </w:rPr>
              <w:t>也显着改变了这些水道的生态系统和栖息地</w:t>
            </w:r>
            <w:r>
              <w:rPr>
                <w:rFonts w:hint="eastAsia" w:ascii="Times New Roman" w:cs="Times New Roman"/>
                <w:color w:val="000000" w:themeColor="text1"/>
                <w:sz w:val="24"/>
                <w:szCs w:val="24"/>
                <w:lang w:eastAsia="zh-CN"/>
              </w:rPr>
              <w:t>，</w:t>
            </w:r>
            <w:r>
              <w:rPr>
                <w:rFonts w:hint="eastAsia" w:ascii="Times New Roman" w:cs="Times New Roman"/>
                <w:color w:val="000000" w:themeColor="text1"/>
                <w:sz w:val="24"/>
                <w:szCs w:val="24"/>
                <w:lang w:val="en-US" w:eastAsia="zh-CN"/>
              </w:rPr>
              <w:t>本项目</w:t>
            </w:r>
            <w:r>
              <w:rPr>
                <w:rFonts w:hint="eastAsia"/>
                <w:sz w:val="24"/>
                <w:szCs w:val="24"/>
              </w:rPr>
              <w:t>取水河段主要水生生物为</w:t>
            </w:r>
            <w:r>
              <w:rPr>
                <w:rFonts w:hint="eastAsia"/>
              </w:rPr>
              <w:t>浮游动物，无重要鱼类越冬场和产卵场等</w:t>
            </w:r>
            <w:r>
              <w:rPr>
                <w:rFonts w:hint="eastAsia"/>
                <w:lang w:eastAsia="zh-CN"/>
              </w:rPr>
              <w:t>，因此，</w:t>
            </w:r>
            <w:r>
              <w:rPr>
                <w:rFonts w:hint="eastAsia" w:ascii="Times New Roman" w:hAnsi="Times New Roman" w:cs="Times New Roman"/>
                <w:color w:val="000000" w:themeColor="text1"/>
                <w:sz w:val="24"/>
                <w:szCs w:val="24"/>
              </w:rPr>
              <w:t>项目</w:t>
            </w:r>
            <w:r>
              <w:rPr>
                <w:rFonts w:hint="eastAsia" w:ascii="Times New Roman" w:cs="Times New Roman"/>
                <w:color w:val="000000" w:themeColor="text1"/>
                <w:sz w:val="24"/>
                <w:szCs w:val="24"/>
              </w:rPr>
              <w:t>取水对下游河段造成的减水冲击影响较低</w:t>
            </w:r>
            <w:r>
              <w:rPr>
                <w:rFonts w:hint="eastAsia"/>
                <w:lang w:val="en-US" w:eastAsia="zh-CN"/>
              </w:rPr>
              <w:t>。</w:t>
            </w:r>
          </w:p>
          <w:p>
            <w:pPr>
              <w:ind w:firstLine="480" w:firstLineChars="200"/>
              <w:rPr>
                <w:rFonts w:hint="eastAsia" w:ascii="Times New Roman" w:cs="Times New Roman"/>
                <w:color w:val="000000" w:themeColor="text1"/>
              </w:rPr>
            </w:pPr>
            <w:r>
              <w:rPr>
                <w:rFonts w:hint="eastAsia" w:ascii="Times New Roman" w:cs="Times New Roman"/>
                <w:color w:val="000000" w:themeColor="text1"/>
              </w:rPr>
              <w:t>经常性的过度灌溉会使得土壤的肥力下张，农作物残留的农药、化肥等有害物质渗入到地下或者流入河流和湖泊，造成环境污染。另外，对农田土壤影响最大的一点是土壤的盐分含量，如果土壤表面盐分过高，则会使土壤盐碱化，无法进行农作物的耕种。而土壤的盐分含量和土壤水含量有直接的关系，如果土壤过度灌溉，大量水分会流向土壤深层，从而使得地下水位升高，这样土壤的表面盐分密度会因为水位的上升而升高，从而造成盐碱化，破坏农田生态的平衡。</w:t>
            </w:r>
          </w:p>
          <w:p>
            <w:pPr>
              <w:ind w:firstLine="480" w:firstLineChars="200"/>
            </w:pPr>
            <w:r>
              <w:rPr>
                <w:rFonts w:hint="eastAsia" w:ascii="Times New Roman" w:cs="Times New Roman"/>
                <w:color w:val="000000" w:themeColor="text1"/>
                <w:lang w:val="en-US" w:eastAsia="zh-CN"/>
              </w:rPr>
              <w:t>2）</w:t>
            </w:r>
            <w:r>
              <w:rPr>
                <w:rFonts w:hint="eastAsia" w:ascii="Times New Roman" w:cs="Times New Roman"/>
                <w:color w:val="000000" w:themeColor="text1"/>
              </w:rPr>
              <w:t>过度灌溉导致河</w:t>
            </w:r>
            <w:r>
              <w:rPr>
                <w:rFonts w:hint="eastAsia" w:ascii="Times New Roman" w:cs="Times New Roman"/>
                <w:color w:val="000000" w:themeColor="text1"/>
                <w:lang w:val="en-US" w:eastAsia="zh-CN"/>
              </w:rPr>
              <w:t>沟</w:t>
            </w:r>
            <w:r>
              <w:rPr>
                <w:rFonts w:hint="eastAsia" w:ascii="Times New Roman" w:cs="Times New Roman"/>
                <w:color w:val="000000" w:themeColor="text1"/>
              </w:rPr>
              <w:t>富营养化。由于经常性过度灌溉，农田里的残余农药、化肥等物质会随着水分流入河</w:t>
            </w:r>
            <w:r>
              <w:rPr>
                <w:rFonts w:hint="eastAsia" w:ascii="Times New Roman" w:cs="Times New Roman"/>
                <w:color w:val="000000" w:themeColor="text1"/>
                <w:lang w:val="en-US" w:eastAsia="zh-CN"/>
              </w:rPr>
              <w:t>沟</w:t>
            </w:r>
            <w:r>
              <w:rPr>
                <w:rFonts w:hint="eastAsia" w:ascii="Times New Roman" w:cs="Times New Roman"/>
                <w:color w:val="000000" w:themeColor="text1"/>
              </w:rPr>
              <w:t>中，这些残留物质的积累，会使得河水中的硝酸盐浓度升高，从而使得河水富营养化。水质富营养化会导致河水中水藻类植物大量繁殖，河水发生缺氧，从而致使</w:t>
            </w:r>
            <w:r>
              <w:rPr>
                <w:rFonts w:hint="eastAsia" w:ascii="Times New Roman" w:cs="Times New Roman"/>
                <w:color w:val="000000" w:themeColor="text1"/>
                <w:lang w:val="en-US" w:eastAsia="zh-CN"/>
              </w:rPr>
              <w:t>浮游</w:t>
            </w:r>
            <w:r>
              <w:rPr>
                <w:rFonts w:hint="eastAsia" w:ascii="Times New Roman" w:cs="Times New Roman"/>
                <w:color w:val="000000" w:themeColor="text1"/>
              </w:rPr>
              <w:t>生物因缺氧死亡，同时水藻会释放一些有毒物质，致使一些</w:t>
            </w:r>
            <w:r>
              <w:rPr>
                <w:rFonts w:hint="eastAsia" w:ascii="Times New Roman" w:cs="Times New Roman"/>
                <w:color w:val="000000" w:themeColor="text1"/>
                <w:lang w:val="en-US" w:eastAsia="zh-CN"/>
              </w:rPr>
              <w:t>浮游</w:t>
            </w:r>
            <w:r>
              <w:rPr>
                <w:rFonts w:hint="eastAsia" w:ascii="Times New Roman" w:cs="Times New Roman"/>
                <w:color w:val="000000" w:themeColor="text1"/>
              </w:rPr>
              <w:t>生物死亡，从而破坏周边的生态环境。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vAlign w:val="center"/>
          </w:tcPr>
          <w:p>
            <w:pPr>
              <w:jc w:val="center"/>
            </w:pPr>
            <w:r>
              <w:rPr>
                <w:rFonts w:hint="eastAsia"/>
              </w:rPr>
              <w:t>选址选线环境合理性分析</w:t>
            </w:r>
          </w:p>
        </w:tc>
        <w:tc>
          <w:tcPr>
            <w:tcW w:w="4618" w:type="pct"/>
          </w:tcPr>
          <w:p>
            <w:pPr>
              <w:pStyle w:val="4"/>
            </w:pPr>
            <w:r>
              <w:rPr>
                <w:rFonts w:hint="eastAsia"/>
              </w:rPr>
              <w:t>（1）工程选址选线合理性</w:t>
            </w:r>
          </w:p>
          <w:p>
            <w:pPr>
              <w:pStyle w:val="13"/>
              <w:ind w:firstLine="480"/>
            </w:pPr>
            <w:r>
              <w:rPr>
                <w:rFonts w:hint="eastAsia"/>
              </w:rPr>
              <w:t>根据《项目实施方案》，项目在原有工程基础上修建，工程选线与原有工程一致，不存在比选方案。项目工程不涉及拆迁征占，不占用农田和林地，不涉及古树名木、地方特有种以及省级、国家级珍稀保护物种等；且本次工程项目修建的1座引水口，也是利用原有取水口位置，仅对引水口构筑物进行修筑，故项目引水口也不存在重新选址。</w:t>
            </w:r>
          </w:p>
          <w:p>
            <w:pPr>
              <w:pStyle w:val="4"/>
            </w:pPr>
            <w:r>
              <w:rPr>
                <w:rFonts w:hint="eastAsia"/>
              </w:rPr>
              <w:t>（2）施工营地选址合理性</w:t>
            </w:r>
          </w:p>
          <w:p>
            <w:pPr>
              <w:pStyle w:val="13"/>
              <w:ind w:firstLine="480"/>
            </w:pPr>
            <w:r>
              <w:rPr>
                <w:rFonts w:hint="eastAsia"/>
              </w:rPr>
              <w:t>项目共设置</w:t>
            </w:r>
            <w:r>
              <w:rPr>
                <w:rFonts w:hint="eastAsia"/>
                <w:lang w:val="en-US" w:eastAsia="zh-CN"/>
              </w:rPr>
              <w:t>2</w:t>
            </w:r>
            <w:r>
              <w:rPr>
                <w:rFonts w:hint="eastAsia"/>
              </w:rPr>
              <w:t>处施工营地，</w:t>
            </w:r>
            <w:r>
              <w:rPr>
                <w:rFonts w:hint="eastAsia"/>
                <w:lang w:eastAsia="zh-CN"/>
              </w:rPr>
              <w:t>分别针对两个工程灌区，便于物料运输，却旦塘灌区施工营地</w:t>
            </w:r>
            <w:r>
              <w:rPr>
                <w:rFonts w:hint="eastAsia"/>
              </w:rPr>
              <w:t>位于却旦塘村南侧一处闲置空地</w:t>
            </w:r>
            <w:r>
              <w:rPr>
                <w:rFonts w:hint="eastAsia"/>
                <w:lang w:eastAsia="zh-CN"/>
              </w:rPr>
              <w:t>，距离东侧居民区</w:t>
            </w:r>
            <w:r>
              <w:rPr>
                <w:rFonts w:hint="eastAsia"/>
                <w:lang w:val="en-US" w:eastAsia="zh-CN"/>
              </w:rPr>
              <w:t>65m</w:t>
            </w:r>
            <w:r>
              <w:rPr>
                <w:rFonts w:hint="eastAsia"/>
              </w:rPr>
              <w:t>，</w:t>
            </w:r>
            <w:r>
              <w:rPr>
                <w:rFonts w:hint="eastAsia"/>
                <w:lang w:eastAsia="zh-CN"/>
              </w:rPr>
              <w:t>下洛哇灌区施工营地位于上洛哇村南侧，距离北侧居民区</w:t>
            </w:r>
            <w:r>
              <w:rPr>
                <w:rFonts w:hint="eastAsia"/>
                <w:lang w:val="en-US" w:eastAsia="zh-CN"/>
              </w:rPr>
              <w:t>70m</w:t>
            </w:r>
            <w:r>
              <w:rPr>
                <w:rFonts w:hint="eastAsia"/>
                <w:lang w:eastAsia="zh-CN"/>
              </w:rPr>
              <w:t>，</w:t>
            </w:r>
            <w:r>
              <w:rPr>
                <w:rFonts w:hint="eastAsia"/>
              </w:rPr>
              <w:t>地面</w:t>
            </w:r>
            <w:r>
              <w:rPr>
                <w:rFonts w:hint="eastAsia"/>
                <w:lang w:eastAsia="zh-CN"/>
              </w:rPr>
              <w:t>均</w:t>
            </w:r>
            <w:r>
              <w:rPr>
                <w:rFonts w:hint="eastAsia"/>
              </w:rPr>
              <w:t>为砂石地面，属于公共区域，不涉及和影响村民个人使用，同时该区域作为施工营地使用可有效减少新增临时占地，避免破坏植被；在采取本环评施工期环境保护措施后，可满足噪声标准；营地位置便于施工建材拉运，同时方便施工管理。在采取营地内砂石料适量堆存、篷布遮盖、洒水降尘等措施的基础上，施工期对周边环境的影响可接受，待施工结束后，拆除营地帐篷，建筑材料余料、生活垃圾等全部收集清运，对施工营地占地区域迹地进行恢复，对周边环境影响不大，故项目施工营地选址合理。</w:t>
            </w:r>
          </w:p>
          <w:p>
            <w:pPr>
              <w:pStyle w:val="13"/>
              <w:numPr>
                <w:ilvl w:val="255"/>
                <w:numId w:val="0"/>
              </w:numPr>
            </w:pPr>
            <w:r>
              <w:rPr>
                <w:rFonts w:hint="eastAsia"/>
              </w:rPr>
              <w:t>（3）施工便道选址合理性</w:t>
            </w:r>
          </w:p>
          <w:p>
            <w:pPr>
              <w:ind w:firstLine="480" w:firstLineChars="200"/>
            </w:pPr>
            <w:r>
              <w:rPr>
                <w:rFonts w:hint="eastAsia"/>
              </w:rPr>
              <w:t>施工便道即为工程管道施工作业带范围，无比选方案，且施工结束后，在采取生态恢复措施的基础上，对生态环境造成的影响在可接受范围内。</w:t>
            </w:r>
          </w:p>
        </w:tc>
      </w:tr>
    </w:tbl>
    <w:p>
      <w:pPr>
        <w:sectPr>
          <w:footerReference r:id="rId7" w:type="default"/>
          <w:pgSz w:w="11906" w:h="16838"/>
          <w:pgMar w:top="1440" w:right="1080" w:bottom="1440" w:left="1080" w:header="851" w:footer="1077" w:gutter="0"/>
          <w:pgBorders>
            <w:top w:val="none" w:sz="0" w:space="0"/>
            <w:left w:val="none" w:sz="0" w:space="0"/>
            <w:bottom w:val="none" w:sz="0" w:space="0"/>
            <w:right w:val="none" w:sz="0" w:space="0"/>
          </w:pgBorders>
          <w:pgNumType w:start="1"/>
          <w:cols w:space="0" w:num="1"/>
          <w:docGrid w:type="lines" w:linePitch="312" w:charSpace="0"/>
        </w:sectPr>
      </w:pPr>
    </w:p>
    <w:p>
      <w:pPr>
        <w:pStyle w:val="2"/>
        <w:rPr>
          <w:color w:val="auto"/>
        </w:rPr>
      </w:pPr>
      <w:r>
        <w:rPr>
          <w:rFonts w:hint="eastAsia"/>
          <w:color w:val="auto"/>
        </w:rPr>
        <w:t>五、主要生态环境保护措施</w:t>
      </w:r>
    </w:p>
    <w:tbl>
      <w:tblPr>
        <w:tblStyle w:val="14"/>
        <w:tblW w:w="518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5"/>
        <w:gridCol w:w="95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52" w:hRule="atLeast"/>
          <w:jc w:val="center"/>
        </w:trPr>
        <w:tc>
          <w:tcPr>
            <w:tcW w:w="359" w:type="pct"/>
            <w:tcMar>
              <w:left w:w="28" w:type="dxa"/>
              <w:right w:w="28" w:type="dxa"/>
            </w:tcMar>
            <w:vAlign w:val="center"/>
          </w:tcPr>
          <w:p>
            <w:pPr>
              <w:jc w:val="center"/>
            </w:pPr>
            <w:r>
              <w:rPr>
                <w:rFonts w:hint="eastAsia"/>
              </w:rPr>
              <w:t>施工期生态环境保护措施</w:t>
            </w:r>
          </w:p>
        </w:tc>
        <w:tc>
          <w:tcPr>
            <w:tcW w:w="4640" w:type="pct"/>
          </w:tcPr>
          <w:p>
            <w:pPr>
              <w:pStyle w:val="3"/>
            </w:pPr>
            <w:r>
              <w:rPr>
                <w:rFonts w:hint="eastAsia"/>
              </w:rPr>
              <w:t>1施工期生态环境保护措施</w:t>
            </w:r>
          </w:p>
          <w:p>
            <w:pPr>
              <w:pStyle w:val="4"/>
              <w:rPr>
                <w:rFonts w:hint="eastAsia" w:eastAsia="宋体"/>
                <w:lang w:eastAsia="zh-CN"/>
              </w:rPr>
            </w:pPr>
            <w:r>
              <w:rPr>
                <w:rFonts w:hint="eastAsia"/>
              </w:rPr>
              <w:t>1.1植被保护措施</w:t>
            </w:r>
          </w:p>
          <w:p>
            <w:pPr>
              <w:pStyle w:val="13"/>
              <w:numPr>
                <w:ilvl w:val="0"/>
                <w:numId w:val="0"/>
              </w:numPr>
              <w:ind w:firstLine="480" w:firstLineChars="200"/>
              <w:rPr>
                <w:rFonts w:hint="default"/>
                <w:lang w:val="en-US" w:eastAsia="zh-CN"/>
              </w:rPr>
            </w:pPr>
            <w:r>
              <w:rPr>
                <w:rFonts w:hint="default" w:ascii="Times New Roman" w:hAnsi="Times New Roman" w:eastAsia="宋体" w:cs="Times New Roman"/>
                <w:color w:val="000000" w:themeColor="text1"/>
                <w:sz w:val="24"/>
                <w:szCs w:val="24"/>
                <w:lang w:val="en-US" w:eastAsia="zh-CN"/>
              </w:rPr>
              <w:fldChar w:fldCharType="begin"/>
            </w:r>
            <w:r>
              <w:rPr>
                <w:rFonts w:hint="default" w:ascii="Times New Roman" w:hAnsi="Times New Roman" w:eastAsia="宋体" w:cs="Times New Roman"/>
                <w:color w:val="000000" w:themeColor="text1"/>
                <w:sz w:val="24"/>
                <w:szCs w:val="24"/>
                <w:lang w:val="en-US" w:eastAsia="zh-CN"/>
              </w:rPr>
              <w:instrText xml:space="preserve"> = 1 \* GB3 \* MERGEFORMAT </w:instrText>
            </w:r>
            <w:r>
              <w:rPr>
                <w:rFonts w:hint="default" w:ascii="Times New Roman" w:hAnsi="Times New Roman" w:eastAsia="宋体" w:cs="Times New Roman"/>
                <w:color w:val="000000" w:themeColor="text1"/>
                <w:sz w:val="24"/>
                <w:szCs w:val="24"/>
                <w:lang w:val="en-US" w:eastAsia="zh-CN"/>
              </w:rPr>
              <w:fldChar w:fldCharType="separate"/>
            </w:r>
            <w:r>
              <w:rPr>
                <w:rFonts w:hint="default" w:ascii="Times New Roman" w:hAnsi="Times New Roman" w:eastAsia="宋体" w:cs="Times New Roman"/>
                <w:color w:val="000000" w:themeColor="text1"/>
                <w:sz w:val="24"/>
                <w:szCs w:val="24"/>
                <w:lang w:val="en-US" w:eastAsia="zh-CN"/>
              </w:rPr>
              <w:t>①</w:t>
            </w:r>
            <w:r>
              <w:rPr>
                <w:rFonts w:hint="default" w:ascii="Times New Roman" w:hAnsi="Times New Roman" w:eastAsia="宋体" w:cs="Times New Roman"/>
                <w:color w:val="000000" w:themeColor="text1"/>
                <w:sz w:val="24"/>
                <w:szCs w:val="24"/>
                <w:lang w:val="en-US" w:eastAsia="zh-CN"/>
              </w:rPr>
              <w:fldChar w:fldCharType="end"/>
            </w:r>
            <w:r>
              <w:rPr>
                <w:rFonts w:hint="eastAsia"/>
                <w:lang w:val="en-US" w:eastAsia="zh-CN"/>
              </w:rPr>
              <w:t>场地平整前对引水口处、输水管道工程施工区、施工营地区可剥离的草皮进行剥离，采取切块剥离的方式并直接移植到区域草皮覆盖率较低的地方，对表土进行按需剥离，并进行苫盖，施工结束后对进行表土回覆，并撒播草籽进行植被恢复。或者将</w:t>
            </w:r>
            <w:r>
              <w:rPr>
                <w:rFonts w:hint="eastAsia"/>
              </w:rPr>
              <w:t>剥离土壤与草皮</w:t>
            </w:r>
            <w:r>
              <w:rPr>
                <w:rFonts w:hint="eastAsia"/>
                <w:lang w:val="en-US" w:eastAsia="zh-CN"/>
              </w:rPr>
              <w:t>放置彩条布上</w:t>
            </w:r>
            <w:r>
              <w:rPr>
                <w:rFonts w:hint="eastAsia"/>
              </w:rPr>
              <w:t>，</w:t>
            </w:r>
            <w:r>
              <w:rPr>
                <w:rFonts w:hint="eastAsia"/>
                <w:lang w:val="en-US" w:eastAsia="zh-CN"/>
              </w:rPr>
              <w:t>进行洒水养护，施工结束后进行表土、草皮恢复，本项目表土剥离面积为870m</w:t>
            </w:r>
            <w:r>
              <w:rPr>
                <w:rFonts w:hint="eastAsia"/>
                <w:vertAlign w:val="superscript"/>
                <w:lang w:val="en-US" w:eastAsia="zh-CN"/>
              </w:rPr>
              <w:t>2</w:t>
            </w:r>
            <w:r>
              <w:rPr>
                <w:rFonts w:hint="eastAsia"/>
                <w:lang w:val="en-US" w:eastAsia="zh-CN"/>
              </w:rPr>
              <w:t>。</w:t>
            </w:r>
          </w:p>
          <w:p>
            <w:pPr>
              <w:pStyle w:val="13"/>
              <w:numPr>
                <w:ilvl w:val="0"/>
                <w:numId w:val="0"/>
              </w:numPr>
              <w:ind w:firstLine="480" w:firstLineChars="200"/>
            </w:pPr>
            <w:r>
              <w:rPr>
                <w:rFonts w:hint="default" w:ascii="Times New Roman" w:hAnsi="Times New Roman" w:eastAsia="宋体" w:cs="Times New Roman"/>
                <w:color w:val="000000" w:themeColor="text1"/>
                <w:sz w:val="24"/>
                <w:szCs w:val="24"/>
                <w:lang w:val="en-US" w:eastAsia="zh-CN"/>
              </w:rPr>
              <w:fldChar w:fldCharType="begin"/>
            </w:r>
            <w:r>
              <w:rPr>
                <w:rFonts w:hint="default" w:ascii="Times New Roman" w:hAnsi="Times New Roman" w:eastAsia="宋体" w:cs="Times New Roman"/>
                <w:color w:val="000000" w:themeColor="text1"/>
                <w:sz w:val="24"/>
                <w:szCs w:val="24"/>
                <w:lang w:val="en-US" w:eastAsia="zh-CN"/>
              </w:rPr>
              <w:instrText xml:space="preserve"> = 2 \* GB3 \* MERGEFORMAT </w:instrText>
            </w:r>
            <w:r>
              <w:rPr>
                <w:rFonts w:hint="default" w:ascii="Times New Roman" w:hAnsi="Times New Roman" w:eastAsia="宋体" w:cs="Times New Roman"/>
                <w:color w:val="000000" w:themeColor="text1"/>
                <w:sz w:val="24"/>
                <w:szCs w:val="24"/>
                <w:lang w:val="en-US" w:eastAsia="zh-CN"/>
              </w:rPr>
              <w:fldChar w:fldCharType="separate"/>
            </w:r>
            <w:r>
              <w:rPr>
                <w:rFonts w:hint="default" w:ascii="Times New Roman" w:hAnsi="Times New Roman" w:eastAsia="宋体" w:cs="Times New Roman"/>
                <w:color w:val="000000" w:themeColor="text1"/>
                <w:sz w:val="24"/>
                <w:szCs w:val="24"/>
                <w:lang w:val="en-US" w:eastAsia="zh-CN"/>
              </w:rPr>
              <w:t>②</w:t>
            </w:r>
            <w:r>
              <w:rPr>
                <w:rFonts w:hint="default" w:ascii="Times New Roman" w:hAnsi="Times New Roman" w:eastAsia="宋体" w:cs="Times New Roman"/>
                <w:color w:val="000000" w:themeColor="text1"/>
                <w:sz w:val="24"/>
                <w:szCs w:val="24"/>
                <w:lang w:val="en-US" w:eastAsia="zh-CN"/>
              </w:rPr>
              <w:fldChar w:fldCharType="end"/>
            </w:r>
            <w:r>
              <w:rPr>
                <w:rFonts w:hint="eastAsia"/>
              </w:rPr>
              <w:t>优化施工方案，以人工开挖为主，机械为辅，</w:t>
            </w:r>
            <w:r>
              <w:rPr>
                <w:rFonts w:ascii="Times New Roman" w:hAnsi="Times New Roman" w:cs="Times New Roman"/>
                <w:color w:val="000000" w:themeColor="text1"/>
              </w:rPr>
              <w:t>且</w:t>
            </w:r>
            <w:r>
              <w:rPr>
                <w:rFonts w:hint="eastAsia" w:ascii="Times New Roman" w:hAnsi="Times New Roman" w:cs="Times New Roman"/>
                <w:color w:val="000000" w:themeColor="text1"/>
                <w:lang w:eastAsia="zh-CN"/>
              </w:rPr>
              <w:t>工程</w:t>
            </w:r>
            <w:r>
              <w:rPr>
                <w:rFonts w:ascii="Times New Roman" w:hAnsi="Times New Roman" w:cs="Times New Roman"/>
                <w:color w:val="000000" w:themeColor="text1"/>
              </w:rPr>
              <w:t>沿边现有村级道路或田间</w:t>
            </w:r>
            <w:r>
              <w:rPr>
                <w:rFonts w:hint="eastAsia" w:ascii="Times New Roman" w:hAnsi="Times New Roman" w:cs="Times New Roman"/>
                <w:color w:val="000000" w:themeColor="text1"/>
                <w:lang w:eastAsia="zh-CN"/>
              </w:rPr>
              <w:t>便道</w:t>
            </w:r>
            <w:r>
              <w:rPr>
                <w:rFonts w:ascii="Times New Roman" w:hAnsi="Times New Roman" w:cs="Times New Roman"/>
                <w:color w:val="000000" w:themeColor="text1"/>
              </w:rPr>
              <w:t>，故施工期</w:t>
            </w:r>
            <w:r>
              <w:rPr>
                <w:rFonts w:hint="eastAsia" w:ascii="Times New Roman" w:hAnsi="Times New Roman" w:cs="Times New Roman"/>
                <w:color w:val="000000" w:themeColor="text1"/>
                <w:lang w:eastAsia="zh-CN"/>
              </w:rPr>
              <w:t>管</w:t>
            </w:r>
            <w:r>
              <w:rPr>
                <w:rFonts w:ascii="Times New Roman" w:hAnsi="Times New Roman" w:cs="Times New Roman"/>
                <w:color w:val="000000" w:themeColor="text1"/>
              </w:rPr>
              <w:t>道两侧各0.5m范围作为施工作业带范围，</w:t>
            </w:r>
            <w:r>
              <w:rPr>
                <w:rFonts w:hint="eastAsia"/>
              </w:rPr>
              <w:t>减少施工机械碾压造成的植被破坏。严格控制施工作业范围，缩小施工人员活动区域，禁止随意破坏自然植被、采摘野生植物。</w:t>
            </w:r>
          </w:p>
          <w:p>
            <w:pPr>
              <w:pStyle w:val="13"/>
              <w:numPr>
                <w:ilvl w:val="0"/>
                <w:numId w:val="0"/>
              </w:numPr>
              <w:ind w:firstLine="480" w:firstLineChars="200"/>
              <w:rPr>
                <w:b/>
                <w:bCs/>
              </w:rPr>
            </w:pPr>
            <w:r>
              <w:rPr>
                <w:rFonts w:hint="default" w:ascii="Times New Roman" w:hAnsi="Times New Roman" w:eastAsia="宋体" w:cs="Times New Roman"/>
                <w:color w:val="000000" w:themeColor="text1"/>
                <w:sz w:val="24"/>
                <w:szCs w:val="24"/>
                <w:lang w:val="en-US" w:eastAsia="zh-CN"/>
              </w:rPr>
              <w:fldChar w:fldCharType="begin"/>
            </w:r>
            <w:r>
              <w:rPr>
                <w:rFonts w:hint="default" w:ascii="Times New Roman" w:hAnsi="Times New Roman" w:eastAsia="宋体" w:cs="Times New Roman"/>
                <w:color w:val="000000" w:themeColor="text1"/>
                <w:sz w:val="24"/>
                <w:szCs w:val="24"/>
                <w:lang w:val="en-US" w:eastAsia="zh-CN"/>
              </w:rPr>
              <w:instrText xml:space="preserve"> = 3 \* GB3 \* MERGEFORMAT </w:instrText>
            </w:r>
            <w:r>
              <w:rPr>
                <w:rFonts w:hint="default" w:ascii="Times New Roman" w:hAnsi="Times New Roman" w:eastAsia="宋体" w:cs="Times New Roman"/>
                <w:color w:val="000000" w:themeColor="text1"/>
                <w:sz w:val="24"/>
                <w:szCs w:val="24"/>
                <w:lang w:val="en-US" w:eastAsia="zh-CN"/>
              </w:rPr>
              <w:fldChar w:fldCharType="separate"/>
            </w:r>
            <w:r>
              <w:rPr>
                <w:rFonts w:hint="default" w:ascii="Times New Roman" w:hAnsi="Times New Roman" w:eastAsia="宋体" w:cs="Times New Roman"/>
                <w:sz w:val="24"/>
                <w:szCs w:val="24"/>
              </w:rPr>
              <w:t>③</w:t>
            </w:r>
            <w:r>
              <w:rPr>
                <w:rFonts w:hint="default" w:ascii="Times New Roman" w:hAnsi="Times New Roman" w:eastAsia="宋体" w:cs="Times New Roman"/>
                <w:color w:val="000000" w:themeColor="text1"/>
                <w:sz w:val="24"/>
                <w:szCs w:val="24"/>
                <w:lang w:val="en-US" w:eastAsia="zh-CN"/>
              </w:rPr>
              <w:fldChar w:fldCharType="end"/>
            </w:r>
            <w:r>
              <w:rPr>
                <w:rFonts w:hint="eastAsia"/>
              </w:rPr>
              <w:t>在施工营地设置警示牌，标明施工活动区，并加强施工区生态保护的宣传教育。</w:t>
            </w:r>
          </w:p>
          <w:p>
            <w:pPr>
              <w:pStyle w:val="13"/>
              <w:numPr>
                <w:ilvl w:val="0"/>
                <w:numId w:val="0"/>
              </w:numPr>
              <w:ind w:firstLine="480" w:firstLineChars="200"/>
              <w:rPr>
                <w:b/>
                <w:bCs/>
              </w:rPr>
            </w:pPr>
            <w:r>
              <w:rPr>
                <w:rFonts w:hint="default" w:ascii="Times New Roman" w:hAnsi="Times New Roman" w:eastAsia="宋体" w:cs="Times New Roman"/>
                <w:color w:val="000000" w:themeColor="text1"/>
                <w:sz w:val="24"/>
                <w:szCs w:val="24"/>
                <w:lang w:val="en-US" w:eastAsia="zh-CN"/>
              </w:rPr>
              <w:fldChar w:fldCharType="begin"/>
            </w:r>
            <w:r>
              <w:rPr>
                <w:rFonts w:hint="default" w:ascii="Times New Roman" w:hAnsi="Times New Roman" w:eastAsia="宋体" w:cs="Times New Roman"/>
                <w:color w:val="000000" w:themeColor="text1"/>
                <w:sz w:val="24"/>
                <w:szCs w:val="24"/>
                <w:lang w:val="en-US" w:eastAsia="zh-CN"/>
              </w:rPr>
              <w:instrText xml:space="preserve"> = 4 \* GB3 \* MERGEFORMAT </w:instrText>
            </w:r>
            <w:r>
              <w:rPr>
                <w:rFonts w:hint="default" w:ascii="Times New Roman" w:hAnsi="Times New Roman" w:eastAsia="宋体" w:cs="Times New Roman"/>
                <w:color w:val="000000" w:themeColor="text1"/>
                <w:sz w:val="24"/>
                <w:szCs w:val="24"/>
                <w:lang w:val="en-US" w:eastAsia="zh-CN"/>
              </w:rPr>
              <w:fldChar w:fldCharType="separate"/>
            </w:r>
            <w:r>
              <w:rPr>
                <w:rFonts w:hint="default" w:ascii="Times New Roman" w:hAnsi="Times New Roman" w:eastAsia="宋体" w:cs="Times New Roman"/>
                <w:sz w:val="24"/>
                <w:szCs w:val="24"/>
              </w:rPr>
              <w:t>④</w:t>
            </w:r>
            <w:r>
              <w:rPr>
                <w:rFonts w:hint="default" w:ascii="Times New Roman" w:hAnsi="Times New Roman" w:eastAsia="宋体" w:cs="Times New Roman"/>
                <w:color w:val="000000" w:themeColor="text1"/>
                <w:sz w:val="24"/>
                <w:szCs w:val="24"/>
                <w:lang w:val="en-US" w:eastAsia="zh-CN"/>
              </w:rPr>
              <w:fldChar w:fldCharType="end"/>
            </w:r>
            <w:r>
              <w:rPr>
                <w:rFonts w:hint="eastAsia"/>
              </w:rPr>
              <w:t>合理安排施工期，</w:t>
            </w:r>
            <w:r>
              <w:rPr>
                <w:rFonts w:ascii="Times New Roman" w:hAnsi="Times New Roman" w:cs="Times New Roman"/>
                <w:color w:val="000000" w:themeColor="text1"/>
              </w:rPr>
              <w:t>田间渠系待农作物收割结束后进行，减少占压影响</w:t>
            </w:r>
            <w:r>
              <w:rPr>
                <w:rFonts w:hint="eastAsia" w:ascii="Times New Roman" w:hAnsi="Times New Roman" w:cs="Times New Roman"/>
                <w:color w:val="000000" w:themeColor="text1"/>
                <w:lang w:eastAsia="zh-CN"/>
              </w:rPr>
              <w:t>，</w:t>
            </w:r>
            <w:r>
              <w:rPr>
                <w:rFonts w:hint="eastAsia"/>
              </w:rPr>
              <w:t>抓紧施工进度，尽量减缓对工程区陆生植被的影响。</w:t>
            </w:r>
          </w:p>
          <w:p>
            <w:pPr>
              <w:pStyle w:val="13"/>
              <w:numPr>
                <w:ilvl w:val="0"/>
                <w:numId w:val="0"/>
              </w:numPr>
              <w:ind w:firstLine="480" w:firstLineChars="200"/>
              <w:rPr>
                <w:rFonts w:hint="eastAsia"/>
              </w:rPr>
            </w:pPr>
            <w:r>
              <w:rPr>
                <w:rFonts w:hint="default" w:ascii="Times New Roman" w:hAnsi="Times New Roman" w:eastAsia="宋体" w:cs="Times New Roman"/>
                <w:color w:val="000000" w:themeColor="text1"/>
                <w:sz w:val="24"/>
                <w:szCs w:val="24"/>
                <w:lang w:val="en-US" w:eastAsia="zh-CN"/>
              </w:rPr>
              <w:fldChar w:fldCharType="begin"/>
            </w:r>
            <w:r>
              <w:rPr>
                <w:rFonts w:hint="default" w:ascii="Times New Roman" w:hAnsi="Times New Roman" w:eastAsia="宋体" w:cs="Times New Roman"/>
                <w:color w:val="000000" w:themeColor="text1"/>
                <w:sz w:val="24"/>
                <w:szCs w:val="24"/>
                <w:lang w:val="en-US" w:eastAsia="zh-CN"/>
              </w:rPr>
              <w:instrText xml:space="preserve"> = 5 \* GB3 \* MERGEFORMAT </w:instrText>
            </w:r>
            <w:r>
              <w:rPr>
                <w:rFonts w:hint="default" w:ascii="Times New Roman" w:hAnsi="Times New Roman" w:eastAsia="宋体" w:cs="Times New Roman"/>
                <w:color w:val="000000" w:themeColor="text1"/>
                <w:sz w:val="24"/>
                <w:szCs w:val="24"/>
                <w:lang w:val="en-US" w:eastAsia="zh-CN"/>
              </w:rPr>
              <w:fldChar w:fldCharType="separate"/>
            </w:r>
            <w:r>
              <w:rPr>
                <w:rFonts w:hint="default" w:ascii="Times New Roman" w:hAnsi="Times New Roman" w:eastAsia="宋体" w:cs="Times New Roman"/>
                <w:sz w:val="24"/>
                <w:szCs w:val="24"/>
              </w:rPr>
              <w:t>⑤</w:t>
            </w:r>
            <w:r>
              <w:rPr>
                <w:rFonts w:hint="default" w:ascii="Times New Roman" w:hAnsi="Times New Roman" w:eastAsia="宋体" w:cs="Times New Roman"/>
                <w:color w:val="000000" w:themeColor="text1"/>
                <w:sz w:val="24"/>
                <w:szCs w:val="24"/>
                <w:lang w:val="en-US" w:eastAsia="zh-CN"/>
              </w:rPr>
              <w:fldChar w:fldCharType="end"/>
            </w:r>
            <w:r>
              <w:rPr>
                <w:rFonts w:hint="eastAsia"/>
              </w:rPr>
              <w:t>项目管道建设属于线性工程，在采取分段施工的基础上，采取边开挖边恢复的措施，即开挖土方及时回填，进行平整后恢复植被，植被恢复选择</w:t>
            </w:r>
            <w:r>
              <w:t>耐瘠薄、耐寒、耐旱、根系发达、抗病虫害的</w:t>
            </w:r>
            <w:r>
              <w:rPr>
                <w:rFonts w:hint="eastAsia"/>
              </w:rPr>
              <w:t>草</w:t>
            </w:r>
            <w:r>
              <w:t>种</w:t>
            </w:r>
            <w:r>
              <w:rPr>
                <w:rFonts w:hint="eastAsia"/>
              </w:rPr>
              <w:t>，环评要求种植植被的覆盖度与施工前基本一致。</w:t>
            </w:r>
          </w:p>
          <w:p>
            <w:pPr>
              <w:widowControl w:val="0"/>
              <w:numPr>
                <w:numId w:val="0"/>
              </w:numPr>
              <w:spacing w:line="360" w:lineRule="auto"/>
              <w:ind w:firstLine="480" w:firstLineChars="200"/>
              <w:jc w:val="both"/>
              <w:rPr>
                <w:rFonts w:ascii="Times New Roman" w:hAnsi="Times New Roman" w:cs="Times New Roman"/>
              </w:rPr>
            </w:pP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 6 \* GB3 \* MERGEFORMAT </w:instrText>
            </w:r>
            <w:r>
              <w:rPr>
                <w:rFonts w:ascii="Times New Roman" w:hAnsi="Times New Roman" w:cs="Times New Roman"/>
                <w:color w:val="000000" w:themeColor="text1"/>
              </w:rPr>
              <w:fldChar w:fldCharType="separate"/>
            </w:r>
            <w:r>
              <w:t>⑥</w:t>
            </w:r>
            <w:r>
              <w:rPr>
                <w:rFonts w:ascii="Times New Roman" w:hAnsi="Times New Roman" w:cs="Times New Roman"/>
                <w:color w:val="000000" w:themeColor="text1"/>
              </w:rPr>
              <w:fldChar w:fldCharType="end"/>
            </w:r>
            <w:r>
              <w:rPr>
                <w:rFonts w:ascii="Times New Roman" w:hAnsi="Times New Roman" w:cs="Times New Roman"/>
                <w:color w:val="000000" w:themeColor="text1"/>
              </w:rPr>
              <w:t>项目对</w:t>
            </w:r>
            <w:r>
              <w:rPr>
                <w:rFonts w:hint="eastAsia" w:ascii="Times New Roman" w:hAnsi="Times New Roman" w:cs="Times New Roman"/>
                <w:color w:val="000000" w:themeColor="text1"/>
                <w:lang w:eastAsia="zh-CN"/>
              </w:rPr>
              <w:t>管道</w:t>
            </w:r>
            <w:r>
              <w:rPr>
                <w:rFonts w:ascii="Times New Roman" w:hAnsi="Times New Roman" w:cs="Times New Roman"/>
                <w:color w:val="000000" w:themeColor="text1"/>
              </w:rPr>
              <w:t>道</w:t>
            </w:r>
            <w:r>
              <w:rPr>
                <w:rFonts w:hint="eastAsia" w:ascii="Times New Roman" w:hAnsi="Times New Roman" w:cs="Times New Roman"/>
                <w:color w:val="000000" w:themeColor="text1"/>
                <w:lang w:eastAsia="zh-CN"/>
              </w:rPr>
              <w:t>工程</w:t>
            </w:r>
            <w:r>
              <w:rPr>
                <w:rFonts w:ascii="Times New Roman" w:hAnsi="Times New Roman" w:cs="Times New Roman"/>
                <w:color w:val="000000" w:themeColor="text1"/>
              </w:rPr>
              <w:t>进行施工时，尽量沿着现有</w:t>
            </w:r>
            <w:r>
              <w:rPr>
                <w:rFonts w:hint="eastAsia" w:ascii="Times New Roman" w:hAnsi="Times New Roman" w:cs="Times New Roman"/>
                <w:color w:val="000000" w:themeColor="text1"/>
                <w:lang w:eastAsia="zh-CN"/>
              </w:rPr>
              <w:t>管</w:t>
            </w:r>
            <w:r>
              <w:rPr>
                <w:rFonts w:ascii="Times New Roman" w:hAnsi="Times New Roman" w:cs="Times New Roman"/>
                <w:color w:val="000000" w:themeColor="text1"/>
              </w:rPr>
              <w:t>道地基进行施工，避免对沿边</w:t>
            </w:r>
            <w:r>
              <w:rPr>
                <w:rFonts w:hint="eastAsia" w:ascii="Times New Roman" w:hAnsi="Times New Roman" w:cs="Times New Roman"/>
                <w:color w:val="000000" w:themeColor="text1"/>
                <w:lang w:eastAsia="zh-CN"/>
              </w:rPr>
              <w:t>植被</w:t>
            </w:r>
            <w:r>
              <w:rPr>
                <w:rFonts w:ascii="Times New Roman" w:hAnsi="Times New Roman" w:cs="Times New Roman"/>
                <w:color w:val="000000" w:themeColor="text1"/>
              </w:rPr>
              <w:t>的干扰影响，待施工结束后，对</w:t>
            </w:r>
            <w:r>
              <w:rPr>
                <w:rFonts w:hint="eastAsia" w:ascii="Times New Roman" w:hAnsi="Times New Roman" w:cs="Times New Roman"/>
                <w:color w:val="000000" w:themeColor="text1"/>
                <w:lang w:eastAsia="zh-CN"/>
              </w:rPr>
              <w:t>管</w:t>
            </w:r>
            <w:r>
              <w:rPr>
                <w:rFonts w:ascii="Times New Roman" w:hAnsi="Times New Roman" w:cs="Times New Roman"/>
                <w:color w:val="000000" w:themeColor="text1"/>
              </w:rPr>
              <w:t>道的干扰地进行植被恢复，</w:t>
            </w:r>
            <w:r>
              <w:rPr>
                <w:rFonts w:hint="eastAsia" w:ascii="Times New Roman" w:hAnsi="Times New Roman" w:cs="Times New Roman"/>
              </w:rPr>
              <w:t>因</w:t>
            </w:r>
            <w:r>
              <w:rPr>
                <w:rFonts w:hint="eastAsia" w:ascii="Times New Roman" w:hAnsi="Times New Roman" w:cs="Times New Roman"/>
                <w:color w:val="000000" w:themeColor="text1"/>
              </w:rPr>
              <w:t>临时占地主要是对地表植被</w:t>
            </w:r>
            <w:r>
              <w:rPr>
                <w:rFonts w:hint="eastAsia" w:ascii="Times New Roman" w:hAnsi="Times New Roman" w:cs="Times New Roman"/>
                <w:color w:val="000000" w:themeColor="text1"/>
                <w:lang w:eastAsia="zh-CN"/>
              </w:rPr>
              <w:t>的干扰影响</w:t>
            </w:r>
            <w:r>
              <w:rPr>
                <w:rFonts w:hint="eastAsia" w:ascii="Times New Roman" w:hAnsi="Times New Roman" w:cs="Times New Roman"/>
                <w:color w:val="000000" w:themeColor="text1"/>
              </w:rPr>
              <w:t>，</w:t>
            </w:r>
            <w:r>
              <w:rPr>
                <w:rFonts w:hint="eastAsia" w:ascii="Times New Roman" w:cs="Times New Roman"/>
                <w:color w:val="000000" w:themeColor="text1"/>
              </w:rPr>
              <w:t>故</w:t>
            </w:r>
            <w:r>
              <w:rPr>
                <w:rFonts w:hint="eastAsia" w:ascii="Times New Roman" w:cs="Times New Roman"/>
                <w:color w:val="000000" w:themeColor="text1"/>
                <w:lang w:eastAsia="zh-CN"/>
              </w:rPr>
              <w:t>要求施工期尽可能对占压地的地表植被进行切块剥离，洒水养护，待施工结束后恢复植被时利用，另外，干扰地</w:t>
            </w:r>
            <w:r>
              <w:rPr>
                <w:rFonts w:hint="eastAsia" w:ascii="Times New Roman" w:cs="Times New Roman"/>
                <w:color w:val="000000" w:themeColor="text1"/>
              </w:rPr>
              <w:t>恢复</w:t>
            </w:r>
            <w:r>
              <w:rPr>
                <w:rFonts w:hint="eastAsia" w:ascii="Times New Roman" w:cs="Times New Roman"/>
                <w:color w:val="000000" w:themeColor="text1"/>
                <w:lang w:eastAsia="zh-CN"/>
              </w:rPr>
              <w:t>植被</w:t>
            </w:r>
            <w:r>
              <w:rPr>
                <w:rFonts w:hint="eastAsia" w:ascii="Times New Roman" w:cs="Times New Roman"/>
                <w:color w:val="000000" w:themeColor="text1"/>
              </w:rPr>
              <w:t>时覆土0.15-0.30cm后播撒披碱草</w:t>
            </w:r>
            <w:r>
              <w:rPr>
                <w:rFonts w:hint="eastAsia" w:ascii="Times New Roman" w:cs="Times New Roman"/>
                <w:color w:val="000000" w:themeColor="text1"/>
                <w:lang w:eastAsia="zh-CN"/>
              </w:rPr>
              <w:t>、早熟禾</w:t>
            </w:r>
            <w:r>
              <w:rPr>
                <w:rFonts w:hint="eastAsia" w:ascii="Times New Roman" w:cs="Times New Roman"/>
                <w:color w:val="000000" w:themeColor="text1"/>
              </w:rPr>
              <w:t>等草籽，</w:t>
            </w:r>
            <w:r>
              <w:rPr>
                <w:rFonts w:ascii="Times New Roman" w:hAnsi="Times New Roman" w:cs="Times New Roman"/>
                <w:color w:val="000000" w:themeColor="text1"/>
              </w:rPr>
              <w:t>其恢复植被种类和覆盖度与现状相协调</w:t>
            </w:r>
            <w:r>
              <w:rPr>
                <w:rFonts w:hint="eastAsia" w:ascii="Times New Roman" w:hAnsi="Times New Roman" w:cs="Times New Roman"/>
                <w:color w:val="000000" w:themeColor="text1"/>
                <w:lang w:eastAsia="zh-CN"/>
              </w:rPr>
              <w:t>和</w:t>
            </w:r>
            <w:r>
              <w:rPr>
                <w:rFonts w:ascii="Times New Roman" w:hAnsi="Times New Roman" w:cs="Times New Roman"/>
                <w:color w:val="000000" w:themeColor="text1"/>
              </w:rPr>
              <w:t>一致。</w:t>
            </w:r>
          </w:p>
          <w:p>
            <w:pPr>
              <w:widowControl w:val="0"/>
              <w:spacing w:line="360" w:lineRule="auto"/>
              <w:ind w:firstLine="480" w:firstLineChars="200"/>
              <w:jc w:val="both"/>
              <w:rPr>
                <w:rFonts w:ascii="Times New Roman" w:hAnsi="Times New Roman" w:cs="Times New Roman"/>
                <w:color w:val="000000" w:themeColor="text1"/>
              </w:rPr>
            </w:pP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 7 \* GB3 \* MERGEFORMAT </w:instrText>
            </w:r>
            <w:r>
              <w:rPr>
                <w:rFonts w:ascii="Times New Roman" w:hAnsi="Times New Roman" w:cs="Times New Roman"/>
                <w:color w:val="000000" w:themeColor="text1"/>
              </w:rPr>
              <w:fldChar w:fldCharType="separate"/>
            </w:r>
            <w:r>
              <w:t>⑦</w:t>
            </w:r>
            <w:r>
              <w:rPr>
                <w:rFonts w:ascii="Times New Roman" w:hAnsi="Times New Roman" w:cs="Times New Roman"/>
                <w:color w:val="000000" w:themeColor="text1"/>
              </w:rPr>
              <w:fldChar w:fldCharType="end"/>
            </w:r>
            <w:r>
              <w:rPr>
                <w:rFonts w:hint="eastAsia" w:ascii="Times New Roman" w:hAnsi="Times New Roman" w:cs="Times New Roman"/>
                <w:color w:val="000000" w:themeColor="text1"/>
                <w:lang w:eastAsia="zh-CN"/>
              </w:rPr>
              <w:t>管</w:t>
            </w:r>
            <w:r>
              <w:rPr>
                <w:rFonts w:ascii="Times New Roman" w:hAnsi="Times New Roman" w:cs="Times New Roman"/>
                <w:color w:val="000000" w:themeColor="text1"/>
              </w:rPr>
              <w:t>道在现有基础上进行开挖，且开挖深度不大，产生的土方量不大，集中堆积在渠道施工作业带范围内，禁止在施工沿线自然地表随意零散堆存，降低因占压对地表植被造成的破坏影响。</w:t>
            </w:r>
          </w:p>
          <w:p>
            <w:pPr>
              <w:pStyle w:val="13"/>
              <w:numPr>
                <w:ilvl w:val="0"/>
                <w:numId w:val="0"/>
              </w:numPr>
              <w:ind w:firstLine="480" w:firstLineChars="200"/>
              <w:rPr>
                <w:rFonts w:hint="eastAsia" w:eastAsia="宋体"/>
                <w:b/>
                <w:bCs/>
                <w:lang w:eastAsia="zh-CN"/>
              </w:rPr>
            </w:pP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 8 \* GB3 \* MERGEFORMAT </w:instrText>
            </w:r>
            <w:r>
              <w:rPr>
                <w:rFonts w:ascii="Times New Roman" w:hAnsi="Times New Roman" w:cs="Times New Roman"/>
                <w:color w:val="000000" w:themeColor="text1"/>
              </w:rPr>
              <w:fldChar w:fldCharType="separate"/>
            </w:r>
            <w:r>
              <w:t>⑧</w:t>
            </w:r>
            <w:r>
              <w:rPr>
                <w:rFonts w:ascii="Times New Roman" w:hAnsi="Times New Roman" w:cs="Times New Roman"/>
                <w:color w:val="000000" w:themeColor="text1"/>
              </w:rPr>
              <w:fldChar w:fldCharType="end"/>
            </w:r>
            <w:r>
              <w:rPr>
                <w:rFonts w:ascii="Times New Roman" w:hAnsi="Times New Roman" w:cs="Times New Roman"/>
                <w:color w:val="000000" w:themeColor="text1"/>
              </w:rPr>
              <w:t>项目加强施工管理，限制人为活动造成的生态影响，施工作业带以外，不准任何人随意践踏碾压、破坏植被，不准乱挖、滥采野生植物、破坏动物巢穴</w:t>
            </w:r>
            <w:r>
              <w:rPr>
                <w:rFonts w:hint="eastAsia"/>
                <w:lang w:eastAsia="zh-CN"/>
              </w:rPr>
              <w:t>。</w:t>
            </w:r>
          </w:p>
          <w:p>
            <w:pPr>
              <w:pStyle w:val="4"/>
              <w:rPr>
                <w:rFonts w:hint="eastAsia" w:eastAsia="宋体"/>
                <w:lang w:eastAsia="zh-CN"/>
              </w:rPr>
            </w:pPr>
            <w:r>
              <w:rPr>
                <w:rFonts w:hint="eastAsia"/>
              </w:rPr>
              <w:t>1.2动物保护措施</w:t>
            </w:r>
          </w:p>
          <w:p>
            <w:pPr>
              <w:pStyle w:val="13"/>
              <w:numPr>
                <w:numId w:val="0"/>
              </w:numPr>
              <w:ind w:firstLine="480" w:firstLineChars="200"/>
              <w:rPr>
                <w:b/>
                <w:bCs/>
              </w:rPr>
            </w:pPr>
            <w:r>
              <w:rPr>
                <w:rFonts w:hint="default" w:ascii="Times New Roman" w:hAnsi="Times New Roman" w:eastAsia="宋体" w:cs="Times New Roman"/>
                <w:color w:val="000000" w:themeColor="text1"/>
                <w:sz w:val="24"/>
                <w:szCs w:val="24"/>
                <w:lang w:val="en-US" w:eastAsia="zh-CN"/>
              </w:rPr>
              <w:fldChar w:fldCharType="begin"/>
            </w:r>
            <w:r>
              <w:rPr>
                <w:rFonts w:hint="default" w:ascii="Times New Roman" w:hAnsi="Times New Roman" w:eastAsia="宋体" w:cs="Times New Roman"/>
                <w:color w:val="000000" w:themeColor="text1"/>
                <w:sz w:val="24"/>
                <w:szCs w:val="24"/>
                <w:lang w:val="en-US" w:eastAsia="zh-CN"/>
              </w:rPr>
              <w:instrText xml:space="preserve"> = 1 \* GB3 \* MERGEFORMAT </w:instrText>
            </w:r>
            <w:r>
              <w:rPr>
                <w:rFonts w:hint="default" w:ascii="Times New Roman" w:hAnsi="Times New Roman" w:eastAsia="宋体" w:cs="Times New Roman"/>
                <w:color w:val="000000" w:themeColor="text1"/>
                <w:sz w:val="24"/>
                <w:szCs w:val="24"/>
                <w:lang w:val="en-US" w:eastAsia="zh-CN"/>
              </w:rPr>
              <w:fldChar w:fldCharType="separate"/>
            </w:r>
            <w:r>
              <w:rPr>
                <w:rFonts w:hint="default" w:ascii="Times New Roman" w:hAnsi="Times New Roman" w:eastAsia="宋体" w:cs="Times New Roman"/>
                <w:color w:val="000000" w:themeColor="text1"/>
                <w:sz w:val="24"/>
                <w:szCs w:val="24"/>
                <w:lang w:val="en-US" w:eastAsia="zh-CN"/>
              </w:rPr>
              <w:t>①</w:t>
            </w:r>
            <w:r>
              <w:rPr>
                <w:rFonts w:hint="default" w:ascii="Times New Roman" w:hAnsi="Times New Roman" w:eastAsia="宋体" w:cs="Times New Roman"/>
                <w:color w:val="000000" w:themeColor="text1"/>
                <w:sz w:val="24"/>
                <w:szCs w:val="24"/>
                <w:lang w:val="en-US" w:eastAsia="zh-CN"/>
              </w:rPr>
              <w:fldChar w:fldCharType="end"/>
            </w:r>
            <w:r>
              <w:rPr>
                <w:rFonts w:hint="eastAsia"/>
              </w:rPr>
              <w:t>施工区边界设立警示牌，严格控制施工人员与机械的活动范围，采用低噪声设备，减少噪声对野生动物的干扰。</w:t>
            </w:r>
          </w:p>
          <w:p>
            <w:pPr>
              <w:pStyle w:val="13"/>
              <w:numPr>
                <w:numId w:val="0"/>
              </w:numPr>
              <w:ind w:firstLine="480" w:firstLineChars="200"/>
              <w:rPr>
                <w:b/>
                <w:bCs/>
              </w:rPr>
            </w:pPr>
            <w:r>
              <w:rPr>
                <w:rFonts w:hint="default" w:ascii="Times New Roman" w:hAnsi="Times New Roman" w:eastAsia="宋体" w:cs="Times New Roman"/>
                <w:color w:val="000000" w:themeColor="text1"/>
                <w:sz w:val="24"/>
                <w:szCs w:val="24"/>
                <w:lang w:val="en-US" w:eastAsia="zh-CN"/>
              </w:rPr>
              <w:fldChar w:fldCharType="begin"/>
            </w:r>
            <w:r>
              <w:rPr>
                <w:rFonts w:hint="default" w:ascii="Times New Roman" w:hAnsi="Times New Roman" w:eastAsia="宋体" w:cs="Times New Roman"/>
                <w:color w:val="000000" w:themeColor="text1"/>
                <w:sz w:val="24"/>
                <w:szCs w:val="24"/>
                <w:lang w:val="en-US" w:eastAsia="zh-CN"/>
              </w:rPr>
              <w:instrText xml:space="preserve"> = 2 \* GB3 \* MERGEFORMAT </w:instrText>
            </w:r>
            <w:r>
              <w:rPr>
                <w:rFonts w:hint="default" w:ascii="Times New Roman" w:hAnsi="Times New Roman" w:eastAsia="宋体" w:cs="Times New Roman"/>
                <w:color w:val="000000" w:themeColor="text1"/>
                <w:sz w:val="24"/>
                <w:szCs w:val="24"/>
                <w:lang w:val="en-US" w:eastAsia="zh-CN"/>
              </w:rPr>
              <w:fldChar w:fldCharType="separate"/>
            </w:r>
            <w:r>
              <w:rPr>
                <w:rFonts w:hint="default" w:ascii="Times New Roman" w:hAnsi="Times New Roman" w:eastAsia="宋体" w:cs="Times New Roman"/>
                <w:color w:val="000000" w:themeColor="text1"/>
                <w:sz w:val="24"/>
                <w:szCs w:val="24"/>
                <w:lang w:val="en-US" w:eastAsia="zh-CN"/>
              </w:rPr>
              <w:t>②</w:t>
            </w:r>
            <w:r>
              <w:rPr>
                <w:rFonts w:hint="default" w:ascii="Times New Roman" w:hAnsi="Times New Roman" w:eastAsia="宋体" w:cs="Times New Roman"/>
                <w:color w:val="000000" w:themeColor="text1"/>
                <w:sz w:val="24"/>
                <w:szCs w:val="24"/>
                <w:lang w:val="en-US" w:eastAsia="zh-CN"/>
              </w:rPr>
              <w:fldChar w:fldCharType="end"/>
            </w:r>
            <w:r>
              <w:rPr>
                <w:rFonts w:hint="eastAsia"/>
              </w:rPr>
              <w:t>施工前对施工人员进行宣传教育，提高施工人员的保护意识，严禁施工人员围猎、抓捕、伤害野生动物。</w:t>
            </w:r>
          </w:p>
          <w:p>
            <w:pPr>
              <w:pStyle w:val="13"/>
              <w:numPr>
                <w:numId w:val="0"/>
              </w:numPr>
              <w:ind w:firstLine="480" w:firstLineChars="200"/>
              <w:rPr>
                <w:b/>
                <w:bCs/>
              </w:rPr>
            </w:pPr>
            <w:r>
              <w:rPr>
                <w:rFonts w:hint="default" w:ascii="Times New Roman" w:hAnsi="Times New Roman" w:eastAsia="宋体" w:cs="Times New Roman"/>
                <w:color w:val="000000" w:themeColor="text1"/>
                <w:sz w:val="24"/>
                <w:szCs w:val="24"/>
                <w:lang w:val="en-US" w:eastAsia="zh-CN"/>
              </w:rPr>
              <w:fldChar w:fldCharType="begin"/>
            </w:r>
            <w:r>
              <w:rPr>
                <w:rFonts w:hint="default" w:ascii="Times New Roman" w:hAnsi="Times New Roman" w:eastAsia="宋体" w:cs="Times New Roman"/>
                <w:color w:val="000000" w:themeColor="text1"/>
                <w:sz w:val="24"/>
                <w:szCs w:val="24"/>
                <w:lang w:val="en-US" w:eastAsia="zh-CN"/>
              </w:rPr>
              <w:instrText xml:space="preserve"> = 3 \* GB3 \* MERGEFORMAT </w:instrText>
            </w:r>
            <w:r>
              <w:rPr>
                <w:rFonts w:hint="default" w:ascii="Times New Roman" w:hAnsi="Times New Roman" w:eastAsia="宋体" w:cs="Times New Roman"/>
                <w:color w:val="000000" w:themeColor="text1"/>
                <w:sz w:val="24"/>
                <w:szCs w:val="24"/>
                <w:lang w:val="en-US" w:eastAsia="zh-CN"/>
              </w:rPr>
              <w:fldChar w:fldCharType="separate"/>
            </w:r>
            <w:r>
              <w:rPr>
                <w:rFonts w:hint="default" w:ascii="Times New Roman" w:hAnsi="Times New Roman" w:eastAsia="宋体" w:cs="Times New Roman"/>
                <w:sz w:val="24"/>
                <w:szCs w:val="24"/>
              </w:rPr>
              <w:t>③</w:t>
            </w:r>
            <w:r>
              <w:rPr>
                <w:rFonts w:hint="default" w:ascii="Times New Roman" w:hAnsi="Times New Roman" w:eastAsia="宋体" w:cs="Times New Roman"/>
                <w:color w:val="000000" w:themeColor="text1"/>
                <w:sz w:val="24"/>
                <w:szCs w:val="24"/>
                <w:lang w:val="en-US" w:eastAsia="zh-CN"/>
              </w:rPr>
              <w:fldChar w:fldCharType="end"/>
            </w:r>
            <w:r>
              <w:rPr>
                <w:rFonts w:hint="eastAsia"/>
              </w:rPr>
              <w:t>提高施工质量和效率，缩短施工期，减少对施工区野生动物的影响时段。</w:t>
            </w:r>
          </w:p>
          <w:p>
            <w:pPr>
              <w:pStyle w:val="13"/>
              <w:numPr>
                <w:numId w:val="0"/>
              </w:numPr>
              <w:ind w:firstLine="480" w:firstLineChars="200"/>
              <w:rPr>
                <w:b/>
                <w:bCs/>
              </w:rPr>
            </w:pPr>
            <w:r>
              <w:rPr>
                <w:rFonts w:hint="default" w:ascii="Times New Roman" w:hAnsi="Times New Roman" w:eastAsia="宋体" w:cs="Times New Roman"/>
                <w:color w:val="000000" w:themeColor="text1"/>
                <w:sz w:val="24"/>
                <w:szCs w:val="24"/>
                <w:lang w:val="en-US" w:eastAsia="zh-CN"/>
              </w:rPr>
              <w:fldChar w:fldCharType="begin"/>
            </w:r>
            <w:r>
              <w:rPr>
                <w:rFonts w:hint="default" w:ascii="Times New Roman" w:hAnsi="Times New Roman" w:eastAsia="宋体" w:cs="Times New Roman"/>
                <w:color w:val="000000" w:themeColor="text1"/>
                <w:sz w:val="24"/>
                <w:szCs w:val="24"/>
                <w:lang w:val="en-US" w:eastAsia="zh-CN"/>
              </w:rPr>
              <w:instrText xml:space="preserve"> = 4 \* GB3 \* MERGEFORMAT </w:instrText>
            </w:r>
            <w:r>
              <w:rPr>
                <w:rFonts w:hint="default" w:ascii="Times New Roman" w:hAnsi="Times New Roman" w:eastAsia="宋体" w:cs="Times New Roman"/>
                <w:color w:val="000000" w:themeColor="text1"/>
                <w:sz w:val="24"/>
                <w:szCs w:val="24"/>
                <w:lang w:val="en-US" w:eastAsia="zh-CN"/>
              </w:rPr>
              <w:fldChar w:fldCharType="separate"/>
            </w:r>
            <w:r>
              <w:rPr>
                <w:rFonts w:hint="default" w:ascii="Times New Roman" w:hAnsi="Times New Roman" w:eastAsia="宋体" w:cs="Times New Roman"/>
                <w:sz w:val="24"/>
                <w:szCs w:val="24"/>
              </w:rPr>
              <w:t>④</w:t>
            </w:r>
            <w:r>
              <w:rPr>
                <w:rFonts w:hint="default" w:ascii="Times New Roman" w:hAnsi="Times New Roman" w:eastAsia="宋体" w:cs="Times New Roman"/>
                <w:color w:val="000000" w:themeColor="text1"/>
                <w:sz w:val="24"/>
                <w:szCs w:val="24"/>
                <w:lang w:val="en-US" w:eastAsia="zh-CN"/>
              </w:rPr>
              <w:fldChar w:fldCharType="end"/>
            </w:r>
            <w:r>
              <w:rPr>
                <w:rFonts w:hint="eastAsia"/>
              </w:rPr>
              <w:t>施工过程中若发现重点保护或濒危野生动物的生存受到威胁，应立即停止施工，尽快消除施工影响，并向林业局动物保护主管部门汇报情况。</w:t>
            </w:r>
          </w:p>
          <w:p>
            <w:pPr>
              <w:pStyle w:val="4"/>
            </w:pPr>
            <w:r>
              <w:rPr>
                <w:rFonts w:hint="eastAsia"/>
              </w:rPr>
              <w:t>1.3临时占地生态恢复措施</w:t>
            </w:r>
          </w:p>
          <w:p>
            <w:pPr>
              <w:pStyle w:val="13"/>
              <w:numPr>
                <w:numId w:val="0"/>
              </w:numPr>
              <w:ind w:firstLine="480" w:firstLineChars="200"/>
              <w:rPr>
                <w:b/>
                <w:bCs/>
              </w:rPr>
            </w:pPr>
            <w:r>
              <w:rPr>
                <w:rFonts w:hint="default" w:ascii="Times New Roman" w:hAnsi="Times New Roman" w:eastAsia="宋体" w:cs="Times New Roman"/>
                <w:color w:val="000000" w:themeColor="text1"/>
                <w:sz w:val="24"/>
                <w:szCs w:val="24"/>
                <w:lang w:val="en-US" w:eastAsia="zh-CN"/>
              </w:rPr>
              <w:fldChar w:fldCharType="begin"/>
            </w:r>
            <w:r>
              <w:rPr>
                <w:rFonts w:hint="default" w:ascii="Times New Roman" w:hAnsi="Times New Roman" w:eastAsia="宋体" w:cs="Times New Roman"/>
                <w:color w:val="000000" w:themeColor="text1"/>
                <w:sz w:val="24"/>
                <w:szCs w:val="24"/>
                <w:lang w:val="en-US" w:eastAsia="zh-CN"/>
              </w:rPr>
              <w:instrText xml:space="preserve"> = 1 \* GB3 \* MERGEFORMAT </w:instrText>
            </w:r>
            <w:r>
              <w:rPr>
                <w:rFonts w:hint="default" w:ascii="Times New Roman" w:hAnsi="Times New Roman" w:eastAsia="宋体" w:cs="Times New Roman"/>
                <w:color w:val="000000" w:themeColor="text1"/>
                <w:sz w:val="24"/>
                <w:szCs w:val="24"/>
                <w:lang w:val="en-US" w:eastAsia="zh-CN"/>
              </w:rPr>
              <w:fldChar w:fldCharType="separate"/>
            </w:r>
            <w:r>
              <w:rPr>
                <w:rFonts w:hint="default" w:ascii="Times New Roman" w:hAnsi="Times New Roman" w:eastAsia="宋体" w:cs="Times New Roman"/>
                <w:color w:val="000000" w:themeColor="text1"/>
                <w:sz w:val="24"/>
                <w:szCs w:val="24"/>
                <w:lang w:val="en-US" w:eastAsia="zh-CN"/>
              </w:rPr>
              <w:t>①</w:t>
            </w:r>
            <w:r>
              <w:rPr>
                <w:rFonts w:hint="default" w:ascii="Times New Roman" w:hAnsi="Times New Roman" w:eastAsia="宋体" w:cs="Times New Roman"/>
                <w:color w:val="000000" w:themeColor="text1"/>
                <w:sz w:val="24"/>
                <w:szCs w:val="24"/>
                <w:lang w:val="en-US" w:eastAsia="zh-CN"/>
              </w:rPr>
              <w:fldChar w:fldCharType="end"/>
            </w:r>
            <w:r>
              <w:rPr>
                <w:rFonts w:ascii="Times New Roman" w:cs="Times New Roman"/>
                <w:color w:val="000000" w:themeColor="text1"/>
              </w:rPr>
              <w:t>严格控制施工</w:t>
            </w:r>
            <w:r>
              <w:rPr>
                <w:rFonts w:hint="eastAsia" w:ascii="Times New Roman" w:cs="Times New Roman"/>
                <w:color w:val="000000" w:themeColor="text1"/>
                <w:lang w:eastAsia="zh-CN"/>
              </w:rPr>
              <w:t>营地</w:t>
            </w:r>
            <w:r>
              <w:rPr>
                <w:rFonts w:ascii="Times New Roman" w:cs="Times New Roman"/>
                <w:color w:val="000000" w:themeColor="text1"/>
              </w:rPr>
              <w:t>占地范围，</w:t>
            </w:r>
            <w:r>
              <w:rPr>
                <w:rFonts w:hint="eastAsia" w:ascii="Times New Roman" w:cs="Times New Roman"/>
                <w:color w:val="000000" w:themeColor="text1"/>
                <w:lang w:eastAsia="zh-CN"/>
              </w:rPr>
              <w:t>荒地作为施工营地时不占用其内绿化带、周边耕地等，</w:t>
            </w:r>
            <w:r>
              <w:rPr>
                <w:rFonts w:hint="eastAsia" w:ascii="Times New Roman" w:cs="Times New Roman"/>
                <w:color w:val="000000" w:themeColor="text1"/>
              </w:rPr>
              <w:t>减少占压造成的植被破坏</w:t>
            </w:r>
            <w:r>
              <w:rPr>
                <w:rFonts w:hint="eastAsia" w:ascii="Times New Roman" w:cs="Times New Roman"/>
                <w:color w:val="000000" w:themeColor="text1"/>
                <w:lang w:eastAsia="zh-CN"/>
              </w:rPr>
              <w:t>；</w:t>
            </w:r>
            <w:r>
              <w:rPr>
                <w:rFonts w:hint="eastAsia"/>
              </w:rPr>
              <w:t>管道施工作业带范围控制在2.5m范围内，尽可能利用工程现有道路，减少占用自然地表，减少新增临时占地面积。</w:t>
            </w:r>
          </w:p>
          <w:p>
            <w:pPr>
              <w:pStyle w:val="13"/>
              <w:numPr>
                <w:numId w:val="0"/>
              </w:numPr>
              <w:ind w:firstLine="480" w:firstLineChars="200"/>
              <w:rPr>
                <w:rFonts w:hint="eastAsia" w:ascii="Times New Roman" w:hAnsi="Times New Roman" w:cs="Times New Roman"/>
                <w:color w:val="000000" w:themeColor="text1"/>
                <w:lang w:eastAsia="zh-CN"/>
              </w:rPr>
            </w:pPr>
            <w:r>
              <w:rPr>
                <w:rFonts w:hint="default" w:ascii="Times New Roman" w:hAnsi="Times New Roman" w:eastAsia="宋体" w:cs="Times New Roman"/>
                <w:color w:val="000000" w:themeColor="text1"/>
                <w:sz w:val="24"/>
                <w:szCs w:val="24"/>
                <w:lang w:val="en-US" w:eastAsia="zh-CN"/>
              </w:rPr>
              <w:fldChar w:fldCharType="begin"/>
            </w:r>
            <w:r>
              <w:rPr>
                <w:rFonts w:hint="default" w:ascii="Times New Roman" w:hAnsi="Times New Roman" w:eastAsia="宋体" w:cs="Times New Roman"/>
                <w:color w:val="000000" w:themeColor="text1"/>
                <w:sz w:val="24"/>
                <w:szCs w:val="24"/>
                <w:lang w:val="en-US" w:eastAsia="zh-CN"/>
              </w:rPr>
              <w:instrText xml:space="preserve"> = 2 \* GB3 \* MERGEFORMAT </w:instrText>
            </w:r>
            <w:r>
              <w:rPr>
                <w:rFonts w:hint="default" w:ascii="Times New Roman" w:hAnsi="Times New Roman" w:eastAsia="宋体" w:cs="Times New Roman"/>
                <w:color w:val="000000" w:themeColor="text1"/>
                <w:sz w:val="24"/>
                <w:szCs w:val="24"/>
                <w:lang w:val="en-US" w:eastAsia="zh-CN"/>
              </w:rPr>
              <w:fldChar w:fldCharType="separate"/>
            </w:r>
            <w:r>
              <w:rPr>
                <w:rFonts w:hint="default" w:ascii="Times New Roman" w:hAnsi="Times New Roman" w:eastAsia="宋体" w:cs="Times New Roman"/>
                <w:color w:val="000000" w:themeColor="text1"/>
                <w:sz w:val="24"/>
                <w:szCs w:val="24"/>
                <w:lang w:val="en-US" w:eastAsia="zh-CN"/>
              </w:rPr>
              <w:t>②</w:t>
            </w:r>
            <w:r>
              <w:rPr>
                <w:rFonts w:hint="default" w:ascii="Times New Roman" w:hAnsi="Times New Roman" w:eastAsia="宋体" w:cs="Times New Roman"/>
                <w:color w:val="000000" w:themeColor="text1"/>
                <w:sz w:val="24"/>
                <w:szCs w:val="24"/>
                <w:lang w:val="en-US" w:eastAsia="zh-CN"/>
              </w:rPr>
              <w:fldChar w:fldCharType="end"/>
            </w:r>
            <w:r>
              <w:rPr>
                <w:rFonts w:hint="eastAsia" w:ascii="Times New Roman" w:hAnsi="Times New Roman" w:cs="Times New Roman"/>
                <w:color w:val="000000" w:themeColor="text1"/>
              </w:rPr>
              <w:t>项目通往施工区域时，尽量使用现有水泥道路及耕地两侧的马道，避免对沿线</w:t>
            </w:r>
            <w:r>
              <w:rPr>
                <w:rFonts w:hint="eastAsia" w:ascii="Times New Roman" w:hAnsi="Times New Roman" w:cs="Times New Roman"/>
                <w:color w:val="000000" w:themeColor="text1"/>
                <w:lang w:eastAsia="zh-CN"/>
              </w:rPr>
              <w:t>耕地或自然植被的</w:t>
            </w:r>
            <w:r>
              <w:rPr>
                <w:rFonts w:hint="eastAsia" w:ascii="Times New Roman" w:hAnsi="Times New Roman" w:cs="Times New Roman"/>
                <w:color w:val="000000" w:themeColor="text1"/>
              </w:rPr>
              <w:t>额外踩踏扰动</w:t>
            </w:r>
            <w:r>
              <w:rPr>
                <w:rFonts w:hint="eastAsia" w:ascii="Times New Roman" w:hAnsi="Times New Roman" w:cs="Times New Roman"/>
                <w:color w:val="000000" w:themeColor="text1"/>
                <w:lang w:eastAsia="zh-CN"/>
              </w:rPr>
              <w:t>。对不得已造成的占压影响，待施工结束后耕地处进行翻松处理，其余区域处翻松后覆土播撒</w:t>
            </w:r>
            <w:r>
              <w:rPr>
                <w:rFonts w:hint="eastAsia"/>
              </w:rPr>
              <w:t>披碱草、早熟禾</w:t>
            </w:r>
            <w:r>
              <w:rPr>
                <w:rFonts w:hint="eastAsia" w:ascii="Times New Roman" w:hAnsi="Times New Roman" w:cs="Times New Roman"/>
                <w:color w:val="000000" w:themeColor="text1"/>
                <w:lang w:eastAsia="zh-CN"/>
              </w:rPr>
              <w:t>等草籽恢复植被，确保与周边植被类型及其覆盖度一致。</w:t>
            </w:r>
          </w:p>
          <w:p>
            <w:pPr>
              <w:pStyle w:val="13"/>
              <w:numPr>
                <w:numId w:val="0"/>
              </w:numPr>
              <w:ind w:firstLine="480" w:firstLineChars="200"/>
              <w:rPr>
                <w:b/>
                <w:bCs/>
              </w:rPr>
            </w:pPr>
            <w:r>
              <w:rPr>
                <w:rFonts w:hint="default" w:ascii="Times New Roman" w:hAnsi="Times New Roman" w:eastAsia="宋体" w:cs="Times New Roman"/>
                <w:color w:val="000000" w:themeColor="text1"/>
                <w:sz w:val="24"/>
                <w:szCs w:val="24"/>
                <w:lang w:val="en-US" w:eastAsia="zh-CN"/>
              </w:rPr>
              <w:fldChar w:fldCharType="begin"/>
            </w:r>
            <w:r>
              <w:rPr>
                <w:rFonts w:hint="default" w:ascii="Times New Roman" w:hAnsi="Times New Roman" w:eastAsia="宋体" w:cs="Times New Roman"/>
                <w:color w:val="000000" w:themeColor="text1"/>
                <w:sz w:val="24"/>
                <w:szCs w:val="24"/>
                <w:lang w:val="en-US" w:eastAsia="zh-CN"/>
              </w:rPr>
              <w:instrText xml:space="preserve"> = 3 \* GB3 \* MERGEFORMAT </w:instrText>
            </w:r>
            <w:r>
              <w:rPr>
                <w:rFonts w:hint="default" w:ascii="Times New Roman" w:hAnsi="Times New Roman" w:eastAsia="宋体" w:cs="Times New Roman"/>
                <w:color w:val="000000" w:themeColor="text1"/>
                <w:sz w:val="24"/>
                <w:szCs w:val="24"/>
                <w:lang w:val="en-US" w:eastAsia="zh-CN"/>
              </w:rPr>
              <w:fldChar w:fldCharType="separate"/>
            </w:r>
            <w:r>
              <w:rPr>
                <w:rFonts w:hint="default" w:ascii="Times New Roman" w:hAnsi="Times New Roman" w:eastAsia="宋体" w:cs="Times New Roman"/>
                <w:sz w:val="24"/>
                <w:szCs w:val="24"/>
              </w:rPr>
              <w:t>③</w:t>
            </w:r>
            <w:r>
              <w:rPr>
                <w:rFonts w:hint="default" w:ascii="Times New Roman" w:hAnsi="Times New Roman" w:eastAsia="宋体" w:cs="Times New Roman"/>
                <w:color w:val="000000" w:themeColor="text1"/>
                <w:sz w:val="24"/>
                <w:szCs w:val="24"/>
                <w:lang w:val="en-US" w:eastAsia="zh-CN"/>
              </w:rPr>
              <w:fldChar w:fldCharType="end"/>
            </w:r>
            <w:r>
              <w:rPr>
                <w:rFonts w:hint="eastAsia"/>
              </w:rPr>
              <w:t>项目管道工程临时占地及构筑物工程临时占地扰动区域，施工结束后进行地面平整，然后撒播草籽植被恢复，草籽选用适合当地土生的披碱草、早熟禾按1:1混播，撒播草籽量为80kg/hm</w:t>
            </w:r>
            <w:r>
              <w:rPr>
                <w:rFonts w:hint="eastAsia"/>
                <w:vertAlign w:val="superscript"/>
              </w:rPr>
              <w:t>2</w:t>
            </w:r>
            <w:r>
              <w:rPr>
                <w:rFonts w:hint="eastAsia"/>
              </w:rPr>
              <w:t>，使其与周边景观保持协调。</w:t>
            </w:r>
          </w:p>
          <w:p>
            <w:pPr>
              <w:pStyle w:val="13"/>
              <w:numPr>
                <w:numId w:val="0"/>
              </w:numPr>
              <w:ind w:firstLine="480" w:firstLineChars="200"/>
              <w:rPr>
                <w:b/>
                <w:bCs/>
              </w:rPr>
            </w:pPr>
            <w:r>
              <w:rPr>
                <w:rFonts w:hint="default" w:ascii="Times New Roman" w:hAnsi="Times New Roman" w:eastAsia="宋体" w:cs="Times New Roman"/>
                <w:color w:val="000000" w:themeColor="text1"/>
                <w:sz w:val="24"/>
                <w:szCs w:val="24"/>
                <w:lang w:val="en-US" w:eastAsia="zh-CN"/>
              </w:rPr>
              <w:fldChar w:fldCharType="begin"/>
            </w:r>
            <w:r>
              <w:rPr>
                <w:rFonts w:hint="default" w:ascii="Times New Roman" w:hAnsi="Times New Roman" w:eastAsia="宋体" w:cs="Times New Roman"/>
                <w:color w:val="000000" w:themeColor="text1"/>
                <w:sz w:val="24"/>
                <w:szCs w:val="24"/>
                <w:lang w:val="en-US" w:eastAsia="zh-CN"/>
              </w:rPr>
              <w:instrText xml:space="preserve"> = 4 \* GB3 \* MERGEFORMAT </w:instrText>
            </w:r>
            <w:r>
              <w:rPr>
                <w:rFonts w:hint="default" w:ascii="Times New Roman" w:hAnsi="Times New Roman" w:eastAsia="宋体" w:cs="Times New Roman"/>
                <w:color w:val="000000" w:themeColor="text1"/>
                <w:sz w:val="24"/>
                <w:szCs w:val="24"/>
                <w:lang w:val="en-US" w:eastAsia="zh-CN"/>
              </w:rPr>
              <w:fldChar w:fldCharType="separate"/>
            </w:r>
            <w:r>
              <w:rPr>
                <w:rFonts w:hint="default" w:ascii="Times New Roman" w:hAnsi="Times New Roman" w:eastAsia="宋体" w:cs="Times New Roman"/>
                <w:sz w:val="24"/>
                <w:szCs w:val="24"/>
              </w:rPr>
              <w:t>④</w:t>
            </w:r>
            <w:r>
              <w:rPr>
                <w:rFonts w:hint="default" w:ascii="Times New Roman" w:hAnsi="Times New Roman" w:eastAsia="宋体" w:cs="Times New Roman"/>
                <w:color w:val="000000" w:themeColor="text1"/>
                <w:sz w:val="24"/>
                <w:szCs w:val="24"/>
                <w:lang w:val="en-US" w:eastAsia="zh-CN"/>
              </w:rPr>
              <w:fldChar w:fldCharType="end"/>
            </w:r>
            <w:r>
              <w:rPr>
                <w:rFonts w:hint="eastAsia"/>
              </w:rPr>
              <w:t>项目引水口等存在草皮的区域，先剥离土壤与草皮并妥善保存，</w:t>
            </w:r>
            <w:r>
              <w:rPr>
                <w:rFonts w:hint="eastAsia"/>
                <w:lang w:val="en-US" w:eastAsia="zh-CN"/>
              </w:rPr>
              <w:t>进行洒水养护，</w:t>
            </w:r>
            <w:r>
              <w:rPr>
                <w:rFonts w:hint="eastAsia"/>
              </w:rPr>
              <w:t>用于施工完成后临时占地区域的覆土和植被重建</w:t>
            </w:r>
            <w:r>
              <w:rPr>
                <w:rFonts w:hint="eastAsia"/>
                <w:lang w:eastAsia="zh-CN"/>
              </w:rPr>
              <w:t>，</w:t>
            </w:r>
            <w:r>
              <w:rPr>
                <w:rFonts w:hint="eastAsia"/>
                <w:lang w:val="en-US" w:eastAsia="zh-CN"/>
              </w:rPr>
              <w:t>或者直接移植到区域草皮覆盖率较低的地方</w:t>
            </w:r>
            <w:r>
              <w:rPr>
                <w:rFonts w:hint="eastAsia"/>
              </w:rPr>
              <w:t>。</w:t>
            </w:r>
          </w:p>
          <w:p>
            <w:pPr>
              <w:pStyle w:val="13"/>
              <w:numPr>
                <w:numId w:val="0"/>
              </w:numPr>
              <w:ind w:firstLine="480" w:firstLineChars="200"/>
              <w:rPr>
                <w:b/>
                <w:bCs/>
              </w:rPr>
            </w:pPr>
            <w:r>
              <w:rPr>
                <w:rFonts w:hint="default" w:ascii="Times New Roman" w:hAnsi="Times New Roman" w:eastAsia="宋体" w:cs="Times New Roman"/>
                <w:color w:val="000000" w:themeColor="text1"/>
                <w:sz w:val="24"/>
                <w:szCs w:val="24"/>
                <w:lang w:val="en-US" w:eastAsia="zh-CN"/>
              </w:rPr>
              <w:fldChar w:fldCharType="begin"/>
            </w:r>
            <w:r>
              <w:rPr>
                <w:rFonts w:hint="default" w:ascii="Times New Roman" w:hAnsi="Times New Roman" w:eastAsia="宋体" w:cs="Times New Roman"/>
                <w:color w:val="000000" w:themeColor="text1"/>
                <w:sz w:val="24"/>
                <w:szCs w:val="24"/>
                <w:lang w:val="en-US" w:eastAsia="zh-CN"/>
              </w:rPr>
              <w:instrText xml:space="preserve"> = 5 \* GB3 \* MERGEFORMAT </w:instrText>
            </w:r>
            <w:r>
              <w:rPr>
                <w:rFonts w:hint="default" w:ascii="Times New Roman" w:hAnsi="Times New Roman" w:eastAsia="宋体" w:cs="Times New Roman"/>
                <w:color w:val="000000" w:themeColor="text1"/>
                <w:sz w:val="24"/>
                <w:szCs w:val="24"/>
                <w:lang w:val="en-US" w:eastAsia="zh-CN"/>
              </w:rPr>
              <w:fldChar w:fldCharType="separate"/>
            </w:r>
            <w:r>
              <w:rPr>
                <w:rFonts w:hint="default" w:ascii="Times New Roman" w:hAnsi="Times New Roman" w:eastAsia="宋体" w:cs="Times New Roman"/>
                <w:sz w:val="24"/>
                <w:szCs w:val="24"/>
              </w:rPr>
              <w:t>⑤</w:t>
            </w:r>
            <w:r>
              <w:rPr>
                <w:rFonts w:hint="default" w:ascii="Times New Roman" w:hAnsi="Times New Roman" w:eastAsia="宋体" w:cs="Times New Roman"/>
                <w:color w:val="000000" w:themeColor="text1"/>
                <w:sz w:val="24"/>
                <w:szCs w:val="24"/>
                <w:lang w:val="en-US" w:eastAsia="zh-CN"/>
              </w:rPr>
              <w:fldChar w:fldCharType="end"/>
            </w:r>
            <w:r>
              <w:rPr>
                <w:rFonts w:hint="eastAsia" w:ascii="宋体" w:hAnsi="宋体" w:eastAsia="宋体" w:cs="宋体"/>
                <w:color w:val="000000"/>
                <w:kern w:val="0"/>
                <w:sz w:val="24"/>
                <w:szCs w:val="24"/>
                <w:lang w:val="en-US" w:eastAsia="zh-CN" w:bidi="ar"/>
              </w:rPr>
              <w:t>在场平整理前，先进行表土剥离，完善场区截排水、沉沙系统</w:t>
            </w:r>
            <w:r>
              <w:rPr>
                <w:rFonts w:hint="eastAsia"/>
              </w:rPr>
              <w:t>。</w:t>
            </w:r>
          </w:p>
          <w:p>
            <w:pPr>
              <w:pStyle w:val="13"/>
              <w:numPr>
                <w:numId w:val="0"/>
              </w:numPr>
              <w:ind w:firstLine="480" w:firstLineChars="200"/>
              <w:rPr>
                <w:rFonts w:hint="eastAsia"/>
                <w:lang w:eastAsia="zh-CN"/>
              </w:rPr>
            </w:pPr>
            <w:r>
              <w:rPr>
                <w:rFonts w:hint="eastAsia"/>
                <w:lang w:eastAsia="zh-CN"/>
              </w:rPr>
              <w:fldChar w:fldCharType="begin"/>
            </w:r>
            <w:r>
              <w:rPr>
                <w:rFonts w:hint="eastAsia"/>
                <w:lang w:eastAsia="zh-CN"/>
              </w:rPr>
              <w:instrText xml:space="preserve"> = 6 \* GB3 \* MERGEFORMAT </w:instrText>
            </w:r>
            <w:r>
              <w:rPr>
                <w:rFonts w:hint="eastAsia"/>
                <w:lang w:eastAsia="zh-CN"/>
              </w:rPr>
              <w:fldChar w:fldCharType="separate"/>
            </w:r>
            <w:r>
              <w:t>⑥</w:t>
            </w:r>
            <w:r>
              <w:rPr>
                <w:rFonts w:hint="eastAsia"/>
                <w:lang w:eastAsia="zh-CN"/>
              </w:rPr>
              <w:fldChar w:fldCharType="end"/>
            </w:r>
            <w:r>
              <w:rPr>
                <w:rFonts w:hint="eastAsia"/>
                <w:lang w:eastAsia="zh-CN"/>
              </w:rPr>
              <w:t>本项目施工结束后进行场地平整、拆除场地构筑物、迹地清理，</w:t>
            </w:r>
            <w:r>
              <w:rPr>
                <w:rFonts w:hint="eastAsia"/>
              </w:rPr>
              <w:t>生活垃圾及建材余料及时清运</w:t>
            </w:r>
            <w:r>
              <w:rPr>
                <w:rFonts w:hint="eastAsia" w:ascii="Times New Roman" w:cs="Times New Roman"/>
                <w:color w:val="000000" w:themeColor="text1"/>
              </w:rPr>
              <w:t>，</w:t>
            </w:r>
            <w:r>
              <w:rPr>
                <w:rFonts w:hint="eastAsia"/>
                <w:lang w:eastAsia="zh-CN"/>
              </w:rPr>
              <w:t>播撒本地物种菜籽，避免外来生物入侵，</w:t>
            </w:r>
            <w:r>
              <w:rPr>
                <w:rFonts w:ascii="Times New Roman" w:cs="Times New Roman"/>
                <w:color w:val="000000" w:themeColor="text1"/>
              </w:rPr>
              <w:t>其植被覆盖率与周边未扰动区域</w:t>
            </w:r>
            <w:r>
              <w:rPr>
                <w:rFonts w:hint="eastAsia" w:ascii="Times New Roman" w:cs="Times New Roman"/>
                <w:color w:val="000000" w:themeColor="text1"/>
              </w:rPr>
              <w:t>的至少</w:t>
            </w:r>
            <w:r>
              <w:rPr>
                <w:rFonts w:hint="eastAsia" w:ascii="Times New Roman" w:cs="Times New Roman"/>
                <w:color w:val="000000" w:themeColor="text1"/>
                <w:lang w:eastAsia="zh-CN"/>
              </w:rPr>
              <w:t>一致</w:t>
            </w:r>
            <w:r>
              <w:rPr>
                <w:rFonts w:hint="eastAsia"/>
                <w:lang w:eastAsia="zh-CN"/>
              </w:rPr>
              <w:t>。</w:t>
            </w:r>
          </w:p>
          <w:p>
            <w:pPr>
              <w:pStyle w:val="4"/>
            </w:pPr>
            <w:r>
              <w:rPr>
                <w:rFonts w:hint="eastAsia"/>
              </w:rPr>
              <w:t>1.4水生生态保护措施</w:t>
            </w:r>
          </w:p>
          <w:p>
            <w:pPr>
              <w:pStyle w:val="13"/>
              <w:numPr>
                <w:numId w:val="0"/>
              </w:numPr>
              <w:ind w:left="480" w:leftChars="0"/>
            </w:pPr>
            <w:r>
              <w:rPr>
                <w:rFonts w:hint="default" w:ascii="Times New Roman" w:hAnsi="Times New Roman" w:eastAsia="宋体" w:cs="Times New Roman"/>
                <w:color w:val="000000" w:themeColor="text1"/>
                <w:sz w:val="24"/>
                <w:szCs w:val="24"/>
                <w:lang w:val="en-US" w:eastAsia="zh-CN"/>
              </w:rPr>
              <w:fldChar w:fldCharType="begin"/>
            </w:r>
            <w:r>
              <w:rPr>
                <w:rFonts w:hint="default" w:ascii="Times New Roman" w:hAnsi="Times New Roman" w:eastAsia="宋体" w:cs="Times New Roman"/>
                <w:color w:val="000000" w:themeColor="text1"/>
                <w:sz w:val="24"/>
                <w:szCs w:val="24"/>
                <w:lang w:val="en-US" w:eastAsia="zh-CN"/>
              </w:rPr>
              <w:instrText xml:space="preserve"> = 1 \* GB3 \* MERGEFORMAT </w:instrText>
            </w:r>
            <w:r>
              <w:rPr>
                <w:rFonts w:hint="default" w:ascii="Times New Roman" w:hAnsi="Times New Roman" w:eastAsia="宋体" w:cs="Times New Roman"/>
                <w:color w:val="000000" w:themeColor="text1"/>
                <w:sz w:val="24"/>
                <w:szCs w:val="24"/>
                <w:lang w:val="en-US" w:eastAsia="zh-CN"/>
              </w:rPr>
              <w:fldChar w:fldCharType="separate"/>
            </w:r>
            <w:r>
              <w:rPr>
                <w:rFonts w:hint="default" w:ascii="Times New Roman" w:hAnsi="Times New Roman" w:eastAsia="宋体" w:cs="Times New Roman"/>
                <w:color w:val="000000" w:themeColor="text1"/>
                <w:sz w:val="24"/>
                <w:szCs w:val="24"/>
                <w:lang w:val="en-US" w:eastAsia="zh-CN"/>
              </w:rPr>
              <w:t>①</w:t>
            </w:r>
            <w:r>
              <w:rPr>
                <w:rFonts w:hint="default" w:ascii="Times New Roman" w:hAnsi="Times New Roman" w:eastAsia="宋体" w:cs="Times New Roman"/>
                <w:color w:val="000000" w:themeColor="text1"/>
                <w:sz w:val="24"/>
                <w:szCs w:val="24"/>
                <w:lang w:val="en-US" w:eastAsia="zh-CN"/>
              </w:rPr>
              <w:fldChar w:fldCharType="end"/>
            </w:r>
            <w:r>
              <w:t>合理确定施工时期与施工方式，集中力量在枯水期开展涉水施工。</w:t>
            </w:r>
          </w:p>
          <w:p>
            <w:pPr>
              <w:pStyle w:val="13"/>
              <w:numPr>
                <w:numId w:val="0"/>
              </w:numPr>
              <w:ind w:left="480" w:leftChars="0"/>
            </w:pPr>
            <w:r>
              <w:rPr>
                <w:rFonts w:hint="default" w:ascii="Times New Roman" w:hAnsi="Times New Roman" w:eastAsia="宋体" w:cs="Times New Roman"/>
                <w:color w:val="000000" w:themeColor="text1"/>
                <w:sz w:val="24"/>
                <w:szCs w:val="24"/>
                <w:lang w:val="en-US" w:eastAsia="zh-CN"/>
              </w:rPr>
              <w:fldChar w:fldCharType="begin"/>
            </w:r>
            <w:r>
              <w:rPr>
                <w:rFonts w:hint="default" w:ascii="Times New Roman" w:hAnsi="Times New Roman" w:eastAsia="宋体" w:cs="Times New Roman"/>
                <w:color w:val="000000" w:themeColor="text1"/>
                <w:sz w:val="24"/>
                <w:szCs w:val="24"/>
                <w:lang w:val="en-US" w:eastAsia="zh-CN"/>
              </w:rPr>
              <w:instrText xml:space="preserve"> = 2 \* GB3 \* MERGEFORMAT </w:instrText>
            </w:r>
            <w:r>
              <w:rPr>
                <w:rFonts w:hint="default" w:ascii="Times New Roman" w:hAnsi="Times New Roman" w:eastAsia="宋体" w:cs="Times New Roman"/>
                <w:color w:val="000000" w:themeColor="text1"/>
                <w:sz w:val="24"/>
                <w:szCs w:val="24"/>
                <w:lang w:val="en-US" w:eastAsia="zh-CN"/>
              </w:rPr>
              <w:fldChar w:fldCharType="separate"/>
            </w:r>
            <w:r>
              <w:rPr>
                <w:rFonts w:hint="default" w:ascii="Times New Roman" w:hAnsi="Times New Roman" w:eastAsia="宋体" w:cs="Times New Roman"/>
                <w:color w:val="000000" w:themeColor="text1"/>
                <w:sz w:val="24"/>
                <w:szCs w:val="24"/>
                <w:lang w:val="en-US" w:eastAsia="zh-CN"/>
              </w:rPr>
              <w:t>②</w:t>
            </w:r>
            <w:r>
              <w:rPr>
                <w:rFonts w:hint="default" w:ascii="Times New Roman" w:hAnsi="Times New Roman" w:eastAsia="宋体" w:cs="Times New Roman"/>
                <w:color w:val="000000" w:themeColor="text1"/>
                <w:sz w:val="24"/>
                <w:szCs w:val="24"/>
                <w:lang w:val="en-US" w:eastAsia="zh-CN"/>
              </w:rPr>
              <w:fldChar w:fldCharType="end"/>
            </w:r>
            <w:r>
              <w:t>施工期加强对施工活动及施工人员的管理，禁止人为排放污水、丢弃生活垃圾对</w:t>
            </w:r>
            <w:r>
              <w:rPr>
                <w:rFonts w:hint="eastAsia"/>
              </w:rPr>
              <w:t>引水口河段</w:t>
            </w:r>
            <w:r>
              <w:t>造成水体污染，减免对水生生物的影响。</w:t>
            </w:r>
          </w:p>
          <w:p>
            <w:pPr>
              <w:pStyle w:val="13"/>
              <w:numPr>
                <w:numId w:val="0"/>
              </w:numPr>
              <w:ind w:left="480" w:leftChars="0"/>
            </w:pPr>
            <w:r>
              <w:rPr>
                <w:rFonts w:hint="default" w:ascii="Times New Roman" w:hAnsi="Times New Roman" w:eastAsia="宋体" w:cs="Times New Roman"/>
                <w:color w:val="000000" w:themeColor="text1"/>
                <w:sz w:val="24"/>
                <w:szCs w:val="24"/>
                <w:lang w:val="en-US" w:eastAsia="zh-CN"/>
              </w:rPr>
              <w:fldChar w:fldCharType="begin"/>
            </w:r>
            <w:r>
              <w:rPr>
                <w:rFonts w:hint="default" w:ascii="Times New Roman" w:hAnsi="Times New Roman" w:eastAsia="宋体" w:cs="Times New Roman"/>
                <w:color w:val="000000" w:themeColor="text1"/>
                <w:sz w:val="24"/>
                <w:szCs w:val="24"/>
                <w:lang w:val="en-US" w:eastAsia="zh-CN"/>
              </w:rPr>
              <w:instrText xml:space="preserve"> = 3 \* GB3 \* MERGEFORMAT </w:instrText>
            </w:r>
            <w:r>
              <w:rPr>
                <w:rFonts w:hint="default" w:ascii="Times New Roman" w:hAnsi="Times New Roman" w:eastAsia="宋体" w:cs="Times New Roman"/>
                <w:color w:val="000000" w:themeColor="text1"/>
                <w:sz w:val="24"/>
                <w:szCs w:val="24"/>
                <w:lang w:val="en-US" w:eastAsia="zh-CN"/>
              </w:rPr>
              <w:fldChar w:fldCharType="separate"/>
            </w:r>
            <w:r>
              <w:rPr>
                <w:rFonts w:hint="default" w:ascii="Times New Roman" w:hAnsi="Times New Roman" w:eastAsia="宋体" w:cs="Times New Roman"/>
                <w:sz w:val="24"/>
                <w:szCs w:val="24"/>
              </w:rPr>
              <w:t>③</w:t>
            </w:r>
            <w:r>
              <w:rPr>
                <w:rFonts w:hint="default" w:ascii="Times New Roman" w:hAnsi="Times New Roman" w:eastAsia="宋体" w:cs="Times New Roman"/>
                <w:color w:val="000000" w:themeColor="text1"/>
                <w:sz w:val="24"/>
                <w:szCs w:val="24"/>
                <w:lang w:val="en-US" w:eastAsia="zh-CN"/>
              </w:rPr>
              <w:fldChar w:fldCharType="end"/>
            </w:r>
            <w:r>
              <w:rPr>
                <w:rFonts w:hint="eastAsia"/>
              </w:rPr>
              <w:t>严格按照施工方案设计要求进行基础开挖，避免超范围开挖，以减轻对河床底泥的扰动。</w:t>
            </w:r>
          </w:p>
          <w:p>
            <w:pPr>
              <w:pStyle w:val="13"/>
              <w:numPr>
                <w:ilvl w:val="0"/>
                <w:numId w:val="0"/>
              </w:numPr>
              <w:ind w:firstLine="480" w:firstLineChars="200"/>
              <w:rPr>
                <w:rFonts w:hint="eastAsia"/>
              </w:rPr>
            </w:pPr>
            <w:r>
              <w:rPr>
                <w:rFonts w:hint="default" w:ascii="Times New Roman" w:hAnsi="Times New Roman" w:eastAsia="宋体" w:cs="Times New Roman"/>
                <w:color w:val="000000" w:themeColor="text1"/>
                <w:sz w:val="24"/>
                <w:szCs w:val="24"/>
                <w:lang w:val="en-US" w:eastAsia="zh-CN"/>
              </w:rPr>
              <w:fldChar w:fldCharType="begin"/>
            </w:r>
            <w:r>
              <w:rPr>
                <w:rFonts w:hint="default" w:ascii="Times New Roman" w:hAnsi="Times New Roman" w:eastAsia="宋体" w:cs="Times New Roman"/>
                <w:color w:val="000000" w:themeColor="text1"/>
                <w:sz w:val="24"/>
                <w:szCs w:val="24"/>
                <w:lang w:val="en-US" w:eastAsia="zh-CN"/>
              </w:rPr>
              <w:instrText xml:space="preserve"> = 4 \* GB3 \* MERGEFORMAT </w:instrText>
            </w:r>
            <w:r>
              <w:rPr>
                <w:rFonts w:hint="default" w:ascii="Times New Roman" w:hAnsi="Times New Roman" w:eastAsia="宋体" w:cs="Times New Roman"/>
                <w:color w:val="000000" w:themeColor="text1"/>
                <w:sz w:val="24"/>
                <w:szCs w:val="24"/>
                <w:lang w:val="en-US" w:eastAsia="zh-CN"/>
              </w:rPr>
              <w:fldChar w:fldCharType="separate"/>
            </w:r>
            <w:r>
              <w:rPr>
                <w:rFonts w:hint="default" w:ascii="Times New Roman" w:hAnsi="Times New Roman" w:eastAsia="宋体" w:cs="Times New Roman"/>
                <w:sz w:val="24"/>
                <w:szCs w:val="24"/>
              </w:rPr>
              <w:t>④</w:t>
            </w:r>
            <w:r>
              <w:rPr>
                <w:rFonts w:hint="default" w:ascii="Times New Roman" w:hAnsi="Times New Roman" w:eastAsia="宋体" w:cs="Times New Roman"/>
                <w:color w:val="000000" w:themeColor="text1"/>
                <w:sz w:val="24"/>
                <w:szCs w:val="24"/>
                <w:lang w:val="en-US" w:eastAsia="zh-CN"/>
              </w:rPr>
              <w:fldChar w:fldCharType="end"/>
            </w:r>
            <w:r>
              <w:rPr>
                <w:rFonts w:hint="eastAsia"/>
              </w:rPr>
              <w:t>禁止在河道内对施工机械进行冲洗。</w:t>
            </w:r>
          </w:p>
          <w:p>
            <w:pPr>
              <w:pStyle w:val="13"/>
              <w:numPr>
                <w:ilvl w:val="0"/>
                <w:numId w:val="0"/>
              </w:numPr>
              <w:ind w:firstLine="480" w:firstLineChars="200"/>
              <w:rPr>
                <w:rFonts w:hint="eastAsia" w:eastAsia="宋体"/>
                <w:lang w:eastAsia="zh-CN"/>
              </w:rPr>
            </w:pPr>
            <w:r>
              <w:rPr>
                <w:rFonts w:hint="default" w:ascii="Times New Roman" w:hAnsi="Times New Roman" w:eastAsia="宋体" w:cs="Times New Roman"/>
                <w:color w:val="000000" w:themeColor="text1"/>
                <w:sz w:val="24"/>
                <w:szCs w:val="24"/>
                <w:lang w:val="en-US" w:eastAsia="zh-CN"/>
              </w:rPr>
              <w:fldChar w:fldCharType="begin"/>
            </w:r>
            <w:r>
              <w:rPr>
                <w:rFonts w:hint="default" w:ascii="Times New Roman" w:hAnsi="Times New Roman" w:eastAsia="宋体" w:cs="Times New Roman"/>
                <w:color w:val="000000" w:themeColor="text1"/>
                <w:sz w:val="24"/>
                <w:szCs w:val="24"/>
                <w:lang w:val="en-US" w:eastAsia="zh-CN"/>
              </w:rPr>
              <w:instrText xml:space="preserve"> = 5 \* GB3 \* MERGEFORMAT </w:instrText>
            </w:r>
            <w:r>
              <w:rPr>
                <w:rFonts w:hint="default" w:ascii="Times New Roman" w:hAnsi="Times New Roman" w:eastAsia="宋体" w:cs="Times New Roman"/>
                <w:color w:val="000000" w:themeColor="text1"/>
                <w:sz w:val="24"/>
                <w:szCs w:val="24"/>
                <w:lang w:val="en-US" w:eastAsia="zh-CN"/>
              </w:rPr>
              <w:fldChar w:fldCharType="separate"/>
            </w:r>
            <w:r>
              <w:rPr>
                <w:rFonts w:hint="default" w:ascii="Times New Roman" w:hAnsi="Times New Roman" w:eastAsia="宋体" w:cs="Times New Roman"/>
                <w:sz w:val="24"/>
                <w:szCs w:val="24"/>
              </w:rPr>
              <w:t>⑤</w:t>
            </w:r>
            <w:r>
              <w:rPr>
                <w:rFonts w:hint="default" w:ascii="Times New Roman" w:hAnsi="Times New Roman" w:eastAsia="宋体" w:cs="Times New Roman"/>
                <w:color w:val="000000" w:themeColor="text1"/>
                <w:sz w:val="24"/>
                <w:szCs w:val="24"/>
                <w:lang w:val="en-US" w:eastAsia="zh-CN"/>
              </w:rPr>
              <w:fldChar w:fldCharType="end"/>
            </w:r>
            <w:r>
              <w:rPr>
                <w:rFonts w:hint="eastAsia"/>
                <w:lang w:eastAsia="zh-CN"/>
              </w:rPr>
              <w:t>引水口为涉水工程，却旦塘灌区沟道内水量较小，且引水口施工在非汛期进行，故施工导流用土石引导即可，导流难度小。</w:t>
            </w:r>
          </w:p>
          <w:p>
            <w:pPr>
              <w:pStyle w:val="13"/>
              <w:numPr>
                <w:ilvl w:val="0"/>
                <w:numId w:val="0"/>
              </w:numPr>
              <w:ind w:firstLine="482" w:firstLineChars="200"/>
              <w:rPr>
                <w:rFonts w:hint="eastAsia"/>
                <w:b/>
                <w:bCs/>
                <w:lang w:eastAsia="zh-CN"/>
              </w:rPr>
            </w:pPr>
            <w:r>
              <w:rPr>
                <w:rFonts w:hint="eastAsia"/>
                <w:b/>
                <w:bCs/>
                <w:lang w:eastAsia="zh-CN"/>
              </w:rPr>
              <w:t>生态保护可行性分析：</w:t>
            </w:r>
          </w:p>
          <w:p>
            <w:pPr>
              <w:pStyle w:val="13"/>
              <w:numPr>
                <w:numId w:val="0"/>
              </w:numPr>
              <w:ind w:firstLine="480" w:firstLineChars="200"/>
              <w:rPr>
                <w:rFonts w:hint="eastAsia" w:eastAsia="宋体"/>
                <w:lang w:eastAsia="zh-CN"/>
              </w:rPr>
            </w:pPr>
            <w:r>
              <w:rPr>
                <w:rFonts w:hint="eastAsia"/>
                <w:lang w:eastAsia="zh-CN"/>
              </w:rPr>
              <w:t>项目区域陆生生态、水生生态较为简单，本项目对生态的破坏主要表现为占地及植被的破话，因此本项目区着重针对植被进行切块玻璃，合理妥善管理土方，尽量减少占地面积，设置导流渠等措施来减缓施工对生态环境的影响合理可行。</w:t>
            </w:r>
          </w:p>
          <w:p>
            <w:pPr>
              <w:pStyle w:val="3"/>
            </w:pPr>
            <w:r>
              <w:rPr>
                <w:rFonts w:hint="eastAsia"/>
              </w:rPr>
              <w:t>2施工期大气环境保护措施</w:t>
            </w:r>
          </w:p>
          <w:p>
            <w:pPr>
              <w:pStyle w:val="13"/>
              <w:ind w:firstLine="480"/>
              <w:rPr>
                <w:rFonts w:hint="eastAsia"/>
                <w:lang w:val="en-US" w:eastAsia="zh-CN"/>
              </w:rPr>
            </w:pPr>
            <w:r>
              <w:t>本项目在施工建设期间，不可避免地会产生一些扬尘，</w:t>
            </w:r>
            <w:r>
              <w:rPr>
                <w:rFonts w:hint="eastAsia"/>
                <w:lang w:eastAsia="zh-CN"/>
              </w:rPr>
              <w:t>主要影响对象为工程建设区</w:t>
            </w:r>
            <w:r>
              <w:rPr>
                <w:rFonts w:hint="eastAsia"/>
                <w:lang w:val="en-US" w:eastAsia="zh-CN"/>
              </w:rPr>
              <w:t>500m范围内的</w:t>
            </w:r>
            <w:r>
              <w:rPr>
                <w:rFonts w:hint="eastAsia"/>
                <w:lang w:eastAsia="zh-CN"/>
              </w:rPr>
              <w:t>茫拉乡小学学生，却旦塘村、上洛哇村及下洛哇村的居民</w:t>
            </w:r>
            <w:r>
              <w:t>，</w:t>
            </w:r>
            <w:r>
              <w:rPr>
                <w:rFonts w:hint="eastAsia"/>
                <w:lang w:eastAsia="zh-CN"/>
              </w:rPr>
              <w:t>影响时段主要是</w:t>
            </w:r>
            <w:r>
              <w:t>为引水口、支墩基础、阀门井基础以及沿线管道等工程</w:t>
            </w:r>
            <w:r>
              <w:rPr>
                <w:rFonts w:hint="eastAsia"/>
                <w:lang w:eastAsia="zh-CN"/>
              </w:rPr>
              <w:t>土方</w:t>
            </w:r>
            <w:r>
              <w:rPr>
                <w:rFonts w:hint="eastAsia"/>
              </w:rPr>
              <w:t>开挖和回填</w:t>
            </w:r>
            <w:r>
              <w:rPr>
                <w:rFonts w:hint="eastAsia"/>
                <w:lang w:eastAsia="zh-CN"/>
              </w:rPr>
              <w:t>阶段，</w:t>
            </w:r>
            <w:r>
              <w:rPr>
                <w:rFonts w:hint="eastAsia"/>
              </w:rPr>
              <w:t>施工期</w:t>
            </w:r>
            <w:r>
              <w:t>扬尘</w:t>
            </w:r>
            <w:r>
              <w:rPr>
                <w:rFonts w:hint="eastAsia"/>
                <w:lang w:eastAsia="zh-CN"/>
              </w:rPr>
              <w:t>为</w:t>
            </w:r>
            <w:r>
              <w:t>短期</w:t>
            </w:r>
            <w:r>
              <w:rPr>
                <w:rFonts w:hint="eastAsia"/>
              </w:rPr>
              <w:t>污染</w:t>
            </w:r>
            <w:r>
              <w:t>，所以在施工期间，应采取积极措施来减少扬尘产生，如洒水、遮盖、运输车辆密闭等。</w:t>
            </w:r>
            <w:r>
              <w:rPr>
                <w:rFonts w:hint="eastAsia"/>
              </w:rPr>
              <w:t>具体</w:t>
            </w:r>
            <w:r>
              <w:t>提出如下环保措施：</w:t>
            </w:r>
          </w:p>
          <w:p>
            <w:pPr>
              <w:widowControl w:val="0"/>
              <w:spacing w:line="360" w:lineRule="auto"/>
              <w:ind w:firstLine="480" w:firstLineChars="200"/>
              <w:jc w:val="both"/>
              <w:rPr>
                <w:rFonts w:ascii="Times New Roman" w:hAnsi="Times New Roman" w:cs="Times New Roman"/>
                <w:color w:val="000000" w:themeColor="text1"/>
              </w:rPr>
            </w:pPr>
            <w:r>
              <w:rPr>
                <w:rFonts w:cs="Times New Roman"/>
                <w:color w:val="000000" w:themeColor="text1"/>
              </w:rPr>
              <w:t>①</w:t>
            </w:r>
            <w:r>
              <w:rPr>
                <w:rFonts w:ascii="Times New Roman" w:hAnsi="Times New Roman" w:cs="Times New Roman"/>
                <w:color w:val="000000" w:themeColor="text1"/>
              </w:rPr>
              <w:t>根据实际情况，施工作业面100%洒水、运输车辆</w:t>
            </w:r>
            <w:r>
              <w:rPr>
                <w:rFonts w:hint="eastAsia" w:ascii="Times New Roman" w:hAnsi="Times New Roman" w:cs="Times New Roman"/>
                <w:color w:val="000000" w:themeColor="text1"/>
              </w:rPr>
              <w:t>100%</w:t>
            </w:r>
            <w:r>
              <w:rPr>
                <w:rFonts w:ascii="Times New Roman" w:hAnsi="Times New Roman" w:cs="Times New Roman"/>
                <w:color w:val="000000" w:themeColor="text1"/>
              </w:rPr>
              <w:t>密闭</w:t>
            </w:r>
            <w:r>
              <w:rPr>
                <w:rFonts w:hint="eastAsia" w:ascii="Times New Roman" w:hAnsi="Times New Roman" w:cs="Times New Roman"/>
                <w:color w:val="000000" w:themeColor="text1"/>
              </w:rPr>
              <w:t>，</w:t>
            </w:r>
            <w:r>
              <w:rPr>
                <w:rFonts w:ascii="Times New Roman" w:hAnsi="Times New Roman" w:cs="Times New Roman"/>
                <w:color w:val="000000" w:themeColor="text1"/>
              </w:rPr>
              <w:t>及</w:t>
            </w:r>
            <w:r>
              <w:rPr>
                <w:rFonts w:hint="eastAsia" w:ascii="Times New Roman" w:hAnsi="Times New Roman" w:cs="Times New Roman"/>
                <w:color w:val="000000" w:themeColor="text1"/>
              </w:rPr>
              <w:t>冬季暂时不施工的</w:t>
            </w:r>
            <w:r>
              <w:rPr>
                <w:rFonts w:ascii="Times New Roman" w:hAnsi="Times New Roman" w:cs="Times New Roman"/>
                <w:color w:val="000000" w:themeColor="text1"/>
              </w:rPr>
              <w:t>场地100%遮盖</w:t>
            </w:r>
            <w:r>
              <w:rPr>
                <w:rFonts w:ascii="Times New Roman" w:hAnsi="Times New Roman" w:eastAsia="MS Mincho" w:cs="Times New Roman"/>
                <w:color w:val="000000" w:themeColor="text1"/>
              </w:rPr>
              <w:t>｡</w:t>
            </w:r>
          </w:p>
          <w:p>
            <w:pPr>
              <w:widowControl w:val="0"/>
              <w:spacing w:line="360" w:lineRule="auto"/>
              <w:ind w:firstLine="480" w:firstLineChars="200"/>
              <w:jc w:val="both"/>
              <w:rPr>
                <w:rFonts w:ascii="Times New Roman" w:hAnsi="Times New Roman" w:cs="Times New Roman"/>
                <w:color w:val="000000" w:themeColor="text1"/>
              </w:rPr>
            </w:pPr>
            <w:r>
              <w:rPr>
                <w:rFonts w:cs="Times New Roman"/>
                <w:color w:val="000000" w:themeColor="text1"/>
              </w:rPr>
              <w:t>②</w:t>
            </w:r>
            <w:r>
              <w:rPr>
                <w:rFonts w:ascii="Times New Roman" w:cs="Times New Roman"/>
                <w:color w:val="000000" w:themeColor="text1"/>
              </w:rPr>
              <w:t>严格管理，文明施工，做到轻铲慢装、轻搬轻放，加强施工人员劳动保护，如佩戴口罩等。</w:t>
            </w:r>
            <w:r>
              <w:rPr>
                <w:rFonts w:ascii="Times New Roman" w:cs="Times New Roman"/>
                <w:color w:val="000000" w:themeColor="text1"/>
              </w:rPr>
              <w:t>合理安排施工计划，提高施工效率，缩短施工期，在冬季施工工地停工前要严格落实好苫盖措施。</w:t>
            </w:r>
          </w:p>
          <w:p>
            <w:pPr>
              <w:widowControl w:val="0"/>
              <w:spacing w:line="360" w:lineRule="auto"/>
              <w:ind w:firstLine="480" w:firstLineChars="200"/>
              <w:jc w:val="both"/>
              <w:rPr>
                <w:rFonts w:ascii="Times New Roman" w:cs="Times New Roman"/>
                <w:color w:val="000000" w:themeColor="text1"/>
              </w:rPr>
            </w:pPr>
            <w:r>
              <w:rPr>
                <w:rFonts w:cs="Times New Roman"/>
                <w:color w:val="000000" w:themeColor="text1"/>
              </w:rPr>
              <w:t>③</w:t>
            </w:r>
            <w:r>
              <w:rPr>
                <w:rFonts w:ascii="Times New Roman" w:cs="Times New Roman"/>
                <w:color w:val="000000" w:themeColor="text1"/>
              </w:rPr>
              <w:t>项目合理安排施工计划，施工期产生的建筑垃圾及时收集</w:t>
            </w:r>
            <w:r>
              <w:rPr>
                <w:rFonts w:hint="eastAsia" w:ascii="Times New Roman" w:cs="Times New Roman"/>
                <w:color w:val="000000" w:themeColor="text1"/>
              </w:rPr>
              <w:t>分类资源化利用，项目工程</w:t>
            </w:r>
            <w:r>
              <w:rPr>
                <w:rFonts w:ascii="Times New Roman" w:cs="Times New Roman"/>
                <w:color w:val="000000" w:themeColor="text1"/>
              </w:rPr>
              <w:t>开挖产生的</w:t>
            </w:r>
            <w:r>
              <w:rPr>
                <w:rFonts w:hint="eastAsia" w:ascii="Times New Roman" w:cs="Times New Roman"/>
                <w:color w:val="000000" w:themeColor="text1"/>
              </w:rPr>
              <w:t>土方在</w:t>
            </w:r>
            <w:r>
              <w:rPr>
                <w:rFonts w:hint="eastAsia" w:ascii="Times New Roman" w:cs="Times New Roman"/>
                <w:color w:val="000000" w:themeColor="text1"/>
                <w:lang w:eastAsia="zh-CN"/>
              </w:rPr>
              <w:t>管道</w:t>
            </w:r>
            <w:r>
              <w:rPr>
                <w:rFonts w:hint="eastAsia" w:ascii="Times New Roman" w:cs="Times New Roman"/>
                <w:color w:val="000000" w:themeColor="text1"/>
              </w:rPr>
              <w:t>沿边收边堆放，并顶部覆盖草帘等，便桥和渡槽基础开挖产生的土砂石分别集中堆存，并顶部覆盖草帘或密目网等，后期用于填方及时回用。</w:t>
            </w:r>
          </w:p>
          <w:p>
            <w:pPr>
              <w:widowControl w:val="0"/>
              <w:spacing w:line="360" w:lineRule="auto"/>
              <w:ind w:firstLine="480" w:firstLineChars="200"/>
              <w:jc w:val="both"/>
              <w:rPr>
                <w:rFonts w:ascii="Times New Roman" w:cs="Times New Roman"/>
                <w:color w:val="000000" w:themeColor="text1"/>
              </w:rPr>
            </w:pPr>
            <w:r>
              <w:rPr>
                <w:rFonts w:cs="Times New Roman"/>
                <w:color w:val="000000" w:themeColor="text1"/>
              </w:rPr>
              <w:t>④</w:t>
            </w:r>
            <w:r>
              <w:rPr>
                <w:rFonts w:ascii="Times New Roman" w:cs="Times New Roman"/>
                <w:color w:val="000000" w:themeColor="text1"/>
              </w:rPr>
              <w:t>项目施工前确定施工区域，严格控制施工作业面，禁止对</w:t>
            </w:r>
            <w:r>
              <w:rPr>
                <w:rFonts w:hint="eastAsia" w:ascii="Times New Roman" w:cs="Times New Roman"/>
                <w:color w:val="000000" w:themeColor="text1"/>
              </w:rPr>
              <w:t>渠道沿线的自然地面</w:t>
            </w:r>
            <w:r>
              <w:rPr>
                <w:rFonts w:ascii="Times New Roman" w:cs="Times New Roman"/>
                <w:color w:val="000000" w:themeColor="text1"/>
              </w:rPr>
              <w:t>随意开挖，从而</w:t>
            </w:r>
            <w:r>
              <w:rPr>
                <w:rFonts w:hint="eastAsia" w:ascii="Times New Roman" w:cs="Times New Roman"/>
                <w:color w:val="000000" w:themeColor="text1"/>
              </w:rPr>
              <w:t>减少裸露面产生的粉尘量</w:t>
            </w:r>
            <w:r>
              <w:rPr>
                <w:rFonts w:ascii="Times New Roman" w:cs="Times New Roman"/>
                <w:color w:val="000000" w:themeColor="text1"/>
              </w:rPr>
              <w:t>。</w:t>
            </w:r>
          </w:p>
          <w:p>
            <w:pPr>
              <w:widowControl w:val="0"/>
              <w:spacing w:line="360" w:lineRule="auto"/>
              <w:ind w:firstLine="480" w:firstLineChars="200"/>
              <w:jc w:val="both"/>
              <w:rPr>
                <w:rFonts w:ascii="Times New Roman" w:cs="Times New Roman"/>
                <w:color w:val="000000" w:themeColor="text1"/>
              </w:rPr>
            </w:pPr>
            <w:r>
              <w:rPr>
                <w:rFonts w:cs="Times New Roman"/>
                <w:color w:val="000000" w:themeColor="text1"/>
              </w:rPr>
              <w:t>⑤</w:t>
            </w:r>
            <w:r>
              <w:rPr>
                <w:rFonts w:ascii="Times New Roman" w:cs="Times New Roman"/>
                <w:color w:val="000000" w:themeColor="text1"/>
              </w:rPr>
              <w:t>建筑材料运输车辆进出场区时减速慢行，</w:t>
            </w:r>
            <w:r>
              <w:rPr>
                <w:rFonts w:hint="eastAsia" w:ascii="Times New Roman" w:cs="Times New Roman"/>
                <w:color w:val="000000" w:themeColor="text1"/>
              </w:rPr>
              <w:t>车辆运输道路尽可能利用村庄现有水泥硬化道路，除此之外，车辆不能通行区域避免大开大挖，采用牲畜托运或人工搬运替代。</w:t>
            </w:r>
          </w:p>
          <w:p>
            <w:pPr>
              <w:widowControl w:val="0"/>
              <w:spacing w:line="360" w:lineRule="auto"/>
              <w:ind w:firstLine="480" w:firstLineChars="200"/>
              <w:jc w:val="both"/>
              <w:rPr>
                <w:rFonts w:ascii="Times New Roman" w:cs="Times New Roman"/>
                <w:color w:val="000000" w:themeColor="text1"/>
              </w:rPr>
            </w:pPr>
            <w:r>
              <w:rPr>
                <w:rFonts w:cs="Times New Roman"/>
                <w:color w:val="000000" w:themeColor="text1"/>
              </w:rPr>
              <w:t>⑥</w:t>
            </w:r>
            <w:r>
              <w:rPr>
                <w:rFonts w:ascii="Times New Roman" w:cs="Times New Roman"/>
                <w:color w:val="000000" w:themeColor="text1"/>
              </w:rPr>
              <w:t>制定合理的洒水降尘制度，定期对施工场地进行洒水抑尘，洒水次数根据天气状况而定（晴天、风大时应增加洒水次数）</w:t>
            </w:r>
            <w:r>
              <w:rPr>
                <w:rFonts w:hint="eastAsia" w:ascii="Times New Roman" w:cs="Times New Roman"/>
                <w:color w:val="000000" w:themeColor="text1"/>
              </w:rPr>
              <w:t>，另外，车辆运输路面不定期清扫，尤其在临近居民住户区进行施工时增加洒水次数，且运输道路确保清洁。</w:t>
            </w:r>
          </w:p>
          <w:p>
            <w:pPr>
              <w:widowControl w:val="0"/>
              <w:spacing w:line="360" w:lineRule="auto"/>
              <w:ind w:firstLine="480" w:firstLineChars="200"/>
              <w:jc w:val="both"/>
              <w:rPr>
                <w:rFonts w:ascii="Times New Roman" w:hAnsi="Times New Roman" w:cs="Times New Roman"/>
                <w:color w:val="000000" w:themeColor="text1"/>
              </w:rPr>
            </w:pPr>
            <w:r>
              <w:rPr>
                <w:rFonts w:cs="Times New Roman"/>
                <w:color w:val="000000" w:themeColor="text1"/>
              </w:rPr>
              <w:t>⑦</w:t>
            </w:r>
            <w:r>
              <w:rPr>
                <w:rFonts w:ascii="Times New Roman" w:cs="Times New Roman"/>
                <w:color w:val="000000" w:themeColor="text1"/>
              </w:rPr>
              <w:t>建筑材料砂石等采用湿法运输（表面洒水），并在顶部覆盖篷布，在施工场区临时堆存时要求少量集中堆放，且采取篷布或草帘等苫盖，使用时部分掀开，减少暴露面积，降低风动扬尘。</w:t>
            </w:r>
          </w:p>
          <w:p>
            <w:pPr>
              <w:widowControl w:val="0"/>
              <w:spacing w:line="360" w:lineRule="auto"/>
              <w:ind w:firstLine="480" w:firstLineChars="200"/>
              <w:jc w:val="both"/>
              <w:rPr>
                <w:rFonts w:ascii="Times New Roman" w:cs="Times New Roman"/>
                <w:color w:val="000000" w:themeColor="text1"/>
              </w:rPr>
            </w:pPr>
            <w:r>
              <w:rPr>
                <w:rFonts w:ascii="Times New Roman" w:cs="Times New Roman"/>
                <w:color w:val="000000" w:themeColor="text1"/>
              </w:rPr>
              <w:t>⑧项目属于线性工程，采用分段施工方案，减少施工裸露面积</w:t>
            </w:r>
            <w:r>
              <w:rPr>
                <w:rFonts w:hint="eastAsia" w:ascii="Times New Roman" w:cs="Times New Roman"/>
                <w:color w:val="000000" w:themeColor="text1"/>
              </w:rPr>
              <w:t>；项目合理安排施工时间，临近阿乙亥学校和村党委办公室周边的3</w:t>
            </w:r>
            <w:r>
              <w:rPr>
                <w:rFonts w:hint="eastAsia" w:ascii="Times New Roman" w:cs="Times New Roman"/>
                <w:color w:val="000000" w:themeColor="text1"/>
                <w:vertAlign w:val="superscript"/>
              </w:rPr>
              <w:t>#</w:t>
            </w:r>
            <w:r>
              <w:rPr>
                <w:rFonts w:hint="eastAsia" w:ascii="Times New Roman" w:cs="Times New Roman"/>
                <w:color w:val="000000" w:themeColor="text1"/>
              </w:rPr>
              <w:t>支渠选在假期时间进行施工。</w:t>
            </w:r>
          </w:p>
          <w:p>
            <w:pPr>
              <w:pStyle w:val="13"/>
              <w:ind w:left="-564" w:firstLine="960" w:firstLineChars="400"/>
              <w:rPr>
                <w:rFonts w:ascii="Times New Roman" w:cs="Times New Roman"/>
                <w:color w:val="000000" w:themeColor="text1"/>
              </w:rPr>
            </w:pPr>
            <w:r>
              <w:rPr>
                <w:rFonts w:ascii="Times New Roman" w:cs="Times New Roman"/>
                <w:color w:val="000000" w:themeColor="text1"/>
              </w:rPr>
              <w:t>⑨</w:t>
            </w:r>
            <w:r>
              <w:rPr>
                <w:rFonts w:hint="eastAsia"/>
                <w:lang w:eastAsia="zh-CN"/>
              </w:rPr>
              <w:t>针对</w:t>
            </w:r>
            <w:r>
              <w:rPr>
                <w:rFonts w:hint="eastAsia"/>
                <w:lang w:val="en-US" w:eastAsia="zh-CN"/>
              </w:rPr>
              <w:t>项目施工沿线靠近民宅等环境敏感点，采取设置1.8m围挡墙、增加洒水次数措数；物料车辆密闭运输</w:t>
            </w:r>
            <w:r>
              <w:rPr>
                <w:rFonts w:hint="eastAsia"/>
                <w:lang w:eastAsia="zh-CN"/>
              </w:rPr>
              <w:t>，按照规定路线行驶，尽量避开学区及民宅，装卸物料进行洒水降尘；土方采用密目网苫盖，</w:t>
            </w:r>
            <w:r>
              <w:rPr>
                <w:rFonts w:hint="eastAsia"/>
                <w:lang w:val="en-US" w:eastAsia="zh-CN"/>
              </w:rPr>
              <w:t>大风天气禁止施工作业。</w:t>
            </w:r>
          </w:p>
          <w:p>
            <w:pPr>
              <w:pStyle w:val="13"/>
              <w:ind w:left="-564" w:firstLine="960" w:firstLineChars="400"/>
              <w:rPr>
                <w:rFonts w:hint="eastAsia" w:eastAsia="宋体"/>
                <w:b/>
                <w:bCs/>
                <w:lang w:val="en-US" w:eastAsia="zh-CN"/>
              </w:rPr>
            </w:pPr>
            <w:r>
              <w:rPr>
                <w:rFonts w:hint="eastAsia"/>
                <w:lang w:val="en-US" w:eastAsia="zh-CN"/>
              </w:rPr>
              <w:t>扬尘防治措施可行性分析：本项目采取围挡墙能稍能减少扬尘扩散，洒水降尘降低区域施工扬尘分布，运输避开敏感点，采取以上污染防治措施能够减少对敏感点的影响，措施便于实施，且项目施工期短，对民宅等敏感点影响较小，因此本项目采取的扬尘污染防治措施合理可行</w:t>
            </w:r>
            <w:r>
              <w:rPr>
                <w:rFonts w:hint="eastAsia"/>
                <w:lang w:eastAsia="zh-CN"/>
              </w:rPr>
              <w:t>。</w:t>
            </w:r>
          </w:p>
          <w:p>
            <w:pPr>
              <w:pStyle w:val="13"/>
              <w:ind w:left="-564" w:firstLine="643"/>
            </w:pPr>
            <w:r>
              <w:rPr>
                <w:rStyle w:val="22"/>
                <w:rFonts w:hint="eastAsia"/>
                <w:color w:val="auto"/>
              </w:rPr>
              <w:t>3施工期地表水环境保护措施</w:t>
            </w:r>
          </w:p>
          <w:p>
            <w:pPr>
              <w:pStyle w:val="13"/>
              <w:ind w:firstLine="480"/>
            </w:pPr>
            <w:r>
              <w:rPr>
                <w:rFonts w:hint="eastAsia"/>
              </w:rPr>
              <w:t>项目施工期废水主要为基坑排水、设备冲洗废水、人员生活污水，项目施工</w:t>
            </w:r>
            <w:r>
              <w:rPr>
                <w:rFonts w:hint="eastAsia"/>
                <w:lang w:eastAsia="zh-CN"/>
              </w:rPr>
              <w:t>期</w:t>
            </w:r>
            <w:r>
              <w:rPr>
                <w:rFonts w:hint="eastAsia" w:ascii="Times New Roman" w:hAnsi="Times New Roman" w:eastAsia="宋体" w:cs="Times New Roman"/>
                <w:b w:val="0"/>
                <w:bCs w:val="0"/>
                <w:snapToGrid w:val="0"/>
                <w:sz w:val="24"/>
                <w:szCs w:val="24"/>
                <w:lang w:val="en-US" w:eastAsia="zh-CN"/>
              </w:rPr>
              <w:t>地表水污染控制措施</w:t>
            </w:r>
            <w:r>
              <w:rPr>
                <w:rFonts w:hint="eastAsia" w:cs="Times New Roman"/>
                <w:b w:val="0"/>
                <w:bCs w:val="0"/>
                <w:snapToGrid w:val="0"/>
                <w:sz w:val="24"/>
                <w:szCs w:val="24"/>
                <w:lang w:val="en-US" w:eastAsia="zh-CN"/>
              </w:rPr>
              <w:t>如下</w:t>
            </w:r>
            <w:r>
              <w:rPr>
                <w:rFonts w:hint="eastAsia"/>
              </w:rPr>
              <w:t>：</w:t>
            </w:r>
          </w:p>
          <w:p>
            <w:pPr>
              <w:pStyle w:val="13"/>
              <w:numPr>
                <w:numId w:val="0"/>
              </w:numPr>
              <w:ind w:firstLine="480" w:firstLineChars="200"/>
            </w:pPr>
            <w:r>
              <w:rPr>
                <w:rFonts w:hint="eastAsia"/>
              </w:rPr>
              <w:t>①合理安排施工作业时间，提高施工效率，缩短施工周期。</w:t>
            </w:r>
          </w:p>
          <w:p>
            <w:pPr>
              <w:pStyle w:val="13"/>
              <w:numPr>
                <w:numId w:val="0"/>
              </w:numPr>
              <w:ind w:firstLine="480" w:firstLineChars="200"/>
            </w:pPr>
            <w:r>
              <w:rPr>
                <w:rFonts w:hint="eastAsia"/>
              </w:rPr>
              <w:t>②尽量在非雨季进行施工，减少施工期基坑积水的产生量。在开挖谷坊、渡槽基础时，根据周边季节性冲洪沟走向进行围堵，避免雨水流入开挖基坑。</w:t>
            </w:r>
          </w:p>
          <w:p>
            <w:pPr>
              <w:pStyle w:val="13"/>
              <w:numPr>
                <w:numId w:val="0"/>
              </w:numPr>
              <w:ind w:firstLine="480" w:firstLineChars="200"/>
            </w:pPr>
            <w:r>
              <w:rPr>
                <w:rFonts w:hint="eastAsia"/>
              </w:rPr>
              <w:t>③加强施工机械的维修保养，避免施工机械在施工过程中燃料跑、冒、滴、漏现象的发生。</w:t>
            </w:r>
          </w:p>
          <w:p>
            <w:pPr>
              <w:pStyle w:val="13"/>
              <w:numPr>
                <w:numId w:val="0"/>
              </w:numPr>
              <w:ind w:firstLine="480" w:firstLineChars="200"/>
              <w:rPr>
                <w:rFonts w:hint="eastAsia"/>
              </w:rPr>
            </w:pPr>
            <w:r>
              <w:rPr>
                <w:rFonts w:hint="eastAsia"/>
              </w:rPr>
              <w:t>④项目拌和设备冲洗废水经沉淀池收集处理后</w:t>
            </w:r>
            <w:r>
              <w:rPr>
                <w:rFonts w:hint="eastAsia"/>
                <w:lang w:eastAsia="zh-CN"/>
              </w:rPr>
              <w:t>循环使用，不外排</w:t>
            </w:r>
            <w:r>
              <w:rPr>
                <w:rFonts w:hint="eastAsia"/>
              </w:rPr>
              <w:t>。禁止在河道内进行施工机械设备及运输车辆冲洗。</w:t>
            </w:r>
          </w:p>
          <w:p>
            <w:pPr>
              <w:widowControl w:val="0"/>
              <w:spacing w:line="360" w:lineRule="auto"/>
              <w:ind w:firstLine="480" w:firstLineChars="200"/>
              <w:jc w:val="both"/>
              <w:rPr>
                <w:rFonts w:hint="eastAsia"/>
              </w:rPr>
            </w:pPr>
            <w:r>
              <w:rPr>
                <w:rFonts w:hint="eastAsia"/>
              </w:rPr>
              <w:fldChar w:fldCharType="begin"/>
            </w:r>
            <w:r>
              <w:rPr>
                <w:rFonts w:hint="eastAsia"/>
              </w:rPr>
              <w:instrText xml:space="preserve"> = 5 \* GB3 \* MERGEFORMAT </w:instrText>
            </w:r>
            <w:r>
              <w:rPr>
                <w:rFonts w:hint="eastAsia"/>
              </w:rPr>
              <w:fldChar w:fldCharType="separate"/>
            </w:r>
            <w:r>
              <w:t>⑤</w:t>
            </w:r>
            <w:r>
              <w:rPr>
                <w:rFonts w:hint="eastAsia"/>
              </w:rPr>
              <w:fldChar w:fldCharType="end"/>
            </w:r>
            <w:r>
              <w:rPr>
                <w:rFonts w:hint="eastAsia" w:ascii="Times New Roman" w:cs="Times New Roman"/>
                <w:color w:val="000000" w:themeColor="text1"/>
              </w:rPr>
              <w:t>项目</w:t>
            </w:r>
            <w:r>
              <w:rPr>
                <w:rFonts w:hint="eastAsia" w:ascii="Times New Roman" w:cs="Times New Roman"/>
                <w:color w:val="000000" w:themeColor="text1"/>
                <w:lang w:eastAsia="zh-CN"/>
              </w:rPr>
              <w:t>在</w:t>
            </w:r>
            <w:r>
              <w:rPr>
                <w:rFonts w:hint="eastAsia" w:ascii="Times New Roman" w:cs="Times New Roman"/>
                <w:color w:val="000000" w:themeColor="text1"/>
              </w:rPr>
              <w:t>村庄就近施工时利用村民</w:t>
            </w:r>
            <w:r>
              <w:rPr>
                <w:rFonts w:hint="eastAsia" w:ascii="Times New Roman" w:cs="Times New Roman"/>
                <w:color w:val="000000" w:themeColor="text1"/>
                <w:lang w:eastAsia="zh-CN"/>
              </w:rPr>
              <w:t>自建的</w:t>
            </w:r>
            <w:r>
              <w:rPr>
                <w:rFonts w:hint="eastAsia" w:ascii="Times New Roman" w:cs="Times New Roman"/>
                <w:color w:val="000000" w:themeColor="text1"/>
              </w:rPr>
              <w:t>旱厕收集粪便污水，较偏远的地方施工时搭建临时旱厕，收集粪便污水还田或还草</w:t>
            </w:r>
            <w:r>
              <w:rPr>
                <w:rFonts w:ascii="Times New Roman" w:cs="Times New Roman"/>
                <w:color w:val="000000" w:themeColor="text1"/>
              </w:rPr>
              <w:t>，</w:t>
            </w:r>
            <w:r>
              <w:rPr>
                <w:rFonts w:hint="eastAsia" w:ascii="Times New Roman" w:cs="Times New Roman"/>
                <w:color w:val="000000" w:themeColor="text1"/>
                <w:lang w:eastAsia="zh-CN"/>
              </w:rPr>
              <w:t>因此</w:t>
            </w:r>
            <w:r>
              <w:rPr>
                <w:rFonts w:ascii="Times New Roman" w:cs="Times New Roman"/>
                <w:color w:val="000000" w:themeColor="text1"/>
              </w:rPr>
              <w:t>，项目施工期产生的生活污水不会对地表水环境产生影响</w:t>
            </w:r>
            <w:r>
              <w:rPr>
                <w:rFonts w:hint="eastAsia" w:ascii="Times New Roman" w:cs="Times New Roman"/>
                <w:color w:val="000000" w:themeColor="text1"/>
              </w:rPr>
              <w:t>。</w:t>
            </w:r>
          </w:p>
          <w:p>
            <w:pPr>
              <w:pStyle w:val="3"/>
            </w:pPr>
            <w:r>
              <w:rPr>
                <w:rFonts w:hint="eastAsia"/>
              </w:rPr>
              <w:t>4施工期声环境保护措施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pPr>
            <w:r>
              <w:rPr>
                <w:rFonts w:hint="eastAsia"/>
              </w:rPr>
              <w:t>项目施工期噪声主要来源于施工机械和运输车辆辐射的噪声。施工过程中需要使用许多施工机械和运输车辆，这些设备运行会产生噪声，对项目区声环境质量产生影响。</w:t>
            </w:r>
            <w:r>
              <w:t>为了降低施工机械噪声对周围环境造成的影响，环评提出如下措施：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pPr>
            <w:r>
              <w:rPr>
                <w:rFonts w:hint="default" w:ascii="Times New Roman" w:hAnsi="Times New Roman" w:eastAsia="宋体" w:cs="Times New Roman"/>
                <w:color w:val="000000" w:themeColor="text1"/>
                <w:sz w:val="24"/>
                <w:szCs w:val="24"/>
                <w:lang w:val="en-US" w:eastAsia="zh-CN"/>
              </w:rPr>
              <w:fldChar w:fldCharType="begin"/>
            </w:r>
            <w:r>
              <w:rPr>
                <w:rFonts w:hint="default" w:ascii="Times New Roman" w:hAnsi="Times New Roman" w:eastAsia="宋体" w:cs="Times New Roman"/>
                <w:color w:val="000000" w:themeColor="text1"/>
                <w:sz w:val="24"/>
                <w:szCs w:val="24"/>
                <w:lang w:val="en-US" w:eastAsia="zh-CN"/>
              </w:rPr>
              <w:instrText xml:space="preserve"> = 1 \* GB3 \* MERGEFORMAT </w:instrText>
            </w:r>
            <w:r>
              <w:rPr>
                <w:rFonts w:hint="default" w:ascii="Times New Roman" w:hAnsi="Times New Roman" w:eastAsia="宋体" w:cs="Times New Roman"/>
                <w:color w:val="000000" w:themeColor="text1"/>
                <w:sz w:val="24"/>
                <w:szCs w:val="24"/>
                <w:lang w:val="en-US" w:eastAsia="zh-CN"/>
              </w:rPr>
              <w:fldChar w:fldCharType="separate"/>
            </w:r>
            <w:r>
              <w:rPr>
                <w:rFonts w:hint="default" w:ascii="Times New Roman" w:hAnsi="Times New Roman" w:eastAsia="宋体" w:cs="Times New Roman"/>
                <w:color w:val="000000" w:themeColor="text1"/>
                <w:sz w:val="24"/>
                <w:szCs w:val="24"/>
                <w:lang w:val="en-US" w:eastAsia="zh-CN"/>
              </w:rPr>
              <w:t>①</w:t>
            </w:r>
            <w:r>
              <w:rPr>
                <w:rFonts w:hint="default" w:ascii="Times New Roman" w:hAnsi="Times New Roman" w:eastAsia="宋体" w:cs="Times New Roman"/>
                <w:color w:val="000000" w:themeColor="text1"/>
                <w:sz w:val="24"/>
                <w:szCs w:val="24"/>
                <w:lang w:val="en-US" w:eastAsia="zh-CN"/>
              </w:rPr>
              <w:fldChar w:fldCharType="end"/>
            </w:r>
            <w:r>
              <w:t>项目禁止夜间（夜间22：00至次日6：00）进行施工</w:t>
            </w:r>
            <w:r>
              <w:rPr>
                <w:rFonts w:hint="eastAsia"/>
              </w:rPr>
              <w:t>，禁止施工用地在夜间运行各类设备。</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pPr>
            <w:r>
              <w:rPr>
                <w:rFonts w:hint="default" w:ascii="Times New Roman" w:hAnsi="Times New Roman" w:eastAsia="宋体" w:cs="Times New Roman"/>
                <w:color w:val="000000" w:themeColor="text1"/>
                <w:sz w:val="24"/>
                <w:szCs w:val="24"/>
                <w:lang w:val="en-US" w:eastAsia="zh-CN"/>
              </w:rPr>
              <w:fldChar w:fldCharType="begin"/>
            </w:r>
            <w:r>
              <w:rPr>
                <w:rFonts w:hint="default" w:ascii="Times New Roman" w:hAnsi="Times New Roman" w:eastAsia="宋体" w:cs="Times New Roman"/>
                <w:color w:val="000000" w:themeColor="text1"/>
                <w:sz w:val="24"/>
                <w:szCs w:val="24"/>
                <w:lang w:val="en-US" w:eastAsia="zh-CN"/>
              </w:rPr>
              <w:instrText xml:space="preserve"> = 2 \* GB3 \* MERGEFORMAT </w:instrText>
            </w:r>
            <w:r>
              <w:rPr>
                <w:rFonts w:hint="default" w:ascii="Times New Roman" w:hAnsi="Times New Roman" w:eastAsia="宋体" w:cs="Times New Roman"/>
                <w:color w:val="000000" w:themeColor="text1"/>
                <w:sz w:val="24"/>
                <w:szCs w:val="24"/>
                <w:lang w:val="en-US" w:eastAsia="zh-CN"/>
              </w:rPr>
              <w:fldChar w:fldCharType="separate"/>
            </w:r>
            <w:r>
              <w:rPr>
                <w:rFonts w:hint="default" w:ascii="Times New Roman" w:hAnsi="Times New Roman" w:eastAsia="宋体" w:cs="Times New Roman"/>
                <w:color w:val="000000" w:themeColor="text1"/>
                <w:sz w:val="24"/>
                <w:szCs w:val="24"/>
                <w:lang w:val="en-US" w:eastAsia="zh-CN"/>
              </w:rPr>
              <w:t>②</w:t>
            </w:r>
            <w:r>
              <w:rPr>
                <w:rFonts w:hint="default" w:ascii="Times New Roman" w:hAnsi="Times New Roman" w:eastAsia="宋体" w:cs="Times New Roman"/>
                <w:color w:val="000000" w:themeColor="text1"/>
                <w:sz w:val="24"/>
                <w:szCs w:val="24"/>
                <w:lang w:val="en-US" w:eastAsia="zh-CN"/>
              </w:rPr>
              <w:fldChar w:fldCharType="end"/>
            </w:r>
            <w:r>
              <w:t>应选用低噪声机械，对施工设备定期保养，严守操作规范，避免设备非正常运行产生噪声</w:t>
            </w:r>
            <w:r>
              <w:rPr>
                <w:rFonts w:hint="eastAsia"/>
              </w:rPr>
              <w:t>。</w:t>
            </w:r>
            <w:r>
              <w:rPr>
                <w:rFonts w:ascii="Times New Roman" w:cs="Times New Roman"/>
                <w:color w:val="000000" w:themeColor="text1"/>
              </w:rPr>
              <w:t>加强对施工人员的管理，做到文明施工。</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pPr>
            <w:r>
              <w:rPr>
                <w:rFonts w:hint="default" w:ascii="Times New Roman" w:hAnsi="Times New Roman" w:eastAsia="宋体" w:cs="Times New Roman"/>
                <w:color w:val="000000" w:themeColor="text1"/>
                <w:sz w:val="24"/>
                <w:szCs w:val="24"/>
                <w:lang w:val="en-US" w:eastAsia="zh-CN"/>
              </w:rPr>
              <w:fldChar w:fldCharType="begin"/>
            </w:r>
            <w:r>
              <w:rPr>
                <w:rFonts w:hint="default" w:ascii="Times New Roman" w:hAnsi="Times New Roman" w:eastAsia="宋体" w:cs="Times New Roman"/>
                <w:color w:val="000000" w:themeColor="text1"/>
                <w:sz w:val="24"/>
                <w:szCs w:val="24"/>
                <w:lang w:val="en-US" w:eastAsia="zh-CN"/>
              </w:rPr>
              <w:instrText xml:space="preserve"> = 3 \* GB3 \* MERGEFORMAT </w:instrText>
            </w:r>
            <w:r>
              <w:rPr>
                <w:rFonts w:hint="default" w:ascii="Times New Roman" w:hAnsi="Times New Roman" w:eastAsia="宋体" w:cs="Times New Roman"/>
                <w:color w:val="000000" w:themeColor="text1"/>
                <w:sz w:val="24"/>
                <w:szCs w:val="24"/>
                <w:lang w:val="en-US" w:eastAsia="zh-CN"/>
              </w:rPr>
              <w:fldChar w:fldCharType="separate"/>
            </w:r>
            <w:r>
              <w:rPr>
                <w:rFonts w:hint="default" w:ascii="Times New Roman" w:hAnsi="Times New Roman" w:eastAsia="宋体" w:cs="Times New Roman"/>
                <w:sz w:val="24"/>
                <w:szCs w:val="24"/>
              </w:rPr>
              <w:t>③</w:t>
            </w:r>
            <w:r>
              <w:rPr>
                <w:rFonts w:hint="default" w:ascii="Times New Roman" w:hAnsi="Times New Roman" w:eastAsia="宋体" w:cs="Times New Roman"/>
                <w:color w:val="000000" w:themeColor="text1"/>
                <w:sz w:val="24"/>
                <w:szCs w:val="24"/>
                <w:lang w:val="en-US" w:eastAsia="zh-CN"/>
              </w:rPr>
              <w:fldChar w:fldCharType="end"/>
            </w:r>
            <w:r>
              <w:t>合理安排施工工序，避免在同一时间集中使用装载机、挖掘机</w:t>
            </w:r>
            <w:r>
              <w:rPr>
                <w:rFonts w:hint="eastAsia"/>
              </w:rPr>
              <w:t>、推土机</w:t>
            </w:r>
            <w:r>
              <w:t>等机械作业</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pPr>
            <w:r>
              <w:rPr>
                <w:rFonts w:hint="default" w:ascii="Times New Roman" w:hAnsi="Times New Roman" w:eastAsia="宋体" w:cs="Times New Roman"/>
                <w:color w:val="000000" w:themeColor="text1"/>
                <w:sz w:val="24"/>
                <w:szCs w:val="24"/>
                <w:lang w:val="en-US" w:eastAsia="zh-CN"/>
              </w:rPr>
              <w:fldChar w:fldCharType="begin"/>
            </w:r>
            <w:r>
              <w:rPr>
                <w:rFonts w:hint="default" w:ascii="Times New Roman" w:hAnsi="Times New Roman" w:eastAsia="宋体" w:cs="Times New Roman"/>
                <w:color w:val="000000" w:themeColor="text1"/>
                <w:sz w:val="24"/>
                <w:szCs w:val="24"/>
                <w:lang w:val="en-US" w:eastAsia="zh-CN"/>
              </w:rPr>
              <w:instrText xml:space="preserve"> = 4 \* GB3 \* MERGEFORMAT </w:instrText>
            </w:r>
            <w:r>
              <w:rPr>
                <w:rFonts w:hint="default" w:ascii="Times New Roman" w:hAnsi="Times New Roman" w:eastAsia="宋体" w:cs="Times New Roman"/>
                <w:color w:val="000000" w:themeColor="text1"/>
                <w:sz w:val="24"/>
                <w:szCs w:val="24"/>
                <w:lang w:val="en-US" w:eastAsia="zh-CN"/>
              </w:rPr>
              <w:fldChar w:fldCharType="separate"/>
            </w:r>
            <w:r>
              <w:rPr>
                <w:rFonts w:hint="default" w:ascii="Times New Roman" w:hAnsi="Times New Roman" w:eastAsia="宋体" w:cs="Times New Roman"/>
                <w:sz w:val="24"/>
                <w:szCs w:val="24"/>
              </w:rPr>
              <w:t>④</w:t>
            </w:r>
            <w:r>
              <w:rPr>
                <w:rFonts w:hint="default" w:ascii="Times New Roman" w:hAnsi="Times New Roman" w:eastAsia="宋体" w:cs="Times New Roman"/>
                <w:color w:val="000000" w:themeColor="text1"/>
                <w:sz w:val="24"/>
                <w:szCs w:val="24"/>
                <w:lang w:val="en-US" w:eastAsia="zh-CN"/>
              </w:rPr>
              <w:fldChar w:fldCharType="end"/>
            </w:r>
            <w:r>
              <w:t>提高施工效率，加快施工进度，缩短施工期</w:t>
            </w:r>
            <w:r>
              <w:rPr>
                <w:rFonts w:hint="eastAsia"/>
              </w:rPr>
              <w:t>。</w:t>
            </w:r>
          </w:p>
          <w:p>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cs="Times New Roman"/>
                <w:color w:val="000000" w:themeColor="text1"/>
              </w:rPr>
            </w:pPr>
            <w:r>
              <w:rPr>
                <w:rFonts w:hint="default" w:ascii="Times New Roman" w:hAnsi="Times New Roman" w:eastAsia="宋体" w:cs="Times New Roman"/>
                <w:color w:val="000000" w:themeColor="text1"/>
                <w:sz w:val="24"/>
                <w:szCs w:val="24"/>
                <w:lang w:val="en-US" w:eastAsia="zh-CN"/>
              </w:rPr>
              <w:fldChar w:fldCharType="begin"/>
            </w:r>
            <w:r>
              <w:rPr>
                <w:rFonts w:hint="default" w:ascii="Times New Roman" w:hAnsi="Times New Roman" w:eastAsia="宋体" w:cs="Times New Roman"/>
                <w:color w:val="000000" w:themeColor="text1"/>
                <w:sz w:val="24"/>
                <w:szCs w:val="24"/>
                <w:lang w:val="en-US" w:eastAsia="zh-CN"/>
              </w:rPr>
              <w:instrText xml:space="preserve"> = 5 \* GB3 \* MERGEFORMAT </w:instrText>
            </w:r>
            <w:r>
              <w:rPr>
                <w:rFonts w:hint="default" w:ascii="Times New Roman" w:hAnsi="Times New Roman" w:eastAsia="宋体" w:cs="Times New Roman"/>
                <w:color w:val="000000" w:themeColor="text1"/>
                <w:sz w:val="24"/>
                <w:szCs w:val="24"/>
                <w:lang w:val="en-US" w:eastAsia="zh-CN"/>
              </w:rPr>
              <w:fldChar w:fldCharType="separate"/>
            </w:r>
            <w:r>
              <w:rPr>
                <w:rFonts w:hint="default" w:ascii="Times New Roman" w:hAnsi="Times New Roman" w:eastAsia="宋体" w:cs="Times New Roman"/>
                <w:sz w:val="24"/>
                <w:szCs w:val="24"/>
              </w:rPr>
              <w:t>⑤</w:t>
            </w:r>
            <w:r>
              <w:rPr>
                <w:rFonts w:hint="default" w:ascii="Times New Roman" w:hAnsi="Times New Roman" w:eastAsia="宋体" w:cs="Times New Roman"/>
                <w:color w:val="000000" w:themeColor="text1"/>
                <w:sz w:val="24"/>
                <w:szCs w:val="24"/>
                <w:lang w:val="en-US" w:eastAsia="zh-CN"/>
              </w:rPr>
              <w:fldChar w:fldCharType="end"/>
            </w:r>
            <w:r>
              <w:rPr>
                <w:rFonts w:hint="eastAsia" w:ascii="Times New Roman" w:cs="Times New Roman"/>
                <w:color w:val="000000" w:themeColor="text1"/>
              </w:rPr>
              <w:t>施工期以人工为主机械为辅，尽量避免对居民住户造成影响。</w:t>
            </w:r>
          </w:p>
          <w:p>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rPr>
            </w:pPr>
            <w:r>
              <w:rPr>
                <w:rFonts w:hint="eastAsia"/>
                <w:lang w:eastAsia="zh-CN"/>
              </w:rPr>
              <w:fldChar w:fldCharType="begin"/>
            </w:r>
            <w:r>
              <w:rPr>
                <w:rFonts w:hint="eastAsia"/>
                <w:lang w:eastAsia="zh-CN"/>
              </w:rPr>
              <w:instrText xml:space="preserve"> = 6 \* GB3 \* MERGEFORMAT </w:instrText>
            </w:r>
            <w:r>
              <w:rPr>
                <w:rFonts w:hint="eastAsia"/>
                <w:lang w:eastAsia="zh-CN"/>
              </w:rPr>
              <w:fldChar w:fldCharType="separate"/>
            </w:r>
            <w:r>
              <w:t>⑥</w:t>
            </w:r>
            <w:r>
              <w:rPr>
                <w:rFonts w:hint="eastAsia"/>
                <w:lang w:eastAsia="zh-CN"/>
              </w:rPr>
              <w:fldChar w:fldCharType="end"/>
            </w:r>
            <w:r>
              <w:rPr>
                <w:rFonts w:hint="eastAsia"/>
                <w:lang w:eastAsia="zh-CN"/>
              </w:rPr>
              <w:t>工程区</w:t>
            </w:r>
            <w:r>
              <w:rPr>
                <w:rFonts w:hint="eastAsia"/>
                <w:lang w:val="en-US" w:eastAsia="zh-CN"/>
              </w:rPr>
              <w:t>50m范围内无保护目标，主要的影响为物料运输车辆产生的噪声，要求运输车辆避开学区，途径村庄时要求</w:t>
            </w:r>
            <w:r>
              <w:rPr>
                <w:rFonts w:hint="eastAsia"/>
              </w:rPr>
              <w:t>限速、禁鸣</w:t>
            </w:r>
            <w:r>
              <w:rPr>
                <w:rFonts w:hint="eastAsia"/>
                <w:lang w:val="en-US" w:eastAsia="zh-CN"/>
              </w:rPr>
              <w:t>，</w:t>
            </w:r>
            <w:r>
              <w:rPr>
                <w:rFonts w:hint="eastAsia"/>
              </w:rPr>
              <w:t>合理安排运输路线，减少夜间运输，限制大型载重车车速</w:t>
            </w:r>
            <w:r>
              <w:rPr>
                <w:rFonts w:hint="eastAsia"/>
                <w:lang w:eastAsia="zh-CN"/>
              </w:rPr>
              <w:t>，沿线靠近民宅的工程设置</w:t>
            </w:r>
            <w:r>
              <w:rPr>
                <w:rFonts w:hint="eastAsia"/>
                <w:lang w:val="en-US" w:eastAsia="zh-CN"/>
              </w:rPr>
              <w:t>1.8m围挡墙，进行隔音降噪</w:t>
            </w:r>
            <w:r>
              <w:rPr>
                <w:rFonts w:hint="eastAsia"/>
              </w:rPr>
              <w:t>。</w:t>
            </w:r>
          </w:p>
          <w:p>
            <w:pPr>
              <w:pStyle w:val="13"/>
              <w:ind w:firstLine="480"/>
            </w:pPr>
            <w:r>
              <w:rPr>
                <w:rFonts w:hint="eastAsia"/>
                <w:b/>
                <w:bCs/>
                <w:lang w:val="en-US" w:eastAsia="zh-CN"/>
              </w:rPr>
              <w:t>噪声防治措施可行性分析：</w:t>
            </w:r>
            <w:r>
              <w:rPr>
                <w:rFonts w:hint="eastAsia"/>
                <w:lang w:val="en-US" w:eastAsia="zh-CN"/>
              </w:rPr>
              <w:t>本工程实施从噪声源头及传播途径进行控制，措施合理可行，便于实施，且施工期较短，对民宅等敏感点影响较小，因此本项目采取的噪声污染防治措施合理可行。</w:t>
            </w:r>
          </w:p>
          <w:p>
            <w:pPr>
              <w:pStyle w:val="2"/>
              <w:rPr>
                <w:color w:val="auto"/>
              </w:rPr>
            </w:pPr>
            <w:r>
              <w:rPr>
                <w:rFonts w:hint="eastAsia"/>
                <w:color w:val="auto"/>
              </w:rPr>
              <w:t>5施工期固体废物防治措施</w:t>
            </w:r>
          </w:p>
          <w:p>
            <w:pPr>
              <w:pStyle w:val="13"/>
              <w:ind w:firstLine="480"/>
            </w:pPr>
            <w:r>
              <w:rPr>
                <w:rFonts w:hint="eastAsia"/>
              </w:rPr>
              <w:t>项目施工期固体废物主要包括土石方、建筑垃圾以及施工人员生活垃圾。</w:t>
            </w:r>
          </w:p>
          <w:p>
            <w:pPr>
              <w:pStyle w:val="4"/>
              <w:ind w:firstLine="480" w:firstLineChars="200"/>
              <w:rPr>
                <w:b w:val="0"/>
                <w:bCs/>
              </w:rPr>
            </w:pPr>
            <w:r>
              <w:rPr>
                <w:rFonts w:hint="default" w:ascii="Times New Roman" w:hAnsi="Times New Roman" w:eastAsia="宋体" w:cs="Times New Roman"/>
                <w:b w:val="0"/>
                <w:bCs/>
                <w:color w:val="000000" w:themeColor="text1"/>
                <w:sz w:val="24"/>
                <w:szCs w:val="24"/>
                <w:lang w:val="en-US" w:eastAsia="zh-CN"/>
              </w:rPr>
              <w:fldChar w:fldCharType="begin"/>
            </w:r>
            <w:r>
              <w:rPr>
                <w:rFonts w:hint="default" w:ascii="Times New Roman" w:hAnsi="Times New Roman" w:eastAsia="宋体" w:cs="Times New Roman"/>
                <w:b w:val="0"/>
                <w:bCs/>
                <w:color w:val="000000" w:themeColor="text1"/>
                <w:sz w:val="24"/>
                <w:szCs w:val="24"/>
                <w:lang w:val="en-US" w:eastAsia="zh-CN"/>
              </w:rPr>
              <w:instrText xml:space="preserve"> = 1 \* GB3 \* MERGEFORMAT </w:instrText>
            </w:r>
            <w:r>
              <w:rPr>
                <w:rFonts w:hint="default" w:ascii="Times New Roman" w:hAnsi="Times New Roman" w:eastAsia="宋体" w:cs="Times New Roman"/>
                <w:b w:val="0"/>
                <w:bCs/>
                <w:color w:val="000000" w:themeColor="text1"/>
                <w:sz w:val="24"/>
                <w:szCs w:val="24"/>
                <w:lang w:val="en-US" w:eastAsia="zh-CN"/>
              </w:rPr>
              <w:fldChar w:fldCharType="separate"/>
            </w:r>
            <w:r>
              <w:rPr>
                <w:rFonts w:hint="default" w:ascii="Times New Roman" w:hAnsi="Times New Roman" w:eastAsia="宋体" w:cs="Times New Roman"/>
                <w:b w:val="0"/>
                <w:bCs/>
                <w:color w:val="000000" w:themeColor="text1"/>
                <w:sz w:val="24"/>
                <w:szCs w:val="24"/>
                <w:lang w:val="en-US" w:eastAsia="zh-CN"/>
              </w:rPr>
              <w:t>①</w:t>
            </w:r>
            <w:r>
              <w:rPr>
                <w:rFonts w:hint="default" w:ascii="Times New Roman" w:hAnsi="Times New Roman" w:eastAsia="宋体" w:cs="Times New Roman"/>
                <w:b w:val="0"/>
                <w:bCs/>
                <w:color w:val="000000" w:themeColor="text1"/>
                <w:sz w:val="24"/>
                <w:szCs w:val="24"/>
                <w:lang w:val="en-US" w:eastAsia="zh-CN"/>
              </w:rPr>
              <w:fldChar w:fldCharType="end"/>
            </w:r>
            <w:r>
              <w:rPr>
                <w:rFonts w:hint="eastAsia"/>
                <w:b w:val="0"/>
                <w:bCs/>
              </w:rPr>
              <w:t>根据土石方平衡分析，项目土石方主要来自</w:t>
            </w:r>
            <w:r>
              <w:rPr>
                <w:rFonts w:hint="eastAsia"/>
                <w:b w:val="0"/>
                <w:bCs/>
                <w:lang w:eastAsia="zh-CN"/>
              </w:rPr>
              <w:t>引水口、</w:t>
            </w:r>
            <w:r>
              <w:rPr>
                <w:rFonts w:hint="eastAsia"/>
                <w:b w:val="0"/>
                <w:bCs/>
              </w:rPr>
              <w:t>管沟及其他构筑物基础开挖环节。项目土石方挖方共产生23339m³，回填21433m³，</w:t>
            </w:r>
            <w:r>
              <w:rPr>
                <w:rFonts w:hint="eastAsia"/>
                <w:b w:val="0"/>
                <w:bCs/>
                <w:lang w:eastAsia="zh-CN"/>
              </w:rPr>
              <w:t>引水口</w:t>
            </w:r>
            <w:r>
              <w:rPr>
                <w:rFonts w:hint="eastAsia"/>
                <w:b w:val="0"/>
                <w:bCs/>
              </w:rPr>
              <w:t>剩余</w:t>
            </w:r>
            <w:r>
              <w:rPr>
                <w:rFonts w:hint="eastAsia"/>
                <w:b w:val="0"/>
                <w:bCs/>
                <w:lang w:val="en-US" w:eastAsia="zh-CN"/>
              </w:rPr>
              <w:t>1300</w:t>
            </w:r>
            <w:r>
              <w:rPr>
                <w:rFonts w:hint="eastAsia"/>
                <w:b w:val="0"/>
                <w:bCs/>
              </w:rPr>
              <w:t>m³用于场地整理</w:t>
            </w:r>
            <w:r>
              <w:rPr>
                <w:rFonts w:hint="eastAsia"/>
                <w:b w:val="0"/>
                <w:bCs/>
                <w:lang w:eastAsia="zh-CN"/>
              </w:rPr>
              <w:t>，管道工程余方</w:t>
            </w:r>
            <w:r>
              <w:rPr>
                <w:rFonts w:hint="eastAsia"/>
                <w:b w:val="0"/>
                <w:bCs/>
                <w:lang w:val="en-US" w:eastAsia="zh-CN"/>
              </w:rPr>
              <w:t>606m</w:t>
            </w:r>
            <w:r>
              <w:rPr>
                <w:rFonts w:hint="eastAsia"/>
                <w:b w:val="0"/>
                <w:bCs/>
                <w:vertAlign w:val="superscript"/>
                <w:lang w:val="en-US" w:eastAsia="zh-CN"/>
              </w:rPr>
              <w:t>3</w:t>
            </w:r>
            <w:r>
              <w:rPr>
                <w:rFonts w:hint="eastAsia"/>
                <w:b w:val="0"/>
                <w:bCs/>
                <w:lang w:eastAsia="zh-CN"/>
              </w:rPr>
              <w:t>管道</w:t>
            </w:r>
            <w:r>
              <w:rPr>
                <w:rFonts w:hint="eastAsia"/>
                <w:b w:val="0"/>
                <w:bCs/>
              </w:rPr>
              <w:t>延边铺填</w:t>
            </w:r>
            <w:r>
              <w:rPr>
                <w:rFonts w:hint="eastAsia" w:ascii="宋体" w:hAnsi="宋体"/>
                <w:b w:val="0"/>
                <w:bCs/>
                <w:kern w:val="0"/>
              </w:rPr>
              <w:t>。无借方，无弃方，土石方平衡。项目开挖的土石方在管沟沿线及构筑物基础旁暂存，待回填使用。由于项目工程管道建设里程较长，各工程段产生的土方作为各工段</w:t>
            </w:r>
            <w:r>
              <w:rPr>
                <w:rFonts w:hint="eastAsia" w:ascii="宋体" w:hAnsi="宋体"/>
                <w:b w:val="0"/>
                <w:bCs/>
                <w:kern w:val="0"/>
                <w:lang w:eastAsia="zh-CN"/>
              </w:rPr>
              <w:t>本工程</w:t>
            </w:r>
            <w:r>
              <w:rPr>
                <w:rFonts w:hint="eastAsia" w:ascii="宋体" w:hAnsi="宋体"/>
                <w:b w:val="0"/>
                <w:bCs/>
                <w:kern w:val="0"/>
              </w:rPr>
              <w:t>回填或作为外边坡护土回用，不产生弃方。</w:t>
            </w:r>
          </w:p>
          <w:p>
            <w:pPr>
              <w:pStyle w:val="13"/>
              <w:ind w:firstLine="480"/>
              <w:rPr>
                <w:rFonts w:hint="eastAsia"/>
              </w:rPr>
            </w:pPr>
            <w:r>
              <w:rPr>
                <w:rFonts w:hint="default" w:ascii="Times New Roman" w:hAnsi="Times New Roman" w:eastAsia="宋体" w:cs="Times New Roman"/>
                <w:color w:val="000000" w:themeColor="text1"/>
                <w:sz w:val="24"/>
                <w:szCs w:val="24"/>
                <w:lang w:val="en-US" w:eastAsia="zh-CN"/>
              </w:rPr>
              <w:fldChar w:fldCharType="begin"/>
            </w:r>
            <w:r>
              <w:rPr>
                <w:rFonts w:hint="default" w:ascii="Times New Roman" w:hAnsi="Times New Roman" w:eastAsia="宋体" w:cs="Times New Roman"/>
                <w:color w:val="000000" w:themeColor="text1"/>
                <w:sz w:val="24"/>
                <w:szCs w:val="24"/>
                <w:lang w:val="en-US" w:eastAsia="zh-CN"/>
              </w:rPr>
              <w:instrText xml:space="preserve"> = 2 \* GB3 \* MERGEFORMAT </w:instrText>
            </w:r>
            <w:r>
              <w:rPr>
                <w:rFonts w:hint="default" w:ascii="Times New Roman" w:hAnsi="Times New Roman" w:eastAsia="宋体" w:cs="Times New Roman"/>
                <w:color w:val="000000" w:themeColor="text1"/>
                <w:sz w:val="24"/>
                <w:szCs w:val="24"/>
                <w:lang w:val="en-US" w:eastAsia="zh-CN"/>
              </w:rPr>
              <w:fldChar w:fldCharType="separate"/>
            </w:r>
            <w:r>
              <w:rPr>
                <w:rFonts w:hint="default" w:ascii="Times New Roman" w:hAnsi="Times New Roman" w:eastAsia="宋体" w:cs="Times New Roman"/>
                <w:color w:val="000000" w:themeColor="text1"/>
                <w:sz w:val="24"/>
                <w:szCs w:val="24"/>
                <w:lang w:val="en-US" w:eastAsia="zh-CN"/>
              </w:rPr>
              <w:t>②</w:t>
            </w:r>
            <w:r>
              <w:rPr>
                <w:rFonts w:hint="default" w:ascii="Times New Roman" w:hAnsi="Times New Roman" w:eastAsia="宋体" w:cs="Times New Roman"/>
                <w:color w:val="000000" w:themeColor="text1"/>
                <w:sz w:val="24"/>
                <w:szCs w:val="24"/>
                <w:lang w:val="en-US" w:eastAsia="zh-CN"/>
              </w:rPr>
              <w:fldChar w:fldCharType="end"/>
            </w:r>
            <w:r>
              <w:rPr>
                <w:rFonts w:hint="eastAsia"/>
              </w:rPr>
              <w:t>项目建筑垃圾包括管沟开挖过程中挖出的原有废旧PVC管材、废砖块、砂石渣，其中旧PVC管材产生量约1000m，经收集后</w:t>
            </w:r>
            <w:r>
              <w:rPr>
                <w:rFonts w:hint="eastAsia"/>
                <w:lang w:eastAsia="zh-CN"/>
              </w:rPr>
              <w:t>交由废品回收站回收利用</w:t>
            </w:r>
            <w:r>
              <w:rPr>
                <w:rFonts w:hint="eastAsia"/>
              </w:rPr>
              <w:t>；废砖块、砂石渣等产生量约20m</w:t>
            </w:r>
            <w:r>
              <w:rPr>
                <w:rFonts w:hint="eastAsia"/>
                <w:vertAlign w:val="superscript"/>
              </w:rPr>
              <w:t>3</w:t>
            </w:r>
            <w:r>
              <w:rPr>
                <w:rFonts w:hint="eastAsia"/>
              </w:rPr>
              <w:t>，经收集后就近用作村内道路坑洼处填铺。</w:t>
            </w:r>
          </w:p>
          <w:p>
            <w:pPr>
              <w:pStyle w:val="13"/>
              <w:ind w:firstLine="480"/>
              <w:rPr>
                <w:rFonts w:hint="eastAsia" w:eastAsia="宋体"/>
                <w:lang w:eastAsia="zh-CN"/>
              </w:rPr>
            </w:pPr>
            <w:r>
              <w:rPr>
                <w:rFonts w:hint="eastAsia"/>
                <w:lang w:eastAsia="zh-CN"/>
              </w:rPr>
              <w:t>可行性分析：由于项目区域乡村道路、农耕便道修建时间久远，低洼地较多、沿途多处坏损，且本项目的</w:t>
            </w:r>
            <w:r>
              <w:rPr>
                <w:rFonts w:hint="eastAsia"/>
              </w:rPr>
              <w:t>废砖块、砂石渣</w:t>
            </w:r>
            <w:r>
              <w:rPr>
                <w:rFonts w:hint="eastAsia"/>
                <w:lang w:eastAsia="zh-CN"/>
              </w:rPr>
              <w:t>等产生量较小，因此作为道路</w:t>
            </w:r>
            <w:r>
              <w:rPr>
                <w:rFonts w:hint="eastAsia"/>
              </w:rPr>
              <w:t>填铺</w:t>
            </w:r>
            <w:r>
              <w:rPr>
                <w:rFonts w:hint="eastAsia"/>
                <w:lang w:eastAsia="zh-CN"/>
              </w:rPr>
              <w:t>材料经济合理可行。</w:t>
            </w:r>
          </w:p>
          <w:p>
            <w:pPr>
              <w:pStyle w:val="13"/>
              <w:numPr>
                <w:numId w:val="0"/>
              </w:numPr>
              <w:ind w:firstLine="480" w:firstLineChars="200"/>
            </w:pPr>
            <w:r>
              <w:rPr>
                <w:rFonts w:hint="default" w:ascii="Times New Roman" w:hAnsi="Times New Roman" w:eastAsia="宋体" w:cs="Times New Roman"/>
                <w:color w:val="000000" w:themeColor="text1"/>
                <w:sz w:val="24"/>
                <w:szCs w:val="24"/>
                <w:lang w:val="en-US" w:eastAsia="zh-CN"/>
              </w:rPr>
              <w:fldChar w:fldCharType="begin"/>
            </w:r>
            <w:r>
              <w:rPr>
                <w:rFonts w:hint="default" w:ascii="Times New Roman" w:hAnsi="Times New Roman" w:eastAsia="宋体" w:cs="Times New Roman"/>
                <w:color w:val="000000" w:themeColor="text1"/>
                <w:sz w:val="24"/>
                <w:szCs w:val="24"/>
                <w:lang w:val="en-US" w:eastAsia="zh-CN"/>
              </w:rPr>
              <w:instrText xml:space="preserve"> = 3 \* GB3 \* MERGEFORMAT </w:instrText>
            </w:r>
            <w:r>
              <w:rPr>
                <w:rFonts w:hint="default" w:ascii="Times New Roman" w:hAnsi="Times New Roman" w:eastAsia="宋体" w:cs="Times New Roman"/>
                <w:color w:val="000000" w:themeColor="text1"/>
                <w:sz w:val="24"/>
                <w:szCs w:val="24"/>
                <w:lang w:val="en-US" w:eastAsia="zh-CN"/>
              </w:rPr>
              <w:fldChar w:fldCharType="separate"/>
            </w:r>
            <w:r>
              <w:rPr>
                <w:rFonts w:hint="default" w:ascii="Times New Roman" w:hAnsi="Times New Roman" w:eastAsia="宋体" w:cs="Times New Roman"/>
                <w:sz w:val="24"/>
                <w:szCs w:val="24"/>
              </w:rPr>
              <w:t>③</w:t>
            </w:r>
            <w:r>
              <w:rPr>
                <w:rFonts w:hint="default" w:ascii="Times New Roman" w:hAnsi="Times New Roman" w:eastAsia="宋体" w:cs="Times New Roman"/>
                <w:color w:val="000000" w:themeColor="text1"/>
                <w:sz w:val="24"/>
                <w:szCs w:val="24"/>
                <w:lang w:val="en-US" w:eastAsia="zh-CN"/>
              </w:rPr>
              <w:fldChar w:fldCharType="end"/>
            </w:r>
            <w:r>
              <w:rPr>
                <w:rFonts w:hint="eastAsia"/>
              </w:rPr>
              <w:t>项目施工期人员生活垃圾经收集后运至村民生活垃圾收集点，最终清运至生活垃圾填埋场处置。</w:t>
            </w:r>
          </w:p>
          <w:p>
            <w:pPr>
              <w:pStyle w:val="13"/>
              <w:numPr>
                <w:numId w:val="0"/>
              </w:numPr>
              <w:ind w:firstLine="480" w:firstLineChars="200"/>
            </w:pPr>
            <w:r>
              <w:rPr>
                <w:rFonts w:hint="default" w:ascii="Times New Roman" w:hAnsi="Times New Roman" w:eastAsia="宋体" w:cs="Times New Roman"/>
                <w:color w:val="000000" w:themeColor="text1"/>
                <w:sz w:val="24"/>
                <w:szCs w:val="24"/>
                <w:lang w:val="en-US" w:eastAsia="zh-CN"/>
              </w:rPr>
              <w:fldChar w:fldCharType="begin"/>
            </w:r>
            <w:r>
              <w:rPr>
                <w:rFonts w:hint="default" w:ascii="Times New Roman" w:hAnsi="Times New Roman" w:eastAsia="宋体" w:cs="Times New Roman"/>
                <w:color w:val="000000" w:themeColor="text1"/>
                <w:sz w:val="24"/>
                <w:szCs w:val="24"/>
                <w:lang w:val="en-US" w:eastAsia="zh-CN"/>
              </w:rPr>
              <w:instrText xml:space="preserve"> = 4 \* GB3 \* MERGEFORMAT </w:instrText>
            </w:r>
            <w:r>
              <w:rPr>
                <w:rFonts w:hint="default" w:ascii="Times New Roman" w:hAnsi="Times New Roman" w:eastAsia="宋体" w:cs="Times New Roman"/>
                <w:color w:val="000000" w:themeColor="text1"/>
                <w:sz w:val="24"/>
                <w:szCs w:val="24"/>
                <w:lang w:val="en-US" w:eastAsia="zh-CN"/>
              </w:rPr>
              <w:fldChar w:fldCharType="separate"/>
            </w:r>
            <w:r>
              <w:rPr>
                <w:rFonts w:hint="default" w:ascii="Times New Roman" w:hAnsi="Times New Roman" w:eastAsia="宋体" w:cs="Times New Roman"/>
                <w:sz w:val="24"/>
                <w:szCs w:val="24"/>
              </w:rPr>
              <w:t>④</w:t>
            </w:r>
            <w:r>
              <w:rPr>
                <w:rFonts w:hint="default" w:ascii="Times New Roman" w:hAnsi="Times New Roman" w:eastAsia="宋体" w:cs="Times New Roman"/>
                <w:color w:val="000000" w:themeColor="text1"/>
                <w:sz w:val="24"/>
                <w:szCs w:val="24"/>
                <w:lang w:val="en-US" w:eastAsia="zh-CN"/>
              </w:rPr>
              <w:fldChar w:fldCharType="end"/>
            </w:r>
            <w:r>
              <w:rPr>
                <w:rFonts w:hint="eastAsia"/>
              </w:rPr>
              <w:t>项目施工营地设置生活垃圾收集桶，施工沿线施工过程产生的生活垃圾由收集袋收集，每天运送至就近的村内垃圾收集点。</w:t>
            </w:r>
          </w:p>
          <w:p>
            <w:pPr>
              <w:widowControl w:val="0"/>
              <w:spacing w:line="360" w:lineRule="auto"/>
              <w:ind w:firstLine="480" w:firstLineChars="200"/>
              <w:jc w:val="both"/>
              <w:rPr>
                <w:rFonts w:hint="eastAsia"/>
              </w:rPr>
            </w:pPr>
            <w:r>
              <w:rPr>
                <w:rFonts w:hint="default" w:ascii="Times New Roman" w:hAnsi="Times New Roman" w:eastAsia="宋体" w:cs="Times New Roman"/>
                <w:color w:val="000000" w:themeColor="text1"/>
                <w:sz w:val="24"/>
                <w:szCs w:val="24"/>
                <w:lang w:val="en-US" w:eastAsia="zh-CN"/>
              </w:rPr>
              <w:fldChar w:fldCharType="begin"/>
            </w:r>
            <w:r>
              <w:rPr>
                <w:rFonts w:hint="default" w:ascii="Times New Roman" w:hAnsi="Times New Roman" w:eastAsia="宋体" w:cs="Times New Roman"/>
                <w:color w:val="000000" w:themeColor="text1"/>
                <w:sz w:val="24"/>
                <w:szCs w:val="24"/>
                <w:lang w:val="en-US" w:eastAsia="zh-CN"/>
              </w:rPr>
              <w:instrText xml:space="preserve"> = 5 \* GB3 \* MERGEFORMAT </w:instrText>
            </w:r>
            <w:r>
              <w:rPr>
                <w:rFonts w:hint="default" w:ascii="Times New Roman" w:hAnsi="Times New Roman" w:eastAsia="宋体" w:cs="Times New Roman"/>
                <w:color w:val="000000" w:themeColor="text1"/>
                <w:sz w:val="24"/>
                <w:szCs w:val="24"/>
                <w:lang w:val="en-US" w:eastAsia="zh-CN"/>
              </w:rPr>
              <w:fldChar w:fldCharType="separate"/>
            </w:r>
            <w:r>
              <w:rPr>
                <w:rFonts w:hint="default" w:ascii="Times New Roman" w:hAnsi="Times New Roman" w:eastAsia="宋体" w:cs="Times New Roman"/>
                <w:sz w:val="24"/>
                <w:szCs w:val="24"/>
              </w:rPr>
              <w:t>⑤</w:t>
            </w:r>
            <w:r>
              <w:rPr>
                <w:rFonts w:hint="default" w:ascii="Times New Roman" w:hAnsi="Times New Roman" w:eastAsia="宋体" w:cs="Times New Roman"/>
                <w:color w:val="000000" w:themeColor="text1"/>
                <w:sz w:val="24"/>
                <w:szCs w:val="24"/>
                <w:lang w:val="en-US" w:eastAsia="zh-CN"/>
              </w:rPr>
              <w:fldChar w:fldCharType="end"/>
            </w:r>
            <w:r>
              <w:rPr>
                <w:rFonts w:hint="eastAsia"/>
              </w:rPr>
              <w:t>禁止将生活垃圾丢弃在工程沿线或引水口附近。</w:t>
            </w:r>
          </w:p>
          <w:p>
            <w:pPr>
              <w:pStyle w:val="13"/>
              <w:numPr>
                <w:numId w:val="0"/>
              </w:numPr>
              <w:ind w:firstLine="480" w:firstLineChars="200"/>
            </w:pPr>
            <w:r>
              <w:rPr>
                <w:rFonts w:hint="eastAsia"/>
                <w:lang w:eastAsia="zh-CN"/>
              </w:rPr>
              <w:fldChar w:fldCharType="begin"/>
            </w:r>
            <w:r>
              <w:rPr>
                <w:rFonts w:hint="eastAsia"/>
                <w:lang w:eastAsia="zh-CN"/>
              </w:rPr>
              <w:instrText xml:space="preserve"> = 6 \* GB3 \* MERGEFORMAT </w:instrText>
            </w:r>
            <w:r>
              <w:rPr>
                <w:rFonts w:hint="eastAsia"/>
                <w:lang w:eastAsia="zh-CN"/>
              </w:rPr>
              <w:fldChar w:fldCharType="separate"/>
            </w:r>
            <w:r>
              <w:t>⑥</w:t>
            </w:r>
            <w:r>
              <w:rPr>
                <w:rFonts w:hint="eastAsia"/>
                <w:lang w:eastAsia="zh-CN"/>
              </w:rPr>
              <w:fldChar w:fldCharType="end"/>
            </w:r>
            <w:r>
              <w:rPr>
                <w:rFonts w:ascii="Times New Roman" w:cs="Times New Roman"/>
                <w:color w:val="000000" w:themeColor="text1"/>
              </w:rPr>
              <w:t>项目施工期禁止在施工现场或河滩地上焚烧生活垃圾。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63" w:hRule="atLeast"/>
          <w:jc w:val="center"/>
        </w:trPr>
        <w:tc>
          <w:tcPr>
            <w:tcW w:w="359" w:type="pct"/>
            <w:tcMar>
              <w:left w:w="28" w:type="dxa"/>
              <w:right w:w="28" w:type="dxa"/>
            </w:tcMar>
            <w:vAlign w:val="center"/>
          </w:tcPr>
          <w:p>
            <w:pPr>
              <w:jc w:val="center"/>
            </w:pPr>
            <w:r>
              <w:rPr>
                <w:rFonts w:hint="eastAsia"/>
              </w:rPr>
              <w:t>运营期生态环境保护措施</w:t>
            </w:r>
          </w:p>
        </w:tc>
        <w:tc>
          <w:tcPr>
            <w:tcW w:w="4640" w:type="pct"/>
          </w:tcPr>
          <w:p>
            <w:pPr>
              <w:ind w:firstLine="482" w:firstLineChars="200"/>
              <w:rPr>
                <w:b/>
                <w:bCs/>
              </w:rPr>
            </w:pPr>
            <w:r>
              <w:rPr>
                <w:rFonts w:hint="eastAsia"/>
                <w:b/>
                <w:bCs/>
              </w:rPr>
              <w:t>运营期环境保护措施：</w:t>
            </w:r>
          </w:p>
          <w:p>
            <w:pPr>
              <w:widowControl/>
              <w:spacing w:line="360" w:lineRule="auto"/>
              <w:ind w:firstLine="480" w:firstLineChars="200"/>
              <w:jc w:val="left"/>
              <w:rPr>
                <w:rFonts w:hint="default" w:eastAsia="宋体"/>
                <w:lang w:val="en-US" w:eastAsia="zh-CN"/>
              </w:rPr>
            </w:pPr>
            <w:r>
              <w:rPr>
                <w:rFonts w:hint="eastAsia"/>
                <w:lang w:eastAsia="zh-CN"/>
              </w:rPr>
              <w:t>（</w:t>
            </w:r>
            <w:r>
              <w:rPr>
                <w:rFonts w:hint="eastAsia"/>
                <w:lang w:val="en-US" w:eastAsia="zh-CN"/>
              </w:rPr>
              <w:t>1</w:t>
            </w:r>
            <w:r>
              <w:rPr>
                <w:rFonts w:hint="eastAsia"/>
                <w:lang w:eastAsia="zh-CN"/>
              </w:rPr>
              <w:t>）</w:t>
            </w:r>
            <w:r>
              <w:rPr>
                <w:rFonts w:hint="eastAsia"/>
                <w:lang w:val="en-US" w:eastAsia="zh-CN"/>
              </w:rPr>
              <w:t>地表水环境保护措施</w:t>
            </w:r>
          </w:p>
          <w:p>
            <w:pPr>
              <w:widowControl/>
              <w:spacing w:line="360" w:lineRule="auto"/>
              <w:ind w:firstLine="480" w:firstLineChars="200"/>
              <w:jc w:val="left"/>
            </w:pPr>
            <w:r>
              <w:rPr>
                <w:rFonts w:hint="eastAsia"/>
              </w:rPr>
              <w:fldChar w:fldCharType="begin"/>
            </w:r>
            <w:r>
              <w:rPr>
                <w:rFonts w:hint="eastAsia"/>
              </w:rPr>
              <w:instrText xml:space="preserve"> = 1 \* GB3 \* MERGEFORMAT </w:instrText>
            </w:r>
            <w:r>
              <w:rPr>
                <w:rFonts w:hint="eastAsia"/>
              </w:rPr>
              <w:fldChar w:fldCharType="separate"/>
            </w:r>
            <w:r>
              <w:t>①</w:t>
            </w:r>
            <w:r>
              <w:rPr>
                <w:rFonts w:hint="eastAsia"/>
              </w:rPr>
              <w:fldChar w:fldCharType="end"/>
            </w:r>
            <w:r>
              <w:rPr>
                <w:rFonts w:hint="eastAsia"/>
              </w:rPr>
              <w:t>积极推广成熟的高效施肥技术，精准施肥，从源头控制氮磷污染，同时，采用平衡施肥管理措施，避免在作物生长早期大量施用氮肥。</w:t>
            </w:r>
          </w:p>
          <w:p>
            <w:pPr>
              <w:spacing w:line="360" w:lineRule="auto"/>
              <w:ind w:firstLine="480" w:firstLineChars="200"/>
              <w:rPr>
                <w:rFonts w:hint="eastAsia"/>
              </w:rPr>
            </w:pPr>
            <w:r>
              <w:rPr>
                <w:rFonts w:hint="eastAsia"/>
              </w:rPr>
              <w:fldChar w:fldCharType="begin"/>
            </w:r>
            <w:r>
              <w:rPr>
                <w:rFonts w:hint="eastAsia"/>
              </w:rPr>
              <w:instrText xml:space="preserve"> = 2 \* GB3 \* MERGEFORMAT </w:instrText>
            </w:r>
            <w:r>
              <w:rPr>
                <w:rFonts w:hint="eastAsia"/>
              </w:rPr>
              <w:fldChar w:fldCharType="separate"/>
            </w:r>
            <w:r>
              <w:t>②</w:t>
            </w:r>
            <w:r>
              <w:rPr>
                <w:rFonts w:hint="eastAsia"/>
              </w:rPr>
              <w:fldChar w:fldCharType="end"/>
            </w:r>
            <w:r>
              <w:rPr>
                <w:rFonts w:hint="eastAsia"/>
              </w:rPr>
              <w:t>种植区农户采用高效、低毒、低残留的农药，严格按照说明使用，减少农药对水体的污染。</w:t>
            </w:r>
          </w:p>
          <w:p>
            <w:pPr>
              <w:ind w:firstLine="480" w:firstLineChars="200"/>
              <w:rPr>
                <w:rFonts w:hint="eastAsia" w:ascii="宋体" w:hAnsi="宋体" w:eastAsia="宋体" w:cs="宋体"/>
                <w:color w:val="000000"/>
                <w:kern w:val="0"/>
                <w:sz w:val="24"/>
                <w:szCs w:val="24"/>
                <w:lang w:val="en-US" w:eastAsia="zh-CN" w:bidi="ar"/>
              </w:rPr>
            </w:pPr>
            <w:r>
              <w:rPr>
                <w:rFonts w:hint="eastAsia"/>
                <w:lang w:eastAsia="zh-CN"/>
              </w:rPr>
              <w:t>（</w:t>
            </w:r>
            <w:r>
              <w:rPr>
                <w:rFonts w:hint="eastAsia"/>
                <w:lang w:val="en-US" w:eastAsia="zh-CN"/>
              </w:rPr>
              <w:t>2</w:t>
            </w:r>
            <w:r>
              <w:rPr>
                <w:rFonts w:hint="eastAsia"/>
                <w:lang w:eastAsia="zh-CN"/>
              </w:rPr>
              <w:t>）生态环境环境保护措施</w:t>
            </w:r>
          </w:p>
          <w:p>
            <w:pPr>
              <w:ind w:firstLine="480" w:firstLineChars="200"/>
              <w:rPr>
                <w:rFonts w:hint="default" w:ascii="Times New Roman" w:eastAsia="宋体" w:cs="Times New Roman"/>
                <w:color w:val="000000" w:themeColor="text1"/>
                <w:lang w:val="en-US" w:eastAsia="zh-CN"/>
              </w:rPr>
            </w:pPr>
            <w:r>
              <w:rPr>
                <w:rFonts w:hint="eastAsia" w:ascii="Times New Roman" w:cs="Times New Roman"/>
                <w:color w:val="000000" w:themeColor="text1"/>
                <w:lang w:val="en-US" w:eastAsia="zh-CN"/>
              </w:rPr>
              <w:t>为减小运营期灌溉水对生态环境的影响，提出以下环保措施：</w:t>
            </w:r>
          </w:p>
          <w:p>
            <w:pPr>
              <w:ind w:firstLine="480" w:firstLineChars="200"/>
              <w:rPr>
                <w:rFonts w:hint="eastAsia" w:ascii="Times New Roman" w:cs="Times New Roman"/>
                <w:color w:val="000000" w:themeColor="text1"/>
              </w:rPr>
            </w:pPr>
            <w:r>
              <w:rPr>
                <w:rFonts w:hint="eastAsia" w:ascii="Times New Roman" w:cs="Times New Roman"/>
                <w:color w:val="000000" w:themeColor="text1"/>
              </w:rPr>
              <w:fldChar w:fldCharType="begin"/>
            </w:r>
            <w:r>
              <w:rPr>
                <w:rFonts w:hint="eastAsia" w:ascii="Times New Roman" w:cs="Times New Roman"/>
                <w:color w:val="000000" w:themeColor="text1"/>
              </w:rPr>
              <w:instrText xml:space="preserve"> = 1 \* GB3 \* MERGEFORMAT </w:instrText>
            </w:r>
            <w:r>
              <w:rPr>
                <w:rFonts w:hint="eastAsia" w:ascii="Times New Roman" w:cs="Times New Roman"/>
                <w:color w:val="000000" w:themeColor="text1"/>
              </w:rPr>
              <w:fldChar w:fldCharType="separate"/>
            </w:r>
            <w:r>
              <w:t>①</w:t>
            </w:r>
            <w:r>
              <w:rPr>
                <w:rFonts w:hint="eastAsia" w:ascii="Times New Roman" w:cs="Times New Roman"/>
                <w:color w:val="000000" w:themeColor="text1"/>
              </w:rPr>
              <w:fldChar w:fldCharType="end"/>
            </w:r>
            <w:r>
              <w:rPr>
                <w:rFonts w:hint="eastAsia" w:ascii="Times New Roman" w:cs="Times New Roman"/>
                <w:color w:val="000000" w:themeColor="text1"/>
              </w:rPr>
              <w:t>优化农田的排水灌溉。新型排水灌溉技术可以在保障作物水分需求的前提下，实现最大限度节水，实现用水的最优化。在进行排水灌溉工程的建设中，应积极引进一些先进设计方案和技术，以实现农田的科学合理灌溉，节约水资源</w:t>
            </w:r>
            <w:r>
              <w:rPr>
                <w:rFonts w:hint="eastAsia" w:cs="Times New Roman"/>
                <w:color w:val="000000" w:themeColor="text1"/>
                <w:lang w:eastAsia="zh-CN"/>
              </w:rPr>
              <w:t>，减缓对下游水生生态的影响</w:t>
            </w:r>
            <w:r>
              <w:rPr>
                <w:rFonts w:hint="eastAsia" w:ascii="Times New Roman" w:cs="Times New Roman"/>
                <w:color w:val="000000" w:themeColor="text1"/>
              </w:rPr>
              <w:t>。</w:t>
            </w:r>
          </w:p>
          <w:p>
            <w:pPr>
              <w:ind w:firstLine="480" w:firstLineChars="200"/>
              <w:rPr>
                <w:rFonts w:hint="eastAsia" w:ascii="Times New Roman" w:cs="Times New Roman"/>
                <w:color w:val="000000" w:themeColor="text1"/>
              </w:rPr>
            </w:pPr>
            <w:r>
              <w:rPr>
                <w:rFonts w:hint="eastAsia" w:ascii="Times New Roman" w:cs="Times New Roman"/>
                <w:color w:val="000000" w:themeColor="text1"/>
              </w:rPr>
              <w:fldChar w:fldCharType="begin"/>
            </w:r>
            <w:r>
              <w:rPr>
                <w:rFonts w:hint="eastAsia" w:ascii="Times New Roman" w:cs="Times New Roman"/>
                <w:color w:val="000000" w:themeColor="text1"/>
              </w:rPr>
              <w:instrText xml:space="preserve"> = 2 \* GB3 \* MERGEFORMAT </w:instrText>
            </w:r>
            <w:r>
              <w:rPr>
                <w:rFonts w:hint="eastAsia" w:ascii="Times New Roman" w:cs="Times New Roman"/>
                <w:color w:val="000000" w:themeColor="text1"/>
              </w:rPr>
              <w:fldChar w:fldCharType="separate"/>
            </w:r>
            <w:r>
              <w:t>②</w:t>
            </w:r>
            <w:r>
              <w:rPr>
                <w:rFonts w:hint="eastAsia" w:ascii="Times New Roman" w:cs="Times New Roman"/>
                <w:color w:val="000000" w:themeColor="text1"/>
              </w:rPr>
              <w:fldChar w:fldCharType="end"/>
            </w:r>
            <w:r>
              <w:rPr>
                <w:rFonts w:hint="eastAsia" w:ascii="Times New Roman" w:cs="Times New Roman"/>
                <w:color w:val="000000" w:themeColor="text1"/>
              </w:rPr>
              <w:t>合理利用农田周边的河水资源。河流的水分通过渗入到土壤，可以为农作物提供水分和养料，促进农作物的生长，同时又可以有效回流地表积水，起到防旱抗涝作用。同时，其为周边的生物提供了生存环境，是生态环境的营养支撑基础。对农田周边的天然水资源应进行合理开发和利用，对过度使用的地方应进行退耕还林、退耕还湖的办法，改善水资源环境，保证生态的健康正常发展。</w:t>
            </w:r>
          </w:p>
          <w:p>
            <w:pPr>
              <w:ind w:firstLine="480" w:firstLineChars="200"/>
              <w:rPr>
                <w:rFonts w:hint="eastAsia" w:ascii="Times New Roman" w:cs="Times New Roman"/>
                <w:color w:val="000000" w:themeColor="text1"/>
              </w:rPr>
            </w:pPr>
            <w:r>
              <w:rPr>
                <w:rFonts w:hint="eastAsia" w:ascii="Times New Roman" w:cs="Times New Roman"/>
                <w:color w:val="000000" w:themeColor="text1"/>
              </w:rPr>
              <w:fldChar w:fldCharType="begin"/>
            </w:r>
            <w:r>
              <w:rPr>
                <w:rFonts w:hint="eastAsia" w:ascii="Times New Roman" w:cs="Times New Roman"/>
                <w:color w:val="000000" w:themeColor="text1"/>
              </w:rPr>
              <w:instrText xml:space="preserve"> = 3 \* GB3 \* MERGEFORMAT </w:instrText>
            </w:r>
            <w:r>
              <w:rPr>
                <w:rFonts w:hint="eastAsia" w:ascii="Times New Roman" w:cs="Times New Roman"/>
                <w:color w:val="000000" w:themeColor="text1"/>
              </w:rPr>
              <w:fldChar w:fldCharType="separate"/>
            </w:r>
            <w:r>
              <w:t>③</w:t>
            </w:r>
            <w:r>
              <w:rPr>
                <w:rFonts w:hint="eastAsia" w:ascii="Times New Roman" w:cs="Times New Roman"/>
                <w:color w:val="000000" w:themeColor="text1"/>
              </w:rPr>
              <w:fldChar w:fldCharType="end"/>
            </w:r>
            <w:r>
              <w:rPr>
                <w:rFonts w:hint="eastAsia" w:ascii="Times New Roman" w:cs="Times New Roman"/>
                <w:color w:val="000000" w:themeColor="text1"/>
              </w:rPr>
              <w:t>调整农田土地结构。为了提升土地对生态环境的调节能力，需要调整农田土地的构成结构，增加农田的多样性，科学种植多样性的农作物，合理配置农田水利的规划和布局，提升土壤净化土壤内污染物的能力，保证农作物健康生长。通过农田环境和生态环境的统筹布局和规划，使得农田系统和生态系统相融合，使得农田可以从自然环境中汲取营养，同时又能正反馈于生态环境，减少过多的人为干涉，实现农田生态和自然生态的和谐</w:t>
            </w:r>
            <w:r>
              <w:rPr>
                <w:rFonts w:hint="eastAsia" w:cs="Times New Roman"/>
                <w:color w:val="000000" w:themeColor="text1"/>
                <w:lang w:eastAsia="zh-CN"/>
              </w:rPr>
              <w:t>，减缓对生态环境的影响</w:t>
            </w:r>
            <w:r>
              <w:rPr>
                <w:rFonts w:hint="eastAsia" w:ascii="Times New Roman" w:cs="Times New Roman"/>
                <w:color w:val="000000" w:themeColor="text1"/>
              </w:rPr>
              <w:t>。</w:t>
            </w:r>
          </w:p>
          <w:p>
            <w:pPr>
              <w:ind w:firstLine="480" w:firstLineChars="200"/>
              <w:rPr>
                <w:rFonts w:hint="eastAsia" w:ascii="Times New Roman" w:cs="Times New Roman"/>
                <w:color w:val="000000" w:themeColor="text1"/>
              </w:rPr>
            </w:pPr>
            <w:r>
              <w:rPr>
                <w:rFonts w:hint="eastAsia" w:ascii="Times New Roman" w:cs="Times New Roman"/>
                <w:color w:val="000000" w:themeColor="text1"/>
              </w:rPr>
              <w:fldChar w:fldCharType="begin"/>
            </w:r>
            <w:r>
              <w:rPr>
                <w:rFonts w:hint="eastAsia" w:ascii="Times New Roman" w:cs="Times New Roman"/>
                <w:color w:val="000000" w:themeColor="text1"/>
              </w:rPr>
              <w:instrText xml:space="preserve"> = 4 \* GB3 \* MERGEFORMAT </w:instrText>
            </w:r>
            <w:r>
              <w:rPr>
                <w:rFonts w:hint="eastAsia" w:ascii="Times New Roman" w:cs="Times New Roman"/>
                <w:color w:val="000000" w:themeColor="text1"/>
              </w:rPr>
              <w:fldChar w:fldCharType="separate"/>
            </w:r>
            <w:r>
              <w:t>④</w:t>
            </w:r>
            <w:r>
              <w:rPr>
                <w:rFonts w:hint="eastAsia" w:ascii="Times New Roman" w:cs="Times New Roman"/>
                <w:color w:val="000000" w:themeColor="text1"/>
              </w:rPr>
              <w:fldChar w:fldCharType="end"/>
            </w:r>
            <w:r>
              <w:rPr>
                <w:rFonts w:hint="eastAsia" w:ascii="Times New Roman" w:cs="Times New Roman"/>
                <w:color w:val="000000" w:themeColor="text1"/>
              </w:rPr>
              <w:t>加强环境监督力度。农田水利管理部门需要加强监督管理力度，采用相应的制约措施，制定有效的管理制度，加大监督管理力度，从根本上治理环境污染问题。应根据相关法律条文规定，对随意排放污水、废水和有害物质的单位和个人，应追究其相应责任，从严治理，另外加大对环保意识的宣传和教育，提高农业种植户及相关人员对生态环境保护的意识。</w:t>
            </w:r>
          </w:p>
          <w:p>
            <w:pPr>
              <w:keepNext w:val="0"/>
              <w:keepLines w:val="0"/>
              <w:widowControl/>
              <w:suppressLineNumbers w:val="0"/>
              <w:ind w:firstLine="480" w:firstLineChars="200"/>
              <w:jc w:val="left"/>
              <w:rPr>
                <w:rFonts w:hint="eastAsia" w:eastAsia="宋体"/>
                <w:lang w:val="en-US" w:eastAsia="zh-CN"/>
              </w:rPr>
            </w:pPr>
            <w:r>
              <w:rPr>
                <w:rFonts w:hint="eastAsia" w:ascii="Times New Roman" w:cs="Times New Roman"/>
                <w:color w:val="000000" w:themeColor="text1"/>
              </w:rPr>
              <w:t>总之，在</w:t>
            </w:r>
            <w:r>
              <w:rPr>
                <w:rFonts w:ascii="Times New Roman" w:cs="Times New Roman"/>
                <w:color w:val="000000" w:themeColor="text1"/>
              </w:rPr>
              <w:t>采取上述措施后，项目</w:t>
            </w:r>
            <w:r>
              <w:rPr>
                <w:rFonts w:hint="eastAsia" w:ascii="Times New Roman" w:cs="Times New Roman"/>
                <w:color w:val="000000" w:themeColor="text1"/>
                <w:lang w:val="en-US" w:eastAsia="zh-CN"/>
              </w:rPr>
              <w:t>运营期灌溉水对生态环境的影响</w:t>
            </w:r>
            <w:r>
              <w:rPr>
                <w:rFonts w:hint="eastAsia" w:cs="Times New Roman"/>
                <w:color w:val="000000" w:themeColor="text1"/>
                <w:lang w:val="en-US" w:eastAsia="zh-CN"/>
              </w:rPr>
              <w:t>较小</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359" w:type="pct"/>
            <w:vAlign w:val="center"/>
          </w:tcPr>
          <w:p>
            <w:pPr>
              <w:jc w:val="center"/>
            </w:pPr>
            <w:r>
              <w:rPr>
                <w:rFonts w:hint="eastAsia"/>
              </w:rPr>
              <w:t>其他</w:t>
            </w:r>
          </w:p>
        </w:tc>
        <w:tc>
          <w:tcPr>
            <w:tcW w:w="4640" w:type="pct"/>
          </w:tcPr>
          <w:p>
            <w:pPr>
              <w:pStyle w:val="3"/>
            </w:pPr>
            <w:r>
              <w:rPr>
                <w:rFonts w:hint="eastAsia"/>
              </w:rPr>
              <w:t>8环境管理和监测计划</w:t>
            </w:r>
          </w:p>
          <w:p>
            <w:pPr>
              <w:pStyle w:val="4"/>
            </w:pPr>
            <w:r>
              <w:rPr>
                <w:rFonts w:hint="eastAsia"/>
              </w:rPr>
              <w:t>8.1环境管理计划</w:t>
            </w:r>
          </w:p>
          <w:p>
            <w:pPr>
              <w:pStyle w:val="13"/>
              <w:ind w:firstLine="480"/>
            </w:pPr>
            <w:r>
              <w:rPr>
                <w:rFonts w:hint="eastAsia"/>
              </w:rPr>
              <w:t>本项目属于灌渠工程，项目运营期不产生废水、废气、固废和噪声，故本次环评中不强调运营期的环境管理要求。项目施工期环境管理计划如下：</w:t>
            </w:r>
          </w:p>
          <w:p>
            <w:pPr>
              <w:pStyle w:val="13"/>
              <w:ind w:firstLine="480"/>
              <w:rPr>
                <w:rFonts w:hint="eastAsia" w:eastAsia="宋体"/>
                <w:lang w:eastAsia="zh-CN"/>
              </w:rPr>
            </w:pPr>
            <w:r>
              <w:rPr>
                <w:rFonts w:hint="eastAsia"/>
              </w:rPr>
              <w:t>依据《建设项目环境保护设计规范》，本项目施工期应设置专门的环境保护管理部门，负责组织、落实、监督项目的环境保护工作，配备1名环境管理人员，环境管理的主要职责如下：</w:t>
            </w:r>
          </w:p>
          <w:p>
            <w:pPr>
              <w:pStyle w:val="13"/>
              <w:numPr>
                <w:numId w:val="0"/>
              </w:numPr>
              <w:ind w:firstLine="480" w:firstLineChars="200"/>
            </w:pPr>
            <w:r>
              <w:rPr>
                <w:rFonts w:hint="default" w:ascii="Times New Roman" w:hAnsi="Times New Roman" w:eastAsia="宋体" w:cs="Times New Roman"/>
                <w:color w:val="000000" w:themeColor="text1"/>
                <w:sz w:val="24"/>
                <w:szCs w:val="24"/>
                <w:lang w:val="en-US" w:eastAsia="zh-CN"/>
              </w:rPr>
              <w:fldChar w:fldCharType="begin"/>
            </w:r>
            <w:r>
              <w:rPr>
                <w:rFonts w:hint="default" w:ascii="Times New Roman" w:hAnsi="Times New Roman" w:eastAsia="宋体" w:cs="Times New Roman"/>
                <w:color w:val="000000" w:themeColor="text1"/>
                <w:sz w:val="24"/>
                <w:szCs w:val="24"/>
                <w:lang w:val="en-US" w:eastAsia="zh-CN"/>
              </w:rPr>
              <w:instrText xml:space="preserve"> = 1 \* GB3 \* MERGEFORMAT </w:instrText>
            </w:r>
            <w:r>
              <w:rPr>
                <w:rFonts w:hint="default" w:ascii="Times New Roman" w:hAnsi="Times New Roman" w:eastAsia="宋体" w:cs="Times New Roman"/>
                <w:color w:val="000000" w:themeColor="text1"/>
                <w:sz w:val="24"/>
                <w:szCs w:val="24"/>
                <w:lang w:val="en-US" w:eastAsia="zh-CN"/>
              </w:rPr>
              <w:fldChar w:fldCharType="separate"/>
            </w:r>
            <w:r>
              <w:rPr>
                <w:rFonts w:hint="default" w:ascii="Times New Roman" w:hAnsi="Times New Roman" w:eastAsia="宋体" w:cs="Times New Roman"/>
                <w:color w:val="000000" w:themeColor="text1"/>
                <w:sz w:val="24"/>
                <w:szCs w:val="24"/>
                <w:lang w:val="en-US" w:eastAsia="zh-CN"/>
              </w:rPr>
              <w:t>①</w:t>
            </w:r>
            <w:r>
              <w:rPr>
                <w:rFonts w:hint="default" w:ascii="Times New Roman" w:hAnsi="Times New Roman" w:eastAsia="宋体" w:cs="Times New Roman"/>
                <w:color w:val="000000" w:themeColor="text1"/>
                <w:sz w:val="24"/>
                <w:szCs w:val="24"/>
                <w:lang w:val="en-US" w:eastAsia="zh-CN"/>
              </w:rPr>
              <w:fldChar w:fldCharType="end"/>
            </w:r>
            <w:r>
              <w:rPr>
                <w:rFonts w:hint="eastAsia"/>
              </w:rPr>
              <w:t>贯彻执行国家、地方环境保护法规和政策；</w:t>
            </w:r>
          </w:p>
          <w:p>
            <w:pPr>
              <w:pStyle w:val="13"/>
              <w:numPr>
                <w:numId w:val="0"/>
              </w:numPr>
              <w:ind w:firstLine="480" w:firstLineChars="200"/>
            </w:pPr>
            <w:r>
              <w:rPr>
                <w:rFonts w:hint="default" w:ascii="Times New Roman" w:hAnsi="Times New Roman" w:eastAsia="宋体" w:cs="Times New Roman"/>
                <w:color w:val="000000" w:themeColor="text1"/>
                <w:sz w:val="24"/>
                <w:szCs w:val="24"/>
                <w:lang w:val="en-US" w:eastAsia="zh-CN"/>
              </w:rPr>
              <w:fldChar w:fldCharType="begin"/>
            </w:r>
            <w:r>
              <w:rPr>
                <w:rFonts w:hint="default" w:ascii="Times New Roman" w:hAnsi="Times New Roman" w:eastAsia="宋体" w:cs="Times New Roman"/>
                <w:color w:val="000000" w:themeColor="text1"/>
                <w:sz w:val="24"/>
                <w:szCs w:val="24"/>
                <w:lang w:val="en-US" w:eastAsia="zh-CN"/>
              </w:rPr>
              <w:instrText xml:space="preserve"> = 2 \* GB3 \* MERGEFORMAT </w:instrText>
            </w:r>
            <w:r>
              <w:rPr>
                <w:rFonts w:hint="default" w:ascii="Times New Roman" w:hAnsi="Times New Roman" w:eastAsia="宋体" w:cs="Times New Roman"/>
                <w:color w:val="000000" w:themeColor="text1"/>
                <w:sz w:val="24"/>
                <w:szCs w:val="24"/>
                <w:lang w:val="en-US" w:eastAsia="zh-CN"/>
              </w:rPr>
              <w:fldChar w:fldCharType="separate"/>
            </w:r>
            <w:r>
              <w:rPr>
                <w:rFonts w:hint="default" w:ascii="Times New Roman" w:hAnsi="Times New Roman" w:eastAsia="宋体" w:cs="Times New Roman"/>
                <w:color w:val="000000" w:themeColor="text1"/>
                <w:sz w:val="24"/>
                <w:szCs w:val="24"/>
                <w:lang w:val="en-US" w:eastAsia="zh-CN"/>
              </w:rPr>
              <w:t>②</w:t>
            </w:r>
            <w:r>
              <w:rPr>
                <w:rFonts w:hint="default" w:ascii="Times New Roman" w:hAnsi="Times New Roman" w:eastAsia="宋体" w:cs="Times New Roman"/>
                <w:color w:val="000000" w:themeColor="text1"/>
                <w:sz w:val="24"/>
                <w:szCs w:val="24"/>
                <w:lang w:val="en-US" w:eastAsia="zh-CN"/>
              </w:rPr>
              <w:fldChar w:fldCharType="end"/>
            </w:r>
            <w:r>
              <w:rPr>
                <w:rFonts w:hint="eastAsia"/>
              </w:rPr>
              <w:t>建立施工期各项环境保护规章制度并负责实施；</w:t>
            </w:r>
          </w:p>
          <w:p>
            <w:pPr>
              <w:pStyle w:val="13"/>
              <w:numPr>
                <w:numId w:val="0"/>
              </w:numPr>
              <w:ind w:firstLine="480" w:firstLineChars="200"/>
            </w:pPr>
            <w:r>
              <w:rPr>
                <w:rFonts w:hint="default" w:ascii="Times New Roman" w:hAnsi="Times New Roman" w:eastAsia="宋体" w:cs="Times New Roman"/>
                <w:color w:val="000000" w:themeColor="text1"/>
                <w:sz w:val="24"/>
                <w:szCs w:val="24"/>
                <w:lang w:val="en-US" w:eastAsia="zh-CN"/>
              </w:rPr>
              <w:fldChar w:fldCharType="begin"/>
            </w:r>
            <w:r>
              <w:rPr>
                <w:rFonts w:hint="default" w:ascii="Times New Roman" w:hAnsi="Times New Roman" w:eastAsia="宋体" w:cs="Times New Roman"/>
                <w:color w:val="000000" w:themeColor="text1"/>
                <w:sz w:val="24"/>
                <w:szCs w:val="24"/>
                <w:lang w:val="en-US" w:eastAsia="zh-CN"/>
              </w:rPr>
              <w:instrText xml:space="preserve"> = 3 \* GB3 \* MERGEFORMAT </w:instrText>
            </w:r>
            <w:r>
              <w:rPr>
                <w:rFonts w:hint="default" w:ascii="Times New Roman" w:hAnsi="Times New Roman" w:eastAsia="宋体" w:cs="Times New Roman"/>
                <w:color w:val="000000" w:themeColor="text1"/>
                <w:sz w:val="24"/>
                <w:szCs w:val="24"/>
                <w:lang w:val="en-US" w:eastAsia="zh-CN"/>
              </w:rPr>
              <w:fldChar w:fldCharType="separate"/>
            </w:r>
            <w:r>
              <w:rPr>
                <w:rFonts w:hint="default" w:ascii="Times New Roman" w:hAnsi="Times New Roman" w:eastAsia="宋体" w:cs="Times New Roman"/>
                <w:sz w:val="24"/>
                <w:szCs w:val="24"/>
              </w:rPr>
              <w:t>③</w:t>
            </w:r>
            <w:r>
              <w:rPr>
                <w:rFonts w:hint="default" w:ascii="Times New Roman" w:hAnsi="Times New Roman" w:eastAsia="宋体" w:cs="Times New Roman"/>
                <w:color w:val="000000" w:themeColor="text1"/>
                <w:sz w:val="24"/>
                <w:szCs w:val="24"/>
                <w:lang w:val="en-US" w:eastAsia="zh-CN"/>
              </w:rPr>
              <w:fldChar w:fldCharType="end"/>
            </w:r>
            <w:r>
              <w:rPr>
                <w:rFonts w:hint="eastAsia"/>
              </w:rPr>
              <w:t>在落实项目施工期环境保护措施要求的基础上，进一步优化污染防治措施。</w:t>
            </w:r>
          </w:p>
          <w:p>
            <w:pPr>
              <w:pStyle w:val="13"/>
              <w:numPr>
                <w:numId w:val="0"/>
              </w:numPr>
              <w:ind w:firstLine="480" w:firstLineChars="200"/>
            </w:pPr>
            <w:r>
              <w:rPr>
                <w:rFonts w:hint="default" w:ascii="Times New Roman" w:hAnsi="Times New Roman" w:eastAsia="宋体" w:cs="Times New Roman"/>
                <w:color w:val="000000" w:themeColor="text1"/>
                <w:sz w:val="24"/>
                <w:szCs w:val="24"/>
                <w:lang w:val="en-US" w:eastAsia="zh-CN"/>
              </w:rPr>
              <w:fldChar w:fldCharType="begin"/>
            </w:r>
            <w:r>
              <w:rPr>
                <w:rFonts w:hint="default" w:ascii="Times New Roman" w:hAnsi="Times New Roman" w:eastAsia="宋体" w:cs="Times New Roman"/>
                <w:color w:val="000000" w:themeColor="text1"/>
                <w:sz w:val="24"/>
                <w:szCs w:val="24"/>
                <w:lang w:val="en-US" w:eastAsia="zh-CN"/>
              </w:rPr>
              <w:instrText xml:space="preserve"> = 4 \* GB3 \* MERGEFORMAT </w:instrText>
            </w:r>
            <w:r>
              <w:rPr>
                <w:rFonts w:hint="default" w:ascii="Times New Roman" w:hAnsi="Times New Roman" w:eastAsia="宋体" w:cs="Times New Roman"/>
                <w:color w:val="000000" w:themeColor="text1"/>
                <w:sz w:val="24"/>
                <w:szCs w:val="24"/>
                <w:lang w:val="en-US" w:eastAsia="zh-CN"/>
              </w:rPr>
              <w:fldChar w:fldCharType="separate"/>
            </w:r>
            <w:r>
              <w:rPr>
                <w:rFonts w:hint="default" w:ascii="Times New Roman" w:hAnsi="Times New Roman" w:eastAsia="宋体" w:cs="Times New Roman"/>
                <w:sz w:val="24"/>
                <w:szCs w:val="24"/>
              </w:rPr>
              <w:t>④</w:t>
            </w:r>
            <w:r>
              <w:rPr>
                <w:rFonts w:hint="default" w:ascii="Times New Roman" w:hAnsi="Times New Roman" w:eastAsia="宋体" w:cs="Times New Roman"/>
                <w:color w:val="000000" w:themeColor="text1"/>
                <w:sz w:val="24"/>
                <w:szCs w:val="24"/>
                <w:lang w:val="en-US" w:eastAsia="zh-CN"/>
              </w:rPr>
              <w:fldChar w:fldCharType="end"/>
            </w:r>
            <w:r>
              <w:rPr>
                <w:rFonts w:hint="eastAsia"/>
              </w:rPr>
              <w:t>做好施工期环境保护宣传工作。</w:t>
            </w:r>
          </w:p>
          <w:p>
            <w:pPr>
              <w:pStyle w:val="13"/>
              <w:numPr>
                <w:numId w:val="0"/>
              </w:numPr>
              <w:ind w:firstLine="480" w:firstLineChars="200"/>
            </w:pPr>
            <w:r>
              <w:rPr>
                <w:rFonts w:hint="default" w:ascii="Times New Roman" w:hAnsi="Times New Roman" w:eastAsia="宋体" w:cs="Times New Roman"/>
                <w:color w:val="000000" w:themeColor="text1"/>
                <w:sz w:val="24"/>
                <w:szCs w:val="24"/>
                <w:lang w:val="en-US" w:eastAsia="zh-CN"/>
              </w:rPr>
              <w:fldChar w:fldCharType="begin"/>
            </w:r>
            <w:r>
              <w:rPr>
                <w:rFonts w:hint="default" w:ascii="Times New Roman" w:hAnsi="Times New Roman" w:eastAsia="宋体" w:cs="Times New Roman"/>
                <w:color w:val="000000" w:themeColor="text1"/>
                <w:sz w:val="24"/>
                <w:szCs w:val="24"/>
                <w:lang w:val="en-US" w:eastAsia="zh-CN"/>
              </w:rPr>
              <w:instrText xml:space="preserve"> = 5 \* GB3 \* MERGEFORMAT </w:instrText>
            </w:r>
            <w:r>
              <w:rPr>
                <w:rFonts w:hint="default" w:ascii="Times New Roman" w:hAnsi="Times New Roman" w:eastAsia="宋体" w:cs="Times New Roman"/>
                <w:color w:val="000000" w:themeColor="text1"/>
                <w:sz w:val="24"/>
                <w:szCs w:val="24"/>
                <w:lang w:val="en-US" w:eastAsia="zh-CN"/>
              </w:rPr>
              <w:fldChar w:fldCharType="separate"/>
            </w:r>
            <w:r>
              <w:rPr>
                <w:rFonts w:hint="default" w:ascii="Times New Roman" w:hAnsi="Times New Roman" w:eastAsia="宋体" w:cs="Times New Roman"/>
                <w:sz w:val="24"/>
                <w:szCs w:val="24"/>
              </w:rPr>
              <w:t>⑤</w:t>
            </w:r>
            <w:r>
              <w:rPr>
                <w:rFonts w:hint="default" w:ascii="Times New Roman" w:hAnsi="Times New Roman" w:eastAsia="宋体" w:cs="Times New Roman"/>
                <w:color w:val="000000" w:themeColor="text1"/>
                <w:sz w:val="24"/>
                <w:szCs w:val="24"/>
                <w:lang w:val="en-US" w:eastAsia="zh-CN"/>
              </w:rPr>
              <w:fldChar w:fldCharType="end"/>
            </w:r>
            <w:r>
              <w:rPr>
                <w:rFonts w:hint="eastAsia"/>
              </w:rPr>
              <w:t>检查施工期环境保护工作中的问题和不足，及时提出改进意见，维护公众利益。</w:t>
            </w:r>
          </w:p>
          <w:p>
            <w:pPr>
              <w:pStyle w:val="13"/>
              <w:numPr>
                <w:numId w:val="0"/>
              </w:numPr>
              <w:ind w:firstLine="480" w:firstLineChars="200"/>
            </w:pPr>
            <w:r>
              <w:rPr>
                <w:rFonts w:hint="default" w:ascii="Times New Roman" w:hAnsi="Times New Roman" w:eastAsia="宋体" w:cs="Times New Roman"/>
                <w:color w:val="000000" w:themeColor="text1"/>
                <w:sz w:val="24"/>
                <w:szCs w:val="24"/>
                <w:lang w:val="en-US" w:eastAsia="zh-CN"/>
              </w:rPr>
              <w:fldChar w:fldCharType="begin"/>
            </w:r>
            <w:r>
              <w:rPr>
                <w:rFonts w:hint="default" w:ascii="Times New Roman" w:hAnsi="Times New Roman" w:eastAsia="宋体" w:cs="Times New Roman"/>
                <w:color w:val="000000" w:themeColor="text1"/>
                <w:sz w:val="24"/>
                <w:szCs w:val="24"/>
                <w:lang w:val="en-US" w:eastAsia="zh-CN"/>
              </w:rPr>
              <w:instrText xml:space="preserve"> = 6 \* GB3 \* MERGEFORMAT </w:instrText>
            </w:r>
            <w:r>
              <w:rPr>
                <w:rFonts w:hint="default" w:ascii="Times New Roman" w:hAnsi="Times New Roman" w:eastAsia="宋体" w:cs="Times New Roman"/>
                <w:color w:val="000000" w:themeColor="text1"/>
                <w:sz w:val="24"/>
                <w:szCs w:val="24"/>
                <w:lang w:val="en-US" w:eastAsia="zh-CN"/>
              </w:rPr>
              <w:fldChar w:fldCharType="separate"/>
            </w:r>
            <w:r>
              <w:rPr>
                <w:rFonts w:hint="default" w:ascii="Times New Roman" w:hAnsi="Times New Roman" w:eastAsia="宋体" w:cs="Times New Roman"/>
                <w:sz w:val="24"/>
                <w:szCs w:val="24"/>
              </w:rPr>
              <w:t>⑥</w:t>
            </w:r>
            <w:r>
              <w:rPr>
                <w:rFonts w:hint="default" w:ascii="Times New Roman" w:hAnsi="Times New Roman" w:eastAsia="宋体" w:cs="Times New Roman"/>
                <w:color w:val="000000" w:themeColor="text1"/>
                <w:sz w:val="24"/>
                <w:szCs w:val="24"/>
                <w:lang w:val="en-US" w:eastAsia="zh-CN"/>
              </w:rPr>
              <w:fldChar w:fldCharType="end"/>
            </w:r>
            <w:r>
              <w:rPr>
                <w:rFonts w:hint="eastAsia"/>
              </w:rPr>
              <w:t>如实落实好各项环保措施，严格按照“三同时”制度要求，负责监督施工单位对环保设施的实施情况</w:t>
            </w:r>
          </w:p>
          <w:p>
            <w:pPr>
              <w:pStyle w:val="13"/>
              <w:ind w:firstLine="480"/>
            </w:pPr>
            <w:r>
              <w:rPr>
                <w:rFonts w:hint="eastAsia"/>
              </w:rPr>
              <w:t>项目施工期环境管理要去见表5.1。</w:t>
            </w:r>
          </w:p>
          <w:p>
            <w:pPr>
              <w:pStyle w:val="21"/>
            </w:pPr>
            <w:r>
              <w:rPr>
                <w:rFonts w:hint="eastAsia"/>
              </w:rPr>
              <w:t>表5.1  项目施工期环境管理要求</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091"/>
              <w:gridCol w:w="6163"/>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pStyle w:val="20"/>
                    <w:widowControl w:val="0"/>
                  </w:pPr>
                  <w:r>
                    <w:rPr>
                      <w:rFonts w:hint="eastAsia"/>
                    </w:rPr>
                    <w:t>阶段</w:t>
                  </w:r>
                </w:p>
              </w:tc>
              <w:tc>
                <w:tcPr>
                  <w:tcW w:w="1091" w:type="dxa"/>
                  <w:vAlign w:val="center"/>
                </w:tcPr>
                <w:p>
                  <w:pPr>
                    <w:pStyle w:val="20"/>
                    <w:widowControl w:val="0"/>
                  </w:pPr>
                  <w:r>
                    <w:rPr>
                      <w:rFonts w:hint="eastAsia"/>
                    </w:rPr>
                    <w:t>环境问题</w:t>
                  </w:r>
                </w:p>
              </w:tc>
              <w:tc>
                <w:tcPr>
                  <w:tcW w:w="6163" w:type="dxa"/>
                  <w:vAlign w:val="center"/>
                </w:tcPr>
                <w:p>
                  <w:pPr>
                    <w:pStyle w:val="20"/>
                    <w:widowControl w:val="0"/>
                  </w:pPr>
                  <w:r>
                    <w:rPr>
                      <w:rFonts w:hint="eastAsia"/>
                    </w:rPr>
                    <w:t>环境管理要求</w:t>
                  </w:r>
                </w:p>
              </w:tc>
              <w:tc>
                <w:tcPr>
                  <w:tcW w:w="1090" w:type="dxa"/>
                  <w:vAlign w:val="center"/>
                </w:tcPr>
                <w:p>
                  <w:pPr>
                    <w:pStyle w:val="20"/>
                    <w:widowControl w:val="0"/>
                  </w:pPr>
                  <w:r>
                    <w:rPr>
                      <w:rFonts w:hint="eastAsia"/>
                    </w:rPr>
                    <w:t>实施机构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Merge w:val="restart"/>
                  <w:vAlign w:val="center"/>
                </w:tcPr>
                <w:p>
                  <w:pPr>
                    <w:pStyle w:val="20"/>
                    <w:widowControl w:val="0"/>
                  </w:pPr>
                  <w:r>
                    <w:rPr>
                      <w:rFonts w:hint="eastAsia"/>
                    </w:rPr>
                    <w:t>施</w:t>
                  </w:r>
                </w:p>
                <w:p>
                  <w:pPr>
                    <w:pStyle w:val="20"/>
                    <w:widowControl w:val="0"/>
                  </w:pPr>
                  <w:r>
                    <w:rPr>
                      <w:rFonts w:hint="eastAsia"/>
                    </w:rPr>
                    <w:t>工</w:t>
                  </w:r>
                </w:p>
                <w:p>
                  <w:pPr>
                    <w:pStyle w:val="20"/>
                    <w:widowControl w:val="0"/>
                  </w:pPr>
                  <w:r>
                    <w:rPr>
                      <w:rFonts w:hint="eastAsia"/>
                    </w:rPr>
                    <w:t>期</w:t>
                  </w:r>
                </w:p>
              </w:tc>
              <w:tc>
                <w:tcPr>
                  <w:tcW w:w="1091" w:type="dxa"/>
                  <w:vAlign w:val="center"/>
                </w:tcPr>
                <w:p>
                  <w:pPr>
                    <w:pStyle w:val="20"/>
                    <w:widowControl w:val="0"/>
                  </w:pPr>
                  <w:r>
                    <w:rPr>
                      <w:rFonts w:hint="eastAsia"/>
                    </w:rPr>
                    <w:t>生态保护</w:t>
                  </w:r>
                </w:p>
              </w:tc>
              <w:tc>
                <w:tcPr>
                  <w:tcW w:w="6163" w:type="dxa"/>
                  <w:vAlign w:val="center"/>
                </w:tcPr>
                <w:p>
                  <w:pPr>
                    <w:pStyle w:val="20"/>
                    <w:widowControl w:val="0"/>
                    <w:jc w:val="both"/>
                  </w:pPr>
                  <w:r>
                    <w:rPr>
                      <w:rFonts w:hint="eastAsia"/>
                    </w:rPr>
                    <w:t>1.优化施工布置及施工方案，严格控制施工作业范围，缩小施工人员活动区域，禁止随意破坏自然植被、采摘野生植物。</w:t>
                  </w:r>
                </w:p>
                <w:p>
                  <w:pPr>
                    <w:pStyle w:val="20"/>
                    <w:widowControl w:val="0"/>
                    <w:jc w:val="both"/>
                  </w:pPr>
                  <w:r>
                    <w:rPr>
                      <w:rFonts w:hint="eastAsia"/>
                    </w:rPr>
                    <w:t>2.项目管道建设属于线性工程，里程较大，在采取分段施工的基础上，采取边开挖边恢复的措施，即开挖土方及时回填，进行平整后恢复植被，植被恢复选择耐瘠薄、耐寒、耐旱、根系发达、抗病虫害的草种，环评要求种植植被的覆盖度与施工前基本一致。</w:t>
                  </w:r>
                </w:p>
                <w:p>
                  <w:pPr>
                    <w:pStyle w:val="20"/>
                    <w:widowControl w:val="0"/>
                    <w:jc w:val="both"/>
                  </w:pPr>
                  <w:r>
                    <w:rPr>
                      <w:rFonts w:hint="eastAsia"/>
                    </w:rPr>
                    <w:t>3.施工占地存在草皮的区域，先剥离土壤与草皮并妥善保存，用于施工完成后临时占地区域的覆土和植被重建。</w:t>
                  </w:r>
                </w:p>
                <w:p>
                  <w:pPr>
                    <w:pStyle w:val="20"/>
                    <w:widowControl w:val="0"/>
                    <w:jc w:val="both"/>
                  </w:pPr>
                  <w:r>
                    <w:rPr>
                      <w:rFonts w:hint="eastAsia"/>
                    </w:rPr>
                    <w:t>4.施工前对施工人员进行宣传教育，提高施工人员的保护意识，严禁施工人员围猎、抓捕、伤害野生动物。</w:t>
                  </w:r>
                </w:p>
                <w:p>
                  <w:pPr>
                    <w:pStyle w:val="20"/>
                    <w:widowControl w:val="0"/>
                    <w:jc w:val="both"/>
                  </w:pPr>
                  <w:r>
                    <w:rPr>
                      <w:rFonts w:hint="eastAsia"/>
                    </w:rPr>
                    <w:t>5.项目施工营地地表现状为砂石地面，施工结束后施工营地帐篷及时拆除，生活垃圾及建材余料及时清运，对场地进行恢复平整。</w:t>
                  </w:r>
                </w:p>
              </w:tc>
              <w:tc>
                <w:tcPr>
                  <w:tcW w:w="1090" w:type="dxa"/>
                  <w:vMerge w:val="restart"/>
                  <w:vAlign w:val="center"/>
                </w:tcPr>
                <w:p>
                  <w:pPr>
                    <w:pStyle w:val="20"/>
                    <w:widowControl w:val="0"/>
                  </w:pPr>
                  <w:r>
                    <w:rPr>
                      <w:rFonts w:hint="eastAsia"/>
                    </w:rPr>
                    <w:t>建设单位</w:t>
                  </w:r>
                </w:p>
                <w:p>
                  <w:pPr>
                    <w:pStyle w:val="20"/>
                    <w:widowControl w:val="0"/>
                  </w:pPr>
                </w:p>
                <w:p>
                  <w:pPr>
                    <w:pStyle w:val="20"/>
                    <w:widowControl w:val="0"/>
                  </w:pPr>
                  <w:r>
                    <w:rPr>
                      <w:rFonts w:hint="eastAsia"/>
                    </w:rPr>
                    <w:t>施工单位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Merge w:val="continue"/>
                  <w:vAlign w:val="center"/>
                </w:tcPr>
                <w:p>
                  <w:pPr>
                    <w:pStyle w:val="20"/>
                    <w:widowControl w:val="0"/>
                  </w:pPr>
                </w:p>
              </w:tc>
              <w:tc>
                <w:tcPr>
                  <w:tcW w:w="1091" w:type="dxa"/>
                  <w:vAlign w:val="center"/>
                </w:tcPr>
                <w:p>
                  <w:pPr>
                    <w:pStyle w:val="20"/>
                    <w:widowControl w:val="0"/>
                  </w:pPr>
                  <w:r>
                    <w:rPr>
                      <w:rFonts w:hint="eastAsia"/>
                    </w:rPr>
                    <w:t>大气污染</w:t>
                  </w:r>
                </w:p>
              </w:tc>
              <w:tc>
                <w:tcPr>
                  <w:tcW w:w="6163" w:type="dxa"/>
                  <w:vAlign w:val="center"/>
                </w:tcPr>
                <w:p>
                  <w:pPr>
                    <w:pStyle w:val="20"/>
                    <w:widowControl w:val="0"/>
                    <w:numPr>
                      <w:ilvl w:val="0"/>
                      <w:numId w:val="6"/>
                    </w:numPr>
                    <w:jc w:val="both"/>
                  </w:pPr>
                  <w:r>
                    <w:rPr>
                      <w:rFonts w:hint="eastAsia"/>
                    </w:rPr>
                    <w:t>运输车辆禁止过载，顶部篷布遮盖</w:t>
                  </w:r>
                </w:p>
                <w:p>
                  <w:pPr>
                    <w:pStyle w:val="20"/>
                    <w:widowControl w:val="0"/>
                    <w:numPr>
                      <w:ilvl w:val="0"/>
                      <w:numId w:val="6"/>
                    </w:numPr>
                    <w:jc w:val="both"/>
                  </w:pPr>
                  <w:r>
                    <w:rPr>
                      <w:rFonts w:hint="eastAsia"/>
                    </w:rPr>
                    <w:t>砂石料等建筑材料分别集中堆存，顶部用密目网遮盖，</w:t>
                  </w:r>
                </w:p>
                <w:p>
                  <w:pPr>
                    <w:pStyle w:val="20"/>
                    <w:widowControl w:val="0"/>
                    <w:numPr>
                      <w:ilvl w:val="0"/>
                      <w:numId w:val="6"/>
                    </w:numPr>
                    <w:jc w:val="both"/>
                  </w:pPr>
                  <w:r>
                    <w:rPr>
                      <w:rFonts w:hint="eastAsia"/>
                    </w:rPr>
                    <w:t>项目管道工程分段施工，开挖土石方沿线收边堆存；</w:t>
                  </w:r>
                </w:p>
                <w:p>
                  <w:pPr>
                    <w:pStyle w:val="20"/>
                    <w:widowControl w:val="0"/>
                    <w:numPr>
                      <w:ilvl w:val="0"/>
                      <w:numId w:val="6"/>
                    </w:numPr>
                    <w:jc w:val="both"/>
                  </w:pPr>
                  <w:r>
                    <w:rPr>
                      <w:rFonts w:hint="eastAsia"/>
                    </w:rPr>
                    <w:t>施工营地、运输道路、以及土方堆存区定期洒水降尘。</w:t>
                  </w:r>
                </w:p>
              </w:tc>
              <w:tc>
                <w:tcPr>
                  <w:tcW w:w="1090" w:type="dxa"/>
                  <w:vMerge w:val="continue"/>
                  <w:vAlign w:val="center"/>
                </w:tcPr>
                <w:p>
                  <w:pPr>
                    <w:pStyle w:val="20"/>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Merge w:val="continue"/>
                  <w:vAlign w:val="center"/>
                </w:tcPr>
                <w:p>
                  <w:pPr>
                    <w:pStyle w:val="20"/>
                    <w:widowControl w:val="0"/>
                  </w:pPr>
                </w:p>
              </w:tc>
              <w:tc>
                <w:tcPr>
                  <w:tcW w:w="1091" w:type="dxa"/>
                  <w:vAlign w:val="center"/>
                </w:tcPr>
                <w:p>
                  <w:pPr>
                    <w:pStyle w:val="20"/>
                    <w:widowControl w:val="0"/>
                  </w:pPr>
                  <w:r>
                    <w:rPr>
                      <w:rFonts w:hint="eastAsia"/>
                    </w:rPr>
                    <w:t>水污染</w:t>
                  </w:r>
                </w:p>
              </w:tc>
              <w:tc>
                <w:tcPr>
                  <w:tcW w:w="6163" w:type="dxa"/>
                  <w:vAlign w:val="center"/>
                </w:tcPr>
                <w:p>
                  <w:pPr>
                    <w:pStyle w:val="20"/>
                    <w:widowControl w:val="0"/>
                    <w:numPr>
                      <w:ilvl w:val="0"/>
                      <w:numId w:val="7"/>
                    </w:numPr>
                    <w:jc w:val="both"/>
                  </w:pPr>
                  <w:r>
                    <w:rPr>
                      <w:rFonts w:hint="eastAsia"/>
                    </w:rPr>
                    <w:t>基坑积水用于工程沿线洒水降尘；</w:t>
                  </w:r>
                </w:p>
                <w:p>
                  <w:pPr>
                    <w:pStyle w:val="20"/>
                    <w:widowControl w:val="0"/>
                    <w:numPr>
                      <w:ilvl w:val="0"/>
                      <w:numId w:val="7"/>
                    </w:numPr>
                    <w:jc w:val="both"/>
                  </w:pPr>
                  <w:r>
                    <w:rPr>
                      <w:rFonts w:hint="eastAsia"/>
                    </w:rPr>
                    <w:t>加强施工机械设备的维修保养，禁止在河道内冲洗机械设备；</w:t>
                  </w:r>
                </w:p>
                <w:p>
                  <w:pPr>
                    <w:pStyle w:val="20"/>
                    <w:widowControl w:val="0"/>
                    <w:numPr>
                      <w:ilvl w:val="0"/>
                      <w:numId w:val="7"/>
                    </w:numPr>
                    <w:jc w:val="both"/>
                  </w:pPr>
                  <w:r>
                    <w:rPr>
                      <w:rFonts w:hint="eastAsia"/>
                    </w:rPr>
                    <w:t>生活污水中洗漱废水经收集后用于场地洒水降尘，施工人员使用就近的农户旱厕；</w:t>
                  </w:r>
                </w:p>
                <w:p>
                  <w:pPr>
                    <w:pStyle w:val="20"/>
                    <w:widowControl w:val="0"/>
                    <w:numPr>
                      <w:ilvl w:val="0"/>
                      <w:numId w:val="7"/>
                    </w:numPr>
                    <w:jc w:val="both"/>
                  </w:pPr>
                  <w:r>
                    <w:rPr>
                      <w:rFonts w:hint="eastAsia"/>
                    </w:rPr>
                    <w:t>机械设备及运输车辆冲洗废水经收集后用于施工营地及附近运输道路的洒水降尘。</w:t>
                  </w:r>
                </w:p>
              </w:tc>
              <w:tc>
                <w:tcPr>
                  <w:tcW w:w="1090" w:type="dxa"/>
                  <w:vMerge w:val="continue"/>
                  <w:vAlign w:val="center"/>
                </w:tcPr>
                <w:p>
                  <w:pPr>
                    <w:pStyle w:val="20"/>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Merge w:val="continue"/>
                  <w:vAlign w:val="center"/>
                </w:tcPr>
                <w:p>
                  <w:pPr>
                    <w:pStyle w:val="20"/>
                    <w:widowControl w:val="0"/>
                  </w:pPr>
                </w:p>
              </w:tc>
              <w:tc>
                <w:tcPr>
                  <w:tcW w:w="1091" w:type="dxa"/>
                  <w:vAlign w:val="center"/>
                </w:tcPr>
                <w:p>
                  <w:pPr>
                    <w:pStyle w:val="20"/>
                    <w:widowControl w:val="0"/>
                  </w:pPr>
                  <w:r>
                    <w:rPr>
                      <w:rFonts w:hint="eastAsia"/>
                    </w:rPr>
                    <w:t>噪声</w:t>
                  </w:r>
                </w:p>
              </w:tc>
              <w:tc>
                <w:tcPr>
                  <w:tcW w:w="6163" w:type="dxa"/>
                  <w:vAlign w:val="center"/>
                </w:tcPr>
                <w:p>
                  <w:pPr>
                    <w:pStyle w:val="20"/>
                    <w:widowControl w:val="0"/>
                    <w:jc w:val="both"/>
                  </w:pPr>
                  <w:r>
                    <w:rPr>
                      <w:rFonts w:hint="eastAsia"/>
                    </w:rPr>
                    <w:t>1.选用低噪声设备，施工机械设备定期维修保养；</w:t>
                  </w:r>
                </w:p>
                <w:p>
                  <w:pPr>
                    <w:pStyle w:val="20"/>
                    <w:widowControl w:val="0"/>
                    <w:jc w:val="both"/>
                  </w:pPr>
                  <w:r>
                    <w:rPr>
                      <w:rFonts w:hint="eastAsia"/>
                    </w:rPr>
                    <w:t>2.禁止</w:t>
                  </w:r>
                  <w:r>
                    <w:t>夜间（夜间22：00至次日6：00）进行施工</w:t>
                  </w:r>
                  <w:r>
                    <w:rPr>
                      <w:rFonts w:hint="eastAsia"/>
                    </w:rPr>
                    <w:t>，禁止施工用地在夜间运行各类设备。</w:t>
                  </w:r>
                </w:p>
              </w:tc>
              <w:tc>
                <w:tcPr>
                  <w:tcW w:w="1090" w:type="dxa"/>
                  <w:vMerge w:val="continue"/>
                  <w:vAlign w:val="center"/>
                </w:tcPr>
                <w:p>
                  <w:pPr>
                    <w:pStyle w:val="20"/>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Merge w:val="continue"/>
                  <w:vAlign w:val="center"/>
                </w:tcPr>
                <w:p>
                  <w:pPr>
                    <w:pStyle w:val="20"/>
                    <w:widowControl w:val="0"/>
                  </w:pPr>
                </w:p>
              </w:tc>
              <w:tc>
                <w:tcPr>
                  <w:tcW w:w="1091" w:type="dxa"/>
                  <w:vAlign w:val="center"/>
                </w:tcPr>
                <w:p>
                  <w:pPr>
                    <w:pStyle w:val="20"/>
                    <w:widowControl w:val="0"/>
                  </w:pPr>
                  <w:r>
                    <w:rPr>
                      <w:rFonts w:hint="eastAsia"/>
                    </w:rPr>
                    <w:t>固体废物</w:t>
                  </w:r>
                </w:p>
              </w:tc>
              <w:tc>
                <w:tcPr>
                  <w:tcW w:w="6163" w:type="dxa"/>
                  <w:vAlign w:val="center"/>
                </w:tcPr>
                <w:p>
                  <w:pPr>
                    <w:pStyle w:val="20"/>
                    <w:widowControl w:val="0"/>
                    <w:jc w:val="both"/>
                  </w:pPr>
                  <w:r>
                    <w:rPr>
                      <w:rFonts w:hint="eastAsia"/>
                    </w:rPr>
                    <w:t>1.项目开挖的土石方在管沟沿线及构筑物基础旁暂存，回填使用，不产生弃方。</w:t>
                  </w:r>
                </w:p>
                <w:p>
                  <w:pPr>
                    <w:pStyle w:val="20"/>
                    <w:widowControl w:val="0"/>
                    <w:jc w:val="both"/>
                  </w:pPr>
                  <w:r>
                    <w:rPr>
                      <w:rFonts w:hint="eastAsia"/>
                    </w:rPr>
                    <w:t>2.旧PVC管材经收集后由项目周围农户资源化利用；废砖块、砂石渣等经收集后就近用作村内道路坑洼处填铺。</w:t>
                  </w:r>
                </w:p>
                <w:p>
                  <w:pPr>
                    <w:pStyle w:val="20"/>
                    <w:widowControl w:val="0"/>
                    <w:jc w:val="both"/>
                  </w:pPr>
                  <w:r>
                    <w:rPr>
                      <w:rFonts w:hint="eastAsia"/>
                    </w:rPr>
                    <w:t>3.项目施工期人员生活垃圾经收集后运至村民生活垃圾收集点，最终清运至生活垃圾填埋场处置。</w:t>
                  </w:r>
                </w:p>
              </w:tc>
              <w:tc>
                <w:tcPr>
                  <w:tcW w:w="1090" w:type="dxa"/>
                  <w:vMerge w:val="continue"/>
                  <w:vAlign w:val="center"/>
                </w:tcPr>
                <w:p>
                  <w:pPr>
                    <w:pStyle w:val="20"/>
                    <w:widowControl w:val="0"/>
                  </w:pPr>
                </w:p>
              </w:tc>
            </w:tr>
          </w:tbl>
          <w:p>
            <w:pPr>
              <w:pStyle w:val="4"/>
            </w:pPr>
            <w:r>
              <w:rPr>
                <w:rFonts w:hint="eastAsia"/>
              </w:rPr>
              <w:t>8.2环境监测计划</w:t>
            </w:r>
          </w:p>
          <w:p>
            <w:pPr>
              <w:pStyle w:val="13"/>
              <w:ind w:firstLine="480"/>
            </w:pPr>
            <w:r>
              <w:rPr>
                <w:rFonts w:hint="eastAsia"/>
              </w:rPr>
              <w:t>本项目为灌渠工程，运营期间除了灌溉回归水外，无废气、废水、噪声和固废等产生及排放，因此本次环评不再罗列污染物排放清单。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1" w:hRule="atLeast"/>
          <w:jc w:val="center"/>
        </w:trPr>
        <w:tc>
          <w:tcPr>
            <w:tcW w:w="359" w:type="pct"/>
            <w:vAlign w:val="center"/>
          </w:tcPr>
          <w:p>
            <w:pPr>
              <w:jc w:val="center"/>
            </w:pPr>
            <w:r>
              <w:rPr>
                <w:rFonts w:hint="eastAsia"/>
              </w:rPr>
              <w:t>环保投资</w:t>
            </w:r>
          </w:p>
        </w:tc>
        <w:tc>
          <w:tcPr>
            <w:tcW w:w="4640" w:type="pct"/>
          </w:tcPr>
          <w:p>
            <w:pPr>
              <w:pStyle w:val="3"/>
            </w:pPr>
            <w:r>
              <w:rPr>
                <w:rFonts w:hint="eastAsia"/>
              </w:rPr>
              <w:t>9环保投资估算</w:t>
            </w:r>
          </w:p>
          <w:p>
            <w:pPr>
              <w:pStyle w:val="13"/>
              <w:ind w:firstLine="480"/>
            </w:pPr>
            <w:r>
              <w:t>项目总投资为</w:t>
            </w:r>
            <w:r>
              <w:rPr>
                <w:rFonts w:hint="eastAsia"/>
              </w:rPr>
              <w:t>490</w:t>
            </w:r>
            <w:r>
              <w:t>万元，其中环保投资为</w:t>
            </w:r>
            <w:r>
              <w:rPr>
                <w:rFonts w:hint="eastAsia"/>
              </w:rPr>
              <w:t>23.7</w:t>
            </w:r>
            <w:r>
              <w:t>万元，占工程总投资的</w:t>
            </w:r>
            <w:r>
              <w:rPr>
                <w:rFonts w:hint="eastAsia"/>
              </w:rPr>
              <w:t>4.84</w:t>
            </w:r>
            <w:r>
              <w:t>%，具体环保投资详见下表</w:t>
            </w:r>
            <w:r>
              <w:rPr>
                <w:rFonts w:hint="eastAsia"/>
              </w:rPr>
              <w:t>：</w:t>
            </w:r>
          </w:p>
          <w:p>
            <w:pPr>
              <w:pStyle w:val="21"/>
              <w:tabs>
                <w:tab w:val="left" w:pos="2224"/>
                <w:tab w:val="center" w:pos="4685"/>
                <w:tab w:val="left" w:pos="8640"/>
              </w:tabs>
              <w:jc w:val="left"/>
            </w:pPr>
            <w:r>
              <w:rPr>
                <w:rFonts w:hint="eastAsia"/>
              </w:rPr>
              <w:tab/>
            </w:r>
            <w:r>
              <w:rPr>
                <w:rFonts w:hint="eastAsia"/>
              </w:rPr>
              <w:tab/>
            </w:r>
            <w:r>
              <w:rPr>
                <w:rFonts w:hint="eastAsia"/>
              </w:rPr>
              <w:t>表5.2</w:t>
            </w:r>
            <w:r>
              <w:t xml:space="preserve">  环保投资一览表</w:t>
            </w:r>
            <w:r>
              <w:rPr>
                <w:rFonts w:hint="eastAsia"/>
              </w:rPr>
              <w:t xml:space="preserve">          单位：万元</w:t>
            </w:r>
          </w:p>
          <w:tbl>
            <w:tblPr>
              <w:tblStyle w:val="14"/>
              <w:tblW w:w="496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59"/>
              <w:gridCol w:w="1155"/>
              <w:gridCol w:w="5289"/>
              <w:gridCol w:w="1207"/>
              <w:gridCol w:w="90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6" w:hRule="atLeast"/>
                <w:jc w:val="center"/>
              </w:trPr>
              <w:tc>
                <w:tcPr>
                  <w:tcW w:w="358" w:type="pct"/>
                  <w:tcBorders>
                    <w:top w:val="single" w:color="auto" w:sz="8" w:space="0"/>
                    <w:left w:val="single" w:color="auto" w:sz="8" w:space="0"/>
                    <w:bottom w:val="single" w:color="auto" w:sz="8" w:space="0"/>
                    <w:right w:val="single" w:color="auto" w:sz="8" w:space="0"/>
                  </w:tcBorders>
                  <w:vAlign w:val="center"/>
                </w:tcPr>
                <w:p>
                  <w:pPr>
                    <w:pStyle w:val="20"/>
                  </w:pPr>
                  <w:r>
                    <w:t>类别</w:t>
                  </w:r>
                </w:p>
              </w:tc>
              <w:tc>
                <w:tcPr>
                  <w:tcW w:w="627" w:type="pct"/>
                  <w:tcBorders>
                    <w:top w:val="single" w:color="auto" w:sz="8" w:space="0"/>
                    <w:left w:val="single" w:color="auto" w:sz="8" w:space="0"/>
                    <w:bottom w:val="single" w:color="auto" w:sz="8" w:space="0"/>
                    <w:right w:val="single" w:color="auto" w:sz="8" w:space="0"/>
                  </w:tcBorders>
                  <w:vAlign w:val="center"/>
                </w:tcPr>
                <w:p>
                  <w:pPr>
                    <w:pStyle w:val="20"/>
                  </w:pPr>
                  <w:r>
                    <w:t>污染物</w:t>
                  </w:r>
                </w:p>
              </w:tc>
              <w:tc>
                <w:tcPr>
                  <w:tcW w:w="2870" w:type="pct"/>
                  <w:tcBorders>
                    <w:top w:val="single" w:color="auto" w:sz="8" w:space="0"/>
                    <w:left w:val="single" w:color="auto" w:sz="8" w:space="0"/>
                    <w:bottom w:val="single" w:color="auto" w:sz="8" w:space="0"/>
                    <w:right w:val="single" w:color="auto" w:sz="8" w:space="0"/>
                  </w:tcBorders>
                  <w:vAlign w:val="center"/>
                </w:tcPr>
                <w:p>
                  <w:pPr>
                    <w:pStyle w:val="20"/>
                  </w:pPr>
                  <w:r>
                    <w:t>环保设施/措施</w:t>
                  </w:r>
                </w:p>
              </w:tc>
              <w:tc>
                <w:tcPr>
                  <w:tcW w:w="655" w:type="pct"/>
                  <w:tcBorders>
                    <w:top w:val="single" w:color="auto" w:sz="8" w:space="0"/>
                    <w:left w:val="single" w:color="auto" w:sz="8" w:space="0"/>
                    <w:bottom w:val="single" w:color="auto" w:sz="8" w:space="0"/>
                    <w:right w:val="single" w:color="auto" w:sz="8" w:space="0"/>
                  </w:tcBorders>
                  <w:vAlign w:val="center"/>
                </w:tcPr>
                <w:p>
                  <w:pPr>
                    <w:pStyle w:val="20"/>
                  </w:pPr>
                  <w:r>
                    <w:t>投资估算</w:t>
                  </w:r>
                </w:p>
              </w:tc>
              <w:tc>
                <w:tcPr>
                  <w:tcW w:w="489" w:type="pct"/>
                  <w:tcBorders>
                    <w:top w:val="single" w:color="auto" w:sz="8" w:space="0"/>
                    <w:left w:val="single" w:color="auto" w:sz="8" w:space="0"/>
                    <w:bottom w:val="single" w:color="auto" w:sz="8" w:space="0"/>
                    <w:right w:val="single" w:color="auto" w:sz="8" w:space="0"/>
                  </w:tcBorders>
                  <w:vAlign w:val="center"/>
                </w:tcPr>
                <w:p>
                  <w:pPr>
                    <w:pStyle w:val="20"/>
                  </w:pPr>
                  <w: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0" w:hRule="atLeast"/>
                <w:jc w:val="center"/>
              </w:trPr>
              <w:tc>
                <w:tcPr>
                  <w:tcW w:w="358" w:type="pct"/>
                  <w:tcBorders>
                    <w:top w:val="single" w:color="auto" w:sz="8" w:space="0"/>
                    <w:left w:val="single" w:color="auto" w:sz="8" w:space="0"/>
                    <w:bottom w:val="single" w:color="auto" w:sz="8" w:space="0"/>
                    <w:right w:val="single" w:color="auto" w:sz="8" w:space="0"/>
                  </w:tcBorders>
                  <w:vAlign w:val="center"/>
                </w:tcPr>
                <w:p>
                  <w:pPr>
                    <w:pStyle w:val="20"/>
                  </w:pPr>
                  <w:r>
                    <w:t>废气</w:t>
                  </w:r>
                </w:p>
              </w:tc>
              <w:tc>
                <w:tcPr>
                  <w:tcW w:w="627" w:type="pct"/>
                  <w:tcBorders>
                    <w:top w:val="single" w:color="auto" w:sz="8" w:space="0"/>
                    <w:left w:val="single" w:color="auto" w:sz="8" w:space="0"/>
                    <w:bottom w:val="single" w:color="auto" w:sz="8" w:space="0"/>
                    <w:right w:val="single" w:color="auto" w:sz="8" w:space="0"/>
                  </w:tcBorders>
                  <w:vAlign w:val="center"/>
                </w:tcPr>
                <w:p>
                  <w:pPr>
                    <w:pStyle w:val="20"/>
                  </w:pPr>
                  <w:r>
                    <w:rPr>
                      <w:rFonts w:hint="eastAsia"/>
                    </w:rPr>
                    <w:t>施工</w:t>
                  </w:r>
                  <w:r>
                    <w:t>扬尘</w:t>
                  </w:r>
                </w:p>
              </w:tc>
              <w:tc>
                <w:tcPr>
                  <w:tcW w:w="2870" w:type="pct"/>
                  <w:tcBorders>
                    <w:top w:val="single" w:color="auto" w:sz="8" w:space="0"/>
                    <w:left w:val="single" w:color="auto" w:sz="8" w:space="0"/>
                    <w:bottom w:val="single" w:color="auto" w:sz="8" w:space="0"/>
                    <w:right w:val="single" w:color="auto" w:sz="8" w:space="0"/>
                  </w:tcBorders>
                  <w:vAlign w:val="center"/>
                </w:tcPr>
                <w:p>
                  <w:pPr>
                    <w:pStyle w:val="20"/>
                    <w:jc w:val="both"/>
                  </w:pPr>
                  <w:r>
                    <w:rPr>
                      <w:rFonts w:hint="eastAsia"/>
                    </w:rPr>
                    <w:t>1.项目施工营地设置围挡，建筑料集中且密目网遮盖；</w:t>
                  </w:r>
                </w:p>
                <w:p>
                  <w:pPr>
                    <w:pStyle w:val="20"/>
                    <w:jc w:val="both"/>
                  </w:pPr>
                  <w:r>
                    <w:rPr>
                      <w:rFonts w:hint="eastAsia"/>
                    </w:rPr>
                    <w:t>2.施工营地及临时道路不定期洒水；</w:t>
                  </w:r>
                </w:p>
                <w:p>
                  <w:pPr>
                    <w:pStyle w:val="20"/>
                    <w:jc w:val="both"/>
                  </w:pPr>
                  <w:r>
                    <w:rPr>
                      <w:rFonts w:hint="eastAsia"/>
                    </w:rPr>
                    <w:t>3.</w:t>
                  </w:r>
                  <w:r>
                    <w:t>运输车辆禁止过载并顶部覆盖篷布</w:t>
                  </w:r>
                  <w:r>
                    <w:rPr>
                      <w:rFonts w:hint="eastAsia"/>
                    </w:rPr>
                    <w:t>；</w:t>
                  </w:r>
                </w:p>
                <w:p>
                  <w:pPr>
                    <w:pStyle w:val="20"/>
                    <w:jc w:val="both"/>
                  </w:pPr>
                  <w:r>
                    <w:rPr>
                      <w:rFonts w:hint="eastAsia"/>
                    </w:rPr>
                    <w:t>4.施工沿线土石方集中堆存，并用防尘网遮盖。</w:t>
                  </w:r>
                </w:p>
              </w:tc>
              <w:tc>
                <w:tcPr>
                  <w:tcW w:w="655" w:type="pct"/>
                  <w:tcBorders>
                    <w:top w:val="single" w:color="auto" w:sz="8" w:space="0"/>
                    <w:left w:val="single" w:color="auto" w:sz="8" w:space="0"/>
                    <w:bottom w:val="single" w:color="auto" w:sz="8" w:space="0"/>
                    <w:right w:val="single" w:color="auto" w:sz="8" w:space="0"/>
                  </w:tcBorders>
                  <w:vAlign w:val="center"/>
                </w:tcPr>
                <w:p>
                  <w:pPr>
                    <w:pStyle w:val="20"/>
                  </w:pPr>
                  <w:r>
                    <w:rPr>
                      <w:rFonts w:hint="eastAsia"/>
                    </w:rPr>
                    <w:t>2.0</w:t>
                  </w:r>
                </w:p>
              </w:tc>
              <w:tc>
                <w:tcPr>
                  <w:tcW w:w="489" w:type="pct"/>
                  <w:tcBorders>
                    <w:top w:val="single" w:color="auto" w:sz="8" w:space="0"/>
                    <w:left w:val="single" w:color="auto" w:sz="8" w:space="0"/>
                    <w:bottom w:val="single" w:color="auto" w:sz="8" w:space="0"/>
                    <w:right w:val="single" w:color="auto" w:sz="8" w:space="0"/>
                  </w:tcBorders>
                  <w:vAlign w:val="center"/>
                </w:tcPr>
                <w:p>
                  <w:pPr>
                    <w:pStyle w:val="20"/>
                  </w:pPr>
                  <w:r>
                    <w:rPr>
                      <w:rFonts w:hint="eastAsia"/>
                    </w:rPr>
                    <w:t>新增</w:t>
                  </w:r>
                </w:p>
                <w:p>
                  <w:pPr>
                    <w:pStyle w:val="20"/>
                  </w:pPr>
                  <w:r>
                    <w:rPr>
                      <w:rFonts w:hint="eastAsia"/>
                    </w:rPr>
                    <w:t>投资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4" w:hRule="atLeast"/>
                <w:jc w:val="center"/>
              </w:trPr>
              <w:tc>
                <w:tcPr>
                  <w:tcW w:w="358" w:type="pct"/>
                  <w:vMerge w:val="restart"/>
                  <w:tcBorders>
                    <w:top w:val="single" w:color="auto" w:sz="8" w:space="0"/>
                    <w:left w:val="single" w:color="auto" w:sz="8" w:space="0"/>
                    <w:bottom w:val="single" w:color="auto" w:sz="8" w:space="0"/>
                    <w:right w:val="single" w:color="auto" w:sz="8" w:space="0"/>
                  </w:tcBorders>
                  <w:vAlign w:val="center"/>
                </w:tcPr>
                <w:p>
                  <w:pPr>
                    <w:pStyle w:val="20"/>
                  </w:pPr>
                  <w:r>
                    <w:t>废水</w:t>
                  </w:r>
                </w:p>
              </w:tc>
              <w:tc>
                <w:tcPr>
                  <w:tcW w:w="627" w:type="pct"/>
                  <w:tcBorders>
                    <w:top w:val="single" w:color="auto" w:sz="8" w:space="0"/>
                    <w:left w:val="single" w:color="auto" w:sz="8" w:space="0"/>
                    <w:right w:val="single" w:color="auto" w:sz="8" w:space="0"/>
                  </w:tcBorders>
                  <w:vAlign w:val="center"/>
                </w:tcPr>
                <w:p>
                  <w:pPr>
                    <w:pStyle w:val="20"/>
                  </w:pPr>
                  <w:r>
                    <w:rPr>
                      <w:rFonts w:hint="eastAsia"/>
                    </w:rPr>
                    <w:t>冲洗废水、洗漱废水</w:t>
                  </w:r>
                </w:p>
              </w:tc>
              <w:tc>
                <w:tcPr>
                  <w:tcW w:w="2870" w:type="pct"/>
                  <w:tcBorders>
                    <w:top w:val="single" w:color="auto" w:sz="8" w:space="0"/>
                    <w:left w:val="single" w:color="auto" w:sz="8" w:space="0"/>
                    <w:right w:val="single" w:color="auto" w:sz="8" w:space="0"/>
                  </w:tcBorders>
                  <w:vAlign w:val="center"/>
                </w:tcPr>
                <w:p>
                  <w:pPr>
                    <w:pStyle w:val="20"/>
                    <w:jc w:val="both"/>
                  </w:pPr>
                  <w:r>
                    <w:rPr>
                      <w:rFonts w:hint="eastAsia"/>
                    </w:rPr>
                    <w:t>项目施工营地设置一座简易废水收集沉淀池，废水经沉淀后用于混凝土拌和或场地洒水降尘。</w:t>
                  </w:r>
                </w:p>
              </w:tc>
              <w:tc>
                <w:tcPr>
                  <w:tcW w:w="655" w:type="pct"/>
                  <w:tcBorders>
                    <w:top w:val="single" w:color="auto" w:sz="8" w:space="0"/>
                    <w:left w:val="single" w:color="auto" w:sz="8" w:space="0"/>
                    <w:right w:val="single" w:color="auto" w:sz="8" w:space="0"/>
                  </w:tcBorders>
                  <w:vAlign w:val="center"/>
                </w:tcPr>
                <w:p>
                  <w:pPr>
                    <w:pStyle w:val="20"/>
                  </w:pPr>
                  <w:r>
                    <w:rPr>
                      <w:rFonts w:hint="eastAsia"/>
                    </w:rPr>
                    <w:t>0.2</w:t>
                  </w:r>
                </w:p>
              </w:tc>
              <w:tc>
                <w:tcPr>
                  <w:tcW w:w="489" w:type="pct"/>
                  <w:tcBorders>
                    <w:top w:val="single" w:color="auto" w:sz="8" w:space="0"/>
                    <w:left w:val="single" w:color="auto" w:sz="8" w:space="0"/>
                    <w:bottom w:val="single" w:color="auto" w:sz="8" w:space="0"/>
                    <w:right w:val="single" w:color="auto" w:sz="8" w:space="0"/>
                  </w:tcBorders>
                  <w:vAlign w:val="center"/>
                </w:tcPr>
                <w:p>
                  <w:pPr>
                    <w:pStyle w:val="20"/>
                  </w:pPr>
                  <w:r>
                    <w:rPr>
                      <w:rFonts w:hint="eastAsia"/>
                    </w:rPr>
                    <w:t>新增</w:t>
                  </w:r>
                </w:p>
                <w:p>
                  <w:pPr>
                    <w:pStyle w:val="20"/>
                  </w:pPr>
                  <w:r>
                    <w:rPr>
                      <w:rFonts w:hint="eastAsia"/>
                    </w:rPr>
                    <w:t>投资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4" w:hRule="atLeast"/>
                <w:jc w:val="center"/>
              </w:trPr>
              <w:tc>
                <w:tcPr>
                  <w:tcW w:w="358" w:type="pct"/>
                  <w:tcBorders>
                    <w:top w:val="single" w:color="auto" w:sz="8" w:space="0"/>
                    <w:left w:val="single" w:color="auto" w:sz="8" w:space="0"/>
                    <w:bottom w:val="single" w:color="auto" w:sz="8" w:space="0"/>
                    <w:right w:val="single" w:color="auto" w:sz="8" w:space="0"/>
                  </w:tcBorders>
                  <w:vAlign w:val="center"/>
                </w:tcPr>
                <w:p>
                  <w:pPr>
                    <w:pStyle w:val="20"/>
                  </w:pPr>
                  <w:r>
                    <w:t>噪声</w:t>
                  </w:r>
                </w:p>
              </w:tc>
              <w:tc>
                <w:tcPr>
                  <w:tcW w:w="627" w:type="pct"/>
                  <w:tcBorders>
                    <w:top w:val="single" w:color="auto" w:sz="8" w:space="0"/>
                    <w:left w:val="single" w:color="auto" w:sz="8" w:space="0"/>
                    <w:bottom w:val="single" w:color="auto" w:sz="8" w:space="0"/>
                    <w:right w:val="single" w:color="auto" w:sz="8" w:space="0"/>
                  </w:tcBorders>
                  <w:vAlign w:val="center"/>
                </w:tcPr>
                <w:p>
                  <w:pPr>
                    <w:pStyle w:val="20"/>
                  </w:pPr>
                  <w:r>
                    <w:t>噪声治理</w:t>
                  </w:r>
                </w:p>
              </w:tc>
              <w:tc>
                <w:tcPr>
                  <w:tcW w:w="2870" w:type="pct"/>
                  <w:tcBorders>
                    <w:top w:val="single" w:color="auto" w:sz="8" w:space="0"/>
                    <w:left w:val="single" w:color="auto" w:sz="8" w:space="0"/>
                    <w:bottom w:val="single" w:color="auto" w:sz="8" w:space="0"/>
                    <w:right w:val="single" w:color="auto" w:sz="8" w:space="0"/>
                  </w:tcBorders>
                  <w:vAlign w:val="center"/>
                </w:tcPr>
                <w:p>
                  <w:pPr>
                    <w:pStyle w:val="20"/>
                    <w:jc w:val="both"/>
                  </w:pPr>
                  <w:r>
                    <w:t>选用低噪声设备，</w:t>
                  </w:r>
                  <w:r>
                    <w:rPr>
                      <w:rFonts w:hint="eastAsia"/>
                    </w:rPr>
                    <w:t>定期维护。</w:t>
                  </w:r>
                </w:p>
              </w:tc>
              <w:tc>
                <w:tcPr>
                  <w:tcW w:w="655" w:type="pct"/>
                  <w:tcBorders>
                    <w:top w:val="single" w:color="auto" w:sz="8" w:space="0"/>
                    <w:left w:val="single" w:color="auto" w:sz="8" w:space="0"/>
                    <w:bottom w:val="single" w:color="auto" w:sz="8" w:space="0"/>
                    <w:right w:val="single" w:color="auto" w:sz="8" w:space="0"/>
                  </w:tcBorders>
                  <w:vAlign w:val="center"/>
                </w:tcPr>
                <w:p>
                  <w:pPr>
                    <w:pStyle w:val="20"/>
                    <w:rPr>
                      <w:rFonts w:hint="eastAsia" w:eastAsia="宋体"/>
                      <w:lang w:val="en-US" w:eastAsia="zh-CN"/>
                    </w:rPr>
                  </w:pPr>
                  <w:r>
                    <w:rPr>
                      <w:rFonts w:hint="eastAsia"/>
                    </w:rPr>
                    <w:t>1.</w:t>
                  </w:r>
                  <w:r>
                    <w:rPr>
                      <w:rFonts w:hint="eastAsia"/>
                      <w:lang w:val="en-US" w:eastAsia="zh-CN"/>
                    </w:rPr>
                    <w:t>5</w:t>
                  </w:r>
                </w:p>
              </w:tc>
              <w:tc>
                <w:tcPr>
                  <w:tcW w:w="489" w:type="pct"/>
                  <w:tcBorders>
                    <w:top w:val="single" w:color="auto" w:sz="8" w:space="0"/>
                    <w:left w:val="single" w:color="auto" w:sz="8" w:space="0"/>
                    <w:bottom w:val="single" w:color="auto" w:sz="8" w:space="0"/>
                    <w:right w:val="single" w:color="auto" w:sz="8" w:space="0"/>
                  </w:tcBorders>
                  <w:vAlign w:val="center"/>
                </w:tcPr>
                <w:p>
                  <w:pPr>
                    <w:pStyle w:val="20"/>
                  </w:pPr>
                  <w:r>
                    <w:rPr>
                      <w:rFonts w:hint="eastAsia"/>
                    </w:rPr>
                    <w:t>新增</w:t>
                  </w:r>
                </w:p>
                <w:p>
                  <w:pPr>
                    <w:pStyle w:val="20"/>
                  </w:pPr>
                  <w:r>
                    <w:rPr>
                      <w:rFonts w:hint="eastAsia"/>
                    </w:rPr>
                    <w:t>投资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 w:hRule="atLeast"/>
                <w:jc w:val="center"/>
              </w:trPr>
              <w:tc>
                <w:tcPr>
                  <w:tcW w:w="358" w:type="pct"/>
                  <w:vMerge w:val="restart"/>
                  <w:tcBorders>
                    <w:top w:val="single" w:color="auto" w:sz="8" w:space="0"/>
                    <w:left w:val="single" w:color="auto" w:sz="8" w:space="0"/>
                    <w:right w:val="single" w:color="auto" w:sz="8" w:space="0"/>
                  </w:tcBorders>
                  <w:vAlign w:val="center"/>
                </w:tcPr>
                <w:p>
                  <w:pPr>
                    <w:pStyle w:val="20"/>
                  </w:pPr>
                  <w:r>
                    <w:t>固废</w:t>
                  </w:r>
                </w:p>
              </w:tc>
              <w:tc>
                <w:tcPr>
                  <w:tcW w:w="627" w:type="pct"/>
                  <w:tcBorders>
                    <w:top w:val="single" w:color="auto" w:sz="8" w:space="0"/>
                    <w:left w:val="single" w:color="auto" w:sz="8" w:space="0"/>
                    <w:bottom w:val="single" w:color="auto" w:sz="8" w:space="0"/>
                    <w:right w:val="single" w:color="auto" w:sz="8" w:space="0"/>
                  </w:tcBorders>
                  <w:vAlign w:val="center"/>
                </w:tcPr>
                <w:p>
                  <w:pPr>
                    <w:pStyle w:val="20"/>
                  </w:pPr>
                  <w:r>
                    <w:t>生活垃圾</w:t>
                  </w:r>
                </w:p>
              </w:tc>
              <w:tc>
                <w:tcPr>
                  <w:tcW w:w="2870" w:type="pct"/>
                  <w:tcBorders>
                    <w:top w:val="single" w:color="auto" w:sz="8" w:space="0"/>
                    <w:left w:val="single" w:color="auto" w:sz="8" w:space="0"/>
                    <w:bottom w:val="single" w:color="auto" w:sz="8" w:space="0"/>
                    <w:right w:val="single" w:color="auto" w:sz="8" w:space="0"/>
                  </w:tcBorders>
                  <w:vAlign w:val="center"/>
                </w:tcPr>
                <w:p>
                  <w:pPr>
                    <w:pStyle w:val="20"/>
                    <w:jc w:val="both"/>
                  </w:pPr>
                  <w:r>
                    <w:rPr>
                      <w:rFonts w:hint="eastAsia"/>
                    </w:rPr>
                    <w:t>项目施工营地</w:t>
                  </w:r>
                  <w:r>
                    <w:t>设置</w:t>
                  </w:r>
                  <w:r>
                    <w:rPr>
                      <w:rFonts w:hint="eastAsia"/>
                    </w:rPr>
                    <w:t>生活</w:t>
                  </w:r>
                  <w:r>
                    <w:t>垃圾收集箱，</w:t>
                  </w:r>
                  <w:r>
                    <w:rPr>
                      <w:rFonts w:hint="eastAsia"/>
                    </w:rPr>
                    <w:t>生活垃圾经</w:t>
                  </w:r>
                  <w:r>
                    <w:t>集中收集</w:t>
                  </w:r>
                  <w:r>
                    <w:rPr>
                      <w:rFonts w:hint="eastAsia"/>
                    </w:rPr>
                    <w:t>后</w:t>
                  </w:r>
                  <w:r>
                    <w:t>清运至</w:t>
                  </w:r>
                  <w:r>
                    <w:rPr>
                      <w:rFonts w:hint="eastAsia"/>
                    </w:rPr>
                    <w:t>村民生活垃圾收集点，最终清运至生活垃圾填埋场处置。</w:t>
                  </w:r>
                </w:p>
              </w:tc>
              <w:tc>
                <w:tcPr>
                  <w:tcW w:w="655" w:type="pct"/>
                  <w:tcBorders>
                    <w:top w:val="single" w:color="auto" w:sz="8" w:space="0"/>
                    <w:left w:val="single" w:color="auto" w:sz="8" w:space="0"/>
                    <w:bottom w:val="single" w:color="auto" w:sz="8" w:space="0"/>
                    <w:right w:val="single" w:color="auto" w:sz="8" w:space="0"/>
                  </w:tcBorders>
                  <w:vAlign w:val="center"/>
                </w:tcPr>
                <w:p>
                  <w:pPr>
                    <w:pStyle w:val="20"/>
                  </w:pPr>
                  <w:r>
                    <w:rPr>
                      <w:rFonts w:hint="eastAsia"/>
                    </w:rPr>
                    <w:t>1.0</w:t>
                  </w:r>
                </w:p>
              </w:tc>
              <w:tc>
                <w:tcPr>
                  <w:tcW w:w="489" w:type="pct"/>
                  <w:tcBorders>
                    <w:top w:val="single" w:color="auto" w:sz="8" w:space="0"/>
                    <w:left w:val="single" w:color="auto" w:sz="8" w:space="0"/>
                    <w:bottom w:val="single" w:color="auto" w:sz="8" w:space="0"/>
                    <w:right w:val="single" w:color="auto" w:sz="8" w:space="0"/>
                  </w:tcBorders>
                  <w:vAlign w:val="center"/>
                </w:tcPr>
                <w:p>
                  <w:pPr>
                    <w:pStyle w:val="20"/>
                  </w:pPr>
                  <w:r>
                    <w:rPr>
                      <w:rFonts w:hint="eastAsia"/>
                    </w:rPr>
                    <w:t>新增</w:t>
                  </w:r>
                </w:p>
                <w:p>
                  <w:pPr>
                    <w:pStyle w:val="20"/>
                  </w:pPr>
                  <w:r>
                    <w:rPr>
                      <w:rFonts w:hint="eastAsia"/>
                    </w:rPr>
                    <w:t>投资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 w:hRule="atLeast"/>
                <w:jc w:val="center"/>
              </w:trPr>
              <w:tc>
                <w:tcPr>
                  <w:tcW w:w="358" w:type="pct"/>
                  <w:vMerge w:val="continue"/>
                  <w:tcBorders>
                    <w:left w:val="single" w:color="auto" w:sz="8" w:space="0"/>
                    <w:right w:val="single" w:color="auto" w:sz="8" w:space="0"/>
                  </w:tcBorders>
                  <w:vAlign w:val="center"/>
                </w:tcPr>
                <w:p>
                  <w:pPr>
                    <w:pStyle w:val="20"/>
                  </w:pPr>
                </w:p>
              </w:tc>
              <w:tc>
                <w:tcPr>
                  <w:tcW w:w="627" w:type="pct"/>
                  <w:tcBorders>
                    <w:top w:val="single" w:color="auto" w:sz="8" w:space="0"/>
                    <w:left w:val="single" w:color="auto" w:sz="8" w:space="0"/>
                    <w:bottom w:val="single" w:color="auto" w:sz="8" w:space="0"/>
                    <w:right w:val="single" w:color="auto" w:sz="8" w:space="0"/>
                  </w:tcBorders>
                  <w:vAlign w:val="center"/>
                </w:tcPr>
                <w:p>
                  <w:pPr>
                    <w:pStyle w:val="20"/>
                  </w:pPr>
                  <w:r>
                    <w:t>废土石</w:t>
                  </w:r>
                </w:p>
              </w:tc>
              <w:tc>
                <w:tcPr>
                  <w:tcW w:w="2870" w:type="pct"/>
                  <w:tcBorders>
                    <w:top w:val="single" w:color="auto" w:sz="8" w:space="0"/>
                    <w:left w:val="single" w:color="auto" w:sz="8" w:space="0"/>
                    <w:bottom w:val="single" w:color="auto" w:sz="8" w:space="0"/>
                    <w:right w:val="single" w:color="auto" w:sz="8" w:space="0"/>
                  </w:tcBorders>
                  <w:vAlign w:val="center"/>
                </w:tcPr>
                <w:p>
                  <w:pPr>
                    <w:pStyle w:val="20"/>
                    <w:jc w:val="both"/>
                  </w:pPr>
                  <w:r>
                    <w:rPr>
                      <w:rFonts w:hint="eastAsia"/>
                    </w:rPr>
                    <w:t>在施工作业带范围内收边堆存，顶部密目防尘网覆盖等；分段施工分段回填，定期洒水降尘。</w:t>
                  </w:r>
                </w:p>
              </w:tc>
              <w:tc>
                <w:tcPr>
                  <w:tcW w:w="655" w:type="pct"/>
                  <w:tcBorders>
                    <w:top w:val="single" w:color="auto" w:sz="8" w:space="0"/>
                    <w:left w:val="single" w:color="auto" w:sz="8" w:space="0"/>
                    <w:bottom w:val="single" w:color="auto" w:sz="8" w:space="0"/>
                    <w:right w:val="single" w:color="auto" w:sz="8" w:space="0"/>
                  </w:tcBorders>
                  <w:vAlign w:val="center"/>
                </w:tcPr>
                <w:p>
                  <w:pPr>
                    <w:pStyle w:val="20"/>
                  </w:pPr>
                  <w:r>
                    <w:rPr>
                      <w:rFonts w:hint="eastAsia"/>
                    </w:rPr>
                    <w:t>4.0</w:t>
                  </w:r>
                </w:p>
              </w:tc>
              <w:tc>
                <w:tcPr>
                  <w:tcW w:w="489" w:type="pct"/>
                  <w:tcBorders>
                    <w:top w:val="single" w:color="auto" w:sz="8" w:space="0"/>
                    <w:left w:val="single" w:color="auto" w:sz="8" w:space="0"/>
                    <w:bottom w:val="single" w:color="auto" w:sz="8" w:space="0"/>
                    <w:right w:val="single" w:color="auto" w:sz="8" w:space="0"/>
                  </w:tcBorders>
                  <w:vAlign w:val="center"/>
                </w:tcPr>
                <w:p>
                  <w:pPr>
                    <w:pStyle w:val="20"/>
                  </w:pPr>
                  <w:r>
                    <w:rPr>
                      <w:rFonts w:hint="eastAsia"/>
                    </w:rPr>
                    <w:t>可研</w:t>
                  </w:r>
                </w:p>
                <w:p>
                  <w:pPr>
                    <w:pStyle w:val="20"/>
                  </w:pPr>
                  <w:r>
                    <w:rPr>
                      <w:rFonts w:hint="eastAsia"/>
                    </w:rPr>
                    <w:t>投资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 w:hRule="atLeast"/>
                <w:jc w:val="center"/>
              </w:trPr>
              <w:tc>
                <w:tcPr>
                  <w:tcW w:w="985" w:type="pct"/>
                  <w:gridSpan w:val="2"/>
                  <w:tcBorders>
                    <w:top w:val="single" w:color="auto" w:sz="8" w:space="0"/>
                    <w:left w:val="single" w:color="auto" w:sz="8" w:space="0"/>
                    <w:bottom w:val="single" w:color="auto" w:sz="8" w:space="0"/>
                    <w:right w:val="single" w:color="auto" w:sz="8" w:space="0"/>
                  </w:tcBorders>
                  <w:vAlign w:val="center"/>
                </w:tcPr>
                <w:p>
                  <w:pPr>
                    <w:pStyle w:val="20"/>
                  </w:pPr>
                  <w:r>
                    <w:t>生态</w:t>
                  </w:r>
                </w:p>
              </w:tc>
              <w:tc>
                <w:tcPr>
                  <w:tcW w:w="2870" w:type="pct"/>
                  <w:tcBorders>
                    <w:top w:val="single" w:color="auto" w:sz="8" w:space="0"/>
                    <w:left w:val="single" w:color="auto" w:sz="8" w:space="0"/>
                    <w:bottom w:val="single" w:color="auto" w:sz="8" w:space="0"/>
                    <w:right w:val="single" w:color="auto" w:sz="8" w:space="0"/>
                  </w:tcBorders>
                  <w:vAlign w:val="center"/>
                </w:tcPr>
                <w:p>
                  <w:pPr>
                    <w:pStyle w:val="20"/>
                    <w:jc w:val="both"/>
                  </w:pPr>
                  <w:r>
                    <w:rPr>
                      <w:rFonts w:hint="eastAsia"/>
                    </w:rPr>
                    <w:t>1.严格控制施工占地范围，管道施工临时占地控制在作业带范围内，尽可能利用工程现有道路，减少占用自然地表，减少新增临时占地面积。</w:t>
                  </w:r>
                </w:p>
                <w:p>
                  <w:pPr>
                    <w:pStyle w:val="20"/>
                    <w:jc w:val="both"/>
                  </w:pPr>
                  <w:r>
                    <w:rPr>
                      <w:rFonts w:hint="eastAsia"/>
                    </w:rPr>
                    <w:t>2.项目管道工程临时占地及构筑物工程临时占地扰动区域施工结束后进行地面平整，然后撒播草籽植被恢复。</w:t>
                  </w:r>
                </w:p>
                <w:p>
                  <w:pPr>
                    <w:pStyle w:val="20"/>
                    <w:jc w:val="both"/>
                  </w:pPr>
                  <w:r>
                    <w:rPr>
                      <w:rFonts w:hint="eastAsia"/>
                    </w:rPr>
                    <w:t>3.项目引水口等存在草皮的区域，先剥离土壤与草皮并妥善保存，用于施工完成后临时占地区域的覆土和植被重建。</w:t>
                  </w:r>
                </w:p>
                <w:p>
                  <w:pPr>
                    <w:pStyle w:val="20"/>
                    <w:jc w:val="both"/>
                  </w:pPr>
                  <w:r>
                    <w:rPr>
                      <w:rFonts w:hint="eastAsia"/>
                    </w:rPr>
                    <w:t>4.项目在分段施工的基础上，采取边开挖边恢复的措施，即开挖土方及时回填，进行平整后恢复植被。</w:t>
                  </w:r>
                </w:p>
              </w:tc>
              <w:tc>
                <w:tcPr>
                  <w:tcW w:w="655" w:type="pct"/>
                  <w:tcBorders>
                    <w:top w:val="single" w:color="auto" w:sz="8" w:space="0"/>
                    <w:left w:val="single" w:color="auto" w:sz="8" w:space="0"/>
                    <w:bottom w:val="single" w:color="auto" w:sz="8" w:space="0"/>
                    <w:right w:val="single" w:color="auto" w:sz="8" w:space="0"/>
                  </w:tcBorders>
                  <w:vAlign w:val="center"/>
                </w:tcPr>
                <w:p>
                  <w:pPr>
                    <w:pStyle w:val="20"/>
                  </w:pPr>
                  <w:r>
                    <w:rPr>
                      <w:rFonts w:hint="eastAsia"/>
                    </w:rPr>
                    <w:t>15</w:t>
                  </w:r>
                </w:p>
              </w:tc>
              <w:tc>
                <w:tcPr>
                  <w:tcW w:w="489" w:type="pct"/>
                  <w:tcBorders>
                    <w:top w:val="single" w:color="auto" w:sz="8" w:space="0"/>
                    <w:left w:val="single" w:color="auto" w:sz="8" w:space="0"/>
                    <w:bottom w:val="single" w:color="auto" w:sz="8" w:space="0"/>
                    <w:right w:val="single" w:color="auto" w:sz="8" w:space="0"/>
                  </w:tcBorders>
                  <w:vAlign w:val="center"/>
                </w:tcPr>
                <w:p>
                  <w:pPr>
                    <w:pStyle w:val="20"/>
                  </w:pPr>
                  <w:r>
                    <w:rPr>
                      <w:rFonts w:hint="eastAsia"/>
                    </w:rPr>
                    <w:t>平整、草皮剥离和回铺、</w:t>
                  </w:r>
                  <w:r>
                    <w:t>种草</w:t>
                  </w:r>
                  <w:r>
                    <w:rPr>
                      <w:rFonts w:hint="eastAsia"/>
                    </w:rPr>
                    <w:t>等</w:t>
                  </w:r>
                  <w:r>
                    <w:t>工程费用已列入可研</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 w:hRule="atLeast"/>
                <w:jc w:val="center"/>
              </w:trPr>
              <w:tc>
                <w:tcPr>
                  <w:tcW w:w="985" w:type="pct"/>
                  <w:gridSpan w:val="2"/>
                  <w:tcBorders>
                    <w:top w:val="single" w:color="auto" w:sz="8" w:space="0"/>
                    <w:left w:val="single" w:color="auto" w:sz="8" w:space="0"/>
                    <w:bottom w:val="single" w:color="auto" w:sz="8" w:space="0"/>
                    <w:right w:val="single" w:color="auto" w:sz="8" w:space="0"/>
                  </w:tcBorders>
                  <w:vAlign w:val="center"/>
                </w:tcPr>
                <w:p>
                  <w:pPr>
                    <w:pStyle w:val="20"/>
                  </w:pPr>
                  <w:r>
                    <w:t>合计</w:t>
                  </w:r>
                </w:p>
              </w:tc>
              <w:tc>
                <w:tcPr>
                  <w:tcW w:w="2870" w:type="pct"/>
                  <w:tcBorders>
                    <w:top w:val="single" w:color="auto" w:sz="8" w:space="0"/>
                    <w:left w:val="single" w:color="auto" w:sz="8" w:space="0"/>
                    <w:bottom w:val="single" w:color="auto" w:sz="8" w:space="0"/>
                    <w:right w:val="single" w:color="auto" w:sz="8" w:space="0"/>
                  </w:tcBorders>
                  <w:vAlign w:val="center"/>
                </w:tcPr>
                <w:p>
                  <w:pPr>
                    <w:pStyle w:val="20"/>
                  </w:pPr>
                  <w:r>
                    <w:t>-</w:t>
                  </w:r>
                </w:p>
              </w:tc>
              <w:tc>
                <w:tcPr>
                  <w:tcW w:w="655" w:type="pct"/>
                  <w:tcBorders>
                    <w:top w:val="single" w:color="auto" w:sz="8" w:space="0"/>
                    <w:left w:val="single" w:color="auto" w:sz="8" w:space="0"/>
                    <w:bottom w:val="single" w:color="auto" w:sz="8" w:space="0"/>
                    <w:right w:val="single" w:color="auto" w:sz="8" w:space="0"/>
                  </w:tcBorders>
                  <w:vAlign w:val="center"/>
                </w:tcPr>
                <w:p>
                  <w:pPr>
                    <w:pStyle w:val="20"/>
                  </w:pPr>
                  <w:r>
                    <w:rPr>
                      <w:rFonts w:hint="eastAsia"/>
                    </w:rPr>
                    <w:t>23.7</w:t>
                  </w:r>
                </w:p>
              </w:tc>
              <w:tc>
                <w:tcPr>
                  <w:tcW w:w="489" w:type="pct"/>
                  <w:tcBorders>
                    <w:top w:val="single" w:color="auto" w:sz="8" w:space="0"/>
                    <w:left w:val="single" w:color="auto" w:sz="8" w:space="0"/>
                    <w:bottom w:val="single" w:color="auto" w:sz="8" w:space="0"/>
                    <w:right w:val="single" w:color="auto" w:sz="8" w:space="0"/>
                  </w:tcBorders>
                  <w:vAlign w:val="center"/>
                </w:tcPr>
                <w:p>
                  <w:pPr>
                    <w:pStyle w:val="20"/>
                  </w:pPr>
                  <w:r>
                    <w:t>-</w:t>
                  </w:r>
                </w:p>
              </w:tc>
            </w:tr>
          </w:tbl>
          <w:p/>
        </w:tc>
      </w:tr>
    </w:tbl>
    <w:p>
      <w:pPr>
        <w:sectPr>
          <w:pgSz w:w="11907" w:h="16840"/>
          <w:pgMar w:top="1440" w:right="1080" w:bottom="1440" w:left="1080" w:header="851" w:footer="1077" w:gutter="0"/>
          <w:pgBorders>
            <w:top w:val="none" w:sz="0" w:space="0"/>
            <w:left w:val="none" w:sz="0" w:space="0"/>
            <w:bottom w:val="none" w:sz="0" w:space="0"/>
            <w:right w:val="none" w:sz="0" w:space="0"/>
          </w:pgBorders>
          <w:cols w:space="0" w:num="1"/>
          <w:docGrid w:type="lines" w:linePitch="312" w:charSpace="0"/>
        </w:sectPr>
      </w:pPr>
    </w:p>
    <w:p>
      <w:pPr>
        <w:pStyle w:val="2"/>
        <w:rPr>
          <w:color w:val="auto"/>
        </w:rPr>
      </w:pPr>
      <w:r>
        <w:rPr>
          <w:rFonts w:hint="eastAsia"/>
          <w:color w:val="auto"/>
        </w:rPr>
        <w:t>六、生态环境保护措施监督检查清单</w:t>
      </w:r>
    </w:p>
    <w:tbl>
      <w:tblPr>
        <w:tblStyle w:val="14"/>
        <w:tblW w:w="49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93"/>
        <w:gridCol w:w="6895"/>
        <w:gridCol w:w="2273"/>
        <w:gridCol w:w="2451"/>
        <w:gridCol w:w="11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92" w:type="pct"/>
            <w:vMerge w:val="restart"/>
            <w:tcBorders>
              <w:tl2br w:val="single" w:color="auto" w:sz="4" w:space="0"/>
            </w:tcBorders>
            <w:vAlign w:val="center"/>
          </w:tcPr>
          <w:p>
            <w:pPr>
              <w:pStyle w:val="20"/>
              <w:jc w:val="right"/>
            </w:pPr>
            <w:r>
              <w:rPr>
                <w:rFonts w:hint="eastAsia"/>
              </w:rPr>
              <w:t>内容</w:t>
            </w:r>
          </w:p>
          <w:p>
            <w:pPr>
              <w:pStyle w:val="20"/>
              <w:jc w:val="left"/>
            </w:pPr>
            <w:r>
              <w:rPr>
                <w:rFonts w:hint="eastAsia"/>
              </w:rPr>
              <w:t>要素</w:t>
            </w:r>
          </w:p>
        </w:tc>
        <w:tc>
          <w:tcPr>
            <w:tcW w:w="3235" w:type="pct"/>
            <w:gridSpan w:val="2"/>
            <w:vAlign w:val="center"/>
          </w:tcPr>
          <w:p>
            <w:pPr>
              <w:pStyle w:val="20"/>
            </w:pPr>
            <w:r>
              <w:rPr>
                <w:rFonts w:hint="eastAsia"/>
              </w:rPr>
              <w:t>施工期</w:t>
            </w:r>
          </w:p>
        </w:tc>
        <w:tc>
          <w:tcPr>
            <w:tcW w:w="1271" w:type="pct"/>
            <w:gridSpan w:val="2"/>
            <w:vAlign w:val="center"/>
          </w:tcPr>
          <w:p>
            <w:pPr>
              <w:pStyle w:val="20"/>
            </w:pPr>
            <w:r>
              <w:rPr>
                <w:rFonts w:hint="eastAsia"/>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92" w:type="pct"/>
            <w:vMerge w:val="continue"/>
            <w:vAlign w:val="center"/>
          </w:tcPr>
          <w:p>
            <w:pPr>
              <w:pStyle w:val="20"/>
            </w:pPr>
          </w:p>
        </w:tc>
        <w:tc>
          <w:tcPr>
            <w:tcW w:w="2433" w:type="pct"/>
            <w:vAlign w:val="center"/>
          </w:tcPr>
          <w:p>
            <w:pPr>
              <w:pStyle w:val="20"/>
            </w:pPr>
            <w:r>
              <w:rPr>
                <w:rFonts w:hint="eastAsia"/>
              </w:rPr>
              <w:t>环境保护措施</w:t>
            </w:r>
          </w:p>
        </w:tc>
        <w:tc>
          <w:tcPr>
            <w:tcW w:w="802" w:type="pct"/>
            <w:vAlign w:val="center"/>
          </w:tcPr>
          <w:p>
            <w:pPr>
              <w:pStyle w:val="20"/>
            </w:pPr>
            <w:r>
              <w:rPr>
                <w:rFonts w:hint="eastAsia"/>
              </w:rPr>
              <w:t>验收要求</w:t>
            </w:r>
          </w:p>
        </w:tc>
        <w:tc>
          <w:tcPr>
            <w:tcW w:w="865" w:type="pct"/>
            <w:vAlign w:val="center"/>
          </w:tcPr>
          <w:p>
            <w:pPr>
              <w:pStyle w:val="20"/>
            </w:pPr>
            <w:r>
              <w:rPr>
                <w:rFonts w:hint="eastAsia"/>
              </w:rPr>
              <w:t>环境保护措施</w:t>
            </w:r>
          </w:p>
        </w:tc>
        <w:tc>
          <w:tcPr>
            <w:tcW w:w="405" w:type="pct"/>
            <w:vAlign w:val="center"/>
          </w:tcPr>
          <w:p>
            <w:pPr>
              <w:pStyle w:val="20"/>
            </w:pPr>
            <w:r>
              <w:rPr>
                <w:rFonts w:hint="eastAsia"/>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92" w:type="pct"/>
            <w:vAlign w:val="center"/>
          </w:tcPr>
          <w:p>
            <w:pPr>
              <w:pStyle w:val="20"/>
            </w:pPr>
            <w:r>
              <w:rPr>
                <w:rFonts w:hint="eastAsia"/>
              </w:rPr>
              <w:t>陆生生态</w:t>
            </w:r>
          </w:p>
        </w:tc>
        <w:tc>
          <w:tcPr>
            <w:tcW w:w="2433" w:type="pct"/>
            <w:vAlign w:val="center"/>
          </w:tcPr>
          <w:p>
            <w:pPr>
              <w:pStyle w:val="20"/>
              <w:jc w:val="both"/>
              <w:rPr>
                <w:rFonts w:hint="default"/>
                <w:lang w:val="en-US" w:eastAsia="zh-CN"/>
              </w:rPr>
            </w:pPr>
            <w:r>
              <w:rPr>
                <w:rFonts w:hint="default"/>
                <w:lang w:val="en-US" w:eastAsia="zh-CN"/>
              </w:rPr>
              <w:fldChar w:fldCharType="begin"/>
            </w:r>
            <w:r>
              <w:rPr>
                <w:rFonts w:hint="default"/>
                <w:lang w:val="en-US" w:eastAsia="zh-CN"/>
              </w:rPr>
              <w:instrText xml:space="preserve"> = 1 \* GB3 \* MERGEFORMAT </w:instrText>
            </w:r>
            <w:r>
              <w:rPr>
                <w:rFonts w:hint="default"/>
                <w:lang w:val="en-US" w:eastAsia="zh-CN"/>
              </w:rPr>
              <w:fldChar w:fldCharType="separate"/>
            </w:r>
            <w:r>
              <w:rPr>
                <w:rFonts w:hint="default"/>
                <w:lang w:val="en-US" w:eastAsia="zh-CN"/>
              </w:rPr>
              <w:t>①</w:t>
            </w:r>
            <w:r>
              <w:rPr>
                <w:rFonts w:hint="default"/>
                <w:lang w:val="en-US" w:eastAsia="zh-CN"/>
              </w:rPr>
              <w:fldChar w:fldCharType="end"/>
            </w:r>
            <w:r>
              <w:rPr>
                <w:rFonts w:hint="eastAsia"/>
                <w:lang w:val="en-US" w:eastAsia="zh-CN"/>
              </w:rPr>
              <w:t>场地平整前对引水口处、输水管道工程施工区、施工营地区可剥离的草皮进行剥离，采取切块剥离的方式并直接移植到区域草皮覆盖率较低的地方，对表土进行按需剥离，并进行苫盖，施工结束后对进行表土回覆，并撒播草籽进行植被恢复。或者将</w:t>
            </w:r>
            <w:r>
              <w:rPr>
                <w:rFonts w:hint="eastAsia"/>
              </w:rPr>
              <w:t>剥离土壤与草皮</w:t>
            </w:r>
            <w:r>
              <w:rPr>
                <w:rFonts w:hint="eastAsia"/>
                <w:lang w:val="en-US" w:eastAsia="zh-CN"/>
              </w:rPr>
              <w:t>放置彩条布上</w:t>
            </w:r>
            <w:r>
              <w:rPr>
                <w:rFonts w:hint="eastAsia"/>
              </w:rPr>
              <w:t>，</w:t>
            </w:r>
            <w:r>
              <w:rPr>
                <w:rFonts w:hint="eastAsia"/>
                <w:lang w:val="en-US" w:eastAsia="zh-CN"/>
              </w:rPr>
              <w:t>进行洒水养护，施工结束后进行表土、草皮恢复，本项目表土剥离面积为870m2。</w:t>
            </w:r>
          </w:p>
          <w:p>
            <w:pPr>
              <w:pStyle w:val="20"/>
              <w:jc w:val="both"/>
              <w:rPr/>
            </w:pPr>
            <w:r>
              <w:rPr>
                <w:rFonts w:hint="default"/>
                <w:lang w:val="en-US" w:eastAsia="zh-CN"/>
              </w:rPr>
              <w:fldChar w:fldCharType="begin"/>
            </w:r>
            <w:r>
              <w:rPr>
                <w:rFonts w:hint="default"/>
                <w:lang w:val="en-US" w:eastAsia="zh-CN"/>
              </w:rPr>
              <w:instrText xml:space="preserve"> = 2 \* GB3 \* MERGEFORMAT </w:instrText>
            </w:r>
            <w:r>
              <w:rPr>
                <w:rFonts w:hint="default"/>
                <w:lang w:val="en-US" w:eastAsia="zh-CN"/>
              </w:rPr>
              <w:fldChar w:fldCharType="separate"/>
            </w:r>
            <w:r>
              <w:rPr>
                <w:rFonts w:hint="default"/>
                <w:lang w:val="en-US" w:eastAsia="zh-CN"/>
              </w:rPr>
              <w:t>②</w:t>
            </w:r>
            <w:r>
              <w:rPr>
                <w:rFonts w:hint="default"/>
                <w:lang w:val="en-US" w:eastAsia="zh-CN"/>
              </w:rPr>
              <w:fldChar w:fldCharType="end"/>
            </w:r>
            <w:r>
              <w:rPr>
                <w:rFonts w:hint="eastAsia"/>
              </w:rPr>
              <w:t>优化施工方案，以人工开挖为主，机械为辅，</w:t>
            </w:r>
            <w:r>
              <w:t>且</w:t>
            </w:r>
            <w:r>
              <w:rPr>
                <w:rFonts w:hint="eastAsia"/>
                <w:lang w:eastAsia="zh-CN"/>
              </w:rPr>
              <w:t>工程</w:t>
            </w:r>
            <w:r>
              <w:t>沿边现有村级道路或田间</w:t>
            </w:r>
            <w:r>
              <w:rPr>
                <w:rFonts w:hint="eastAsia"/>
                <w:lang w:eastAsia="zh-CN"/>
              </w:rPr>
              <w:t>便道</w:t>
            </w:r>
            <w:r>
              <w:t>，故施工期</w:t>
            </w:r>
            <w:r>
              <w:rPr>
                <w:rFonts w:hint="eastAsia"/>
                <w:lang w:eastAsia="zh-CN"/>
              </w:rPr>
              <w:t>管</w:t>
            </w:r>
            <w:r>
              <w:t>道两侧各0.5m范围作为施工作业带范围，</w:t>
            </w:r>
            <w:r>
              <w:rPr>
                <w:rFonts w:hint="eastAsia"/>
              </w:rPr>
              <w:t>减少施工机械碾压造成的植被破坏。严格控制施工作业范围，缩小施工人员活动区域，禁止随意破坏自然植被、采摘野生植物。</w:t>
            </w:r>
          </w:p>
          <w:p>
            <w:pPr>
              <w:pStyle w:val="20"/>
              <w:jc w:val="both"/>
              <w:rPr/>
            </w:pPr>
            <w:r>
              <w:rPr>
                <w:rFonts w:hint="default"/>
                <w:lang w:val="en-US" w:eastAsia="zh-CN"/>
              </w:rPr>
              <w:fldChar w:fldCharType="begin"/>
            </w:r>
            <w:r>
              <w:rPr>
                <w:rFonts w:hint="default"/>
                <w:lang w:val="en-US" w:eastAsia="zh-CN"/>
              </w:rPr>
              <w:instrText xml:space="preserve"> = 3 \* GB3 \* MERGEFORMAT </w:instrText>
            </w:r>
            <w:r>
              <w:rPr>
                <w:rFonts w:hint="default"/>
                <w:lang w:val="en-US" w:eastAsia="zh-CN"/>
              </w:rPr>
              <w:fldChar w:fldCharType="separate"/>
            </w:r>
            <w:r>
              <w:rPr>
                <w:rFonts w:hint="default"/>
              </w:rPr>
              <w:t>③</w:t>
            </w:r>
            <w:r>
              <w:rPr>
                <w:rFonts w:hint="default"/>
                <w:lang w:val="en-US" w:eastAsia="zh-CN"/>
              </w:rPr>
              <w:fldChar w:fldCharType="end"/>
            </w:r>
            <w:r>
              <w:rPr>
                <w:rFonts w:hint="eastAsia"/>
              </w:rPr>
              <w:t>在施工营地设置警示牌，标明施工活动区，并加强施工区生态保护的宣传教育。</w:t>
            </w:r>
          </w:p>
          <w:p>
            <w:pPr>
              <w:pStyle w:val="20"/>
              <w:jc w:val="both"/>
              <w:rPr/>
            </w:pPr>
            <w:r>
              <w:rPr>
                <w:rFonts w:hint="default"/>
                <w:lang w:val="en-US" w:eastAsia="zh-CN"/>
              </w:rPr>
              <w:fldChar w:fldCharType="begin"/>
            </w:r>
            <w:r>
              <w:rPr>
                <w:rFonts w:hint="default"/>
                <w:lang w:val="en-US" w:eastAsia="zh-CN"/>
              </w:rPr>
              <w:instrText xml:space="preserve"> = 4 \* GB3 \* MERGEFORMAT </w:instrText>
            </w:r>
            <w:r>
              <w:rPr>
                <w:rFonts w:hint="default"/>
                <w:lang w:val="en-US" w:eastAsia="zh-CN"/>
              </w:rPr>
              <w:fldChar w:fldCharType="separate"/>
            </w:r>
            <w:r>
              <w:rPr>
                <w:rFonts w:hint="default"/>
              </w:rPr>
              <w:t>④</w:t>
            </w:r>
            <w:r>
              <w:rPr>
                <w:rFonts w:hint="default"/>
                <w:lang w:val="en-US" w:eastAsia="zh-CN"/>
              </w:rPr>
              <w:fldChar w:fldCharType="end"/>
            </w:r>
            <w:r>
              <w:rPr>
                <w:rFonts w:hint="eastAsia"/>
              </w:rPr>
              <w:t>合理安排施工期，</w:t>
            </w:r>
            <w:r>
              <w:t>田间渠系待农作物收割结束后进行，减少占压影响</w:t>
            </w:r>
            <w:r>
              <w:rPr>
                <w:rFonts w:hint="eastAsia"/>
                <w:lang w:eastAsia="zh-CN"/>
              </w:rPr>
              <w:t>，</w:t>
            </w:r>
            <w:r>
              <w:rPr>
                <w:rFonts w:hint="eastAsia"/>
              </w:rPr>
              <w:t>抓紧施工进度，尽量减缓对工程区陆生植被的影响。</w:t>
            </w:r>
          </w:p>
          <w:p>
            <w:pPr>
              <w:pStyle w:val="20"/>
              <w:jc w:val="both"/>
              <w:rPr>
                <w:rFonts w:hint="eastAsia"/>
              </w:rPr>
            </w:pPr>
            <w:r>
              <w:rPr>
                <w:rFonts w:hint="default"/>
                <w:lang w:val="en-US" w:eastAsia="zh-CN"/>
              </w:rPr>
              <w:fldChar w:fldCharType="begin"/>
            </w:r>
            <w:r>
              <w:rPr>
                <w:rFonts w:hint="default"/>
                <w:lang w:val="en-US" w:eastAsia="zh-CN"/>
              </w:rPr>
              <w:instrText xml:space="preserve"> = 5 \* GB3 \* MERGEFORMAT </w:instrText>
            </w:r>
            <w:r>
              <w:rPr>
                <w:rFonts w:hint="default"/>
                <w:lang w:val="en-US" w:eastAsia="zh-CN"/>
              </w:rPr>
              <w:fldChar w:fldCharType="separate"/>
            </w:r>
            <w:r>
              <w:rPr>
                <w:rFonts w:hint="default"/>
              </w:rPr>
              <w:t>⑤</w:t>
            </w:r>
            <w:r>
              <w:rPr>
                <w:rFonts w:hint="default"/>
                <w:lang w:val="en-US" w:eastAsia="zh-CN"/>
              </w:rPr>
              <w:fldChar w:fldCharType="end"/>
            </w:r>
            <w:r>
              <w:rPr>
                <w:rFonts w:hint="eastAsia"/>
              </w:rPr>
              <w:t>项目管道建设属于线性工程，在采取分段施工的基础上，采取边开挖边恢复的措施，即开挖土方及时回填，进行平整后恢复植被，植被恢复选择</w:t>
            </w:r>
            <w:r>
              <w:t>耐瘠薄、耐寒、耐旱、根系发达、抗病虫害的</w:t>
            </w:r>
            <w:r>
              <w:rPr>
                <w:rFonts w:hint="eastAsia"/>
              </w:rPr>
              <w:t>草</w:t>
            </w:r>
            <w:r>
              <w:t>种</w:t>
            </w:r>
            <w:r>
              <w:rPr>
                <w:rFonts w:hint="eastAsia"/>
              </w:rPr>
              <w:t>，环评要求种植植被的覆盖度与施工前基本一致。</w:t>
            </w:r>
          </w:p>
          <w:p>
            <w:pPr>
              <w:pStyle w:val="20"/>
              <w:jc w:val="both"/>
              <w:rPr/>
            </w:pPr>
            <w:r>
              <w:rPr/>
              <w:fldChar w:fldCharType="begin"/>
            </w:r>
            <w:r>
              <w:instrText xml:space="preserve"> = 6 \* GB3 \* MERGEFORMAT </w:instrText>
            </w:r>
            <w:r>
              <w:rPr/>
              <w:fldChar w:fldCharType="separate"/>
            </w:r>
            <w:r>
              <w:t>⑥</w:t>
            </w:r>
            <w:r>
              <w:rPr/>
              <w:fldChar w:fldCharType="end"/>
            </w:r>
            <w:r>
              <w:t>项目对</w:t>
            </w:r>
            <w:r>
              <w:rPr>
                <w:rFonts w:hint="eastAsia"/>
                <w:lang w:eastAsia="zh-CN"/>
              </w:rPr>
              <w:t>管道</w:t>
            </w:r>
            <w:r>
              <w:t>道</w:t>
            </w:r>
            <w:r>
              <w:rPr>
                <w:rFonts w:hint="eastAsia"/>
                <w:lang w:eastAsia="zh-CN"/>
              </w:rPr>
              <w:t>工程</w:t>
            </w:r>
            <w:r>
              <w:t>进行施工时，尽量沿着现有</w:t>
            </w:r>
            <w:r>
              <w:rPr>
                <w:rFonts w:hint="eastAsia"/>
                <w:lang w:eastAsia="zh-CN"/>
              </w:rPr>
              <w:t>管</w:t>
            </w:r>
            <w:r>
              <w:t>道地基进行施工，避免对沿边</w:t>
            </w:r>
            <w:r>
              <w:rPr>
                <w:rFonts w:hint="eastAsia"/>
                <w:lang w:eastAsia="zh-CN"/>
              </w:rPr>
              <w:t>植被</w:t>
            </w:r>
            <w:r>
              <w:t>的干扰影响，待施工结束后，对</w:t>
            </w:r>
            <w:r>
              <w:rPr>
                <w:rFonts w:hint="eastAsia"/>
                <w:lang w:eastAsia="zh-CN"/>
              </w:rPr>
              <w:t>管</w:t>
            </w:r>
            <w:r>
              <w:t>道的干扰地进行植被恢复，</w:t>
            </w:r>
            <w:r>
              <w:rPr>
                <w:rFonts w:hint="eastAsia"/>
              </w:rPr>
              <w:t>因临时占地主要是对地表植被</w:t>
            </w:r>
            <w:r>
              <w:rPr>
                <w:rFonts w:hint="eastAsia"/>
                <w:lang w:eastAsia="zh-CN"/>
              </w:rPr>
              <w:t>的干扰影响</w:t>
            </w:r>
            <w:r>
              <w:rPr>
                <w:rFonts w:hint="eastAsia"/>
              </w:rPr>
              <w:t>，故</w:t>
            </w:r>
            <w:r>
              <w:rPr>
                <w:rFonts w:hint="eastAsia"/>
                <w:lang w:eastAsia="zh-CN"/>
              </w:rPr>
              <w:t>要求施工期尽可能对占压地的地表植被进行切块剥离，洒水养护，待施工结束后恢复植被时利用，另外，干扰地</w:t>
            </w:r>
            <w:r>
              <w:rPr>
                <w:rFonts w:hint="eastAsia"/>
              </w:rPr>
              <w:t>恢复</w:t>
            </w:r>
            <w:r>
              <w:rPr>
                <w:rFonts w:hint="eastAsia"/>
                <w:lang w:eastAsia="zh-CN"/>
              </w:rPr>
              <w:t>植被</w:t>
            </w:r>
            <w:r>
              <w:rPr>
                <w:rFonts w:hint="eastAsia"/>
              </w:rPr>
              <w:t>时覆土0.15-0.30cm后播撒披碱草</w:t>
            </w:r>
            <w:r>
              <w:rPr>
                <w:rFonts w:hint="eastAsia"/>
                <w:lang w:eastAsia="zh-CN"/>
              </w:rPr>
              <w:t>、早熟禾</w:t>
            </w:r>
            <w:r>
              <w:rPr>
                <w:rFonts w:hint="eastAsia"/>
              </w:rPr>
              <w:t>等草籽，</w:t>
            </w:r>
            <w:r>
              <w:t>其恢复植被种类和覆盖度与现状相协调</w:t>
            </w:r>
            <w:r>
              <w:rPr>
                <w:rFonts w:hint="eastAsia"/>
                <w:lang w:eastAsia="zh-CN"/>
              </w:rPr>
              <w:t>和</w:t>
            </w:r>
            <w:r>
              <w:t>一致。</w:t>
            </w:r>
          </w:p>
          <w:p>
            <w:pPr>
              <w:pStyle w:val="20"/>
              <w:jc w:val="both"/>
              <w:rPr/>
            </w:pPr>
            <w:r>
              <w:rPr/>
              <w:fldChar w:fldCharType="begin"/>
            </w:r>
            <w:r>
              <w:instrText xml:space="preserve"> = 7 \* GB3 \* MERGEFORMAT </w:instrText>
            </w:r>
            <w:r>
              <w:rPr/>
              <w:fldChar w:fldCharType="separate"/>
            </w:r>
            <w:r>
              <w:t>⑦</w:t>
            </w:r>
            <w:r>
              <w:rPr/>
              <w:fldChar w:fldCharType="end"/>
            </w:r>
            <w:r>
              <w:rPr>
                <w:rFonts w:hint="eastAsia"/>
                <w:lang w:eastAsia="zh-CN"/>
              </w:rPr>
              <w:t>管</w:t>
            </w:r>
            <w:r>
              <w:t>道在现有基础上进行开挖，且开挖深度不大，产生的土方量不大，集中堆积在渠道施工作业带范围内，禁止在施工沿线自然地表随意零散堆存，降低因占压对地表植被造成的破坏影响。</w:t>
            </w:r>
          </w:p>
          <w:p>
            <w:pPr>
              <w:pStyle w:val="20"/>
              <w:jc w:val="both"/>
              <w:rPr>
                <w:rFonts w:hint="eastAsia" w:eastAsia="宋体"/>
                <w:lang w:eastAsia="zh-CN"/>
              </w:rPr>
            </w:pPr>
            <w:r>
              <w:rPr/>
              <w:fldChar w:fldCharType="begin"/>
            </w:r>
            <w:r>
              <w:instrText xml:space="preserve"> = 8 \* GB3 \* MERGEFORMAT </w:instrText>
            </w:r>
            <w:r>
              <w:rPr/>
              <w:fldChar w:fldCharType="separate"/>
            </w:r>
            <w:r>
              <w:t>⑧</w:t>
            </w:r>
            <w:r>
              <w:rPr/>
              <w:fldChar w:fldCharType="end"/>
            </w:r>
            <w:r>
              <w:t>项目加强施工管理，限制人为活动造成的生态影响，施工作业带以外，不准任何人随意践踏碾压、破坏植被，不准乱挖、滥采野生植物、破坏动物巢穴</w:t>
            </w:r>
            <w:r>
              <w:rPr>
                <w:rFonts w:hint="eastAsia"/>
                <w:lang w:eastAsia="zh-CN"/>
              </w:rPr>
              <w:t>。</w:t>
            </w:r>
          </w:p>
        </w:tc>
        <w:tc>
          <w:tcPr>
            <w:tcW w:w="802" w:type="pct"/>
            <w:vAlign w:val="center"/>
          </w:tcPr>
          <w:p>
            <w:pPr>
              <w:pStyle w:val="20"/>
            </w:pPr>
            <w:r>
              <w:rPr>
                <w:rFonts w:hint="eastAsia"/>
              </w:rPr>
              <w:t>恢复至与施工期生态环境基本一致</w:t>
            </w:r>
          </w:p>
        </w:tc>
        <w:tc>
          <w:tcPr>
            <w:tcW w:w="865" w:type="pct"/>
            <w:vAlign w:val="center"/>
          </w:tcPr>
          <w:p>
            <w:pPr>
              <w:pStyle w:val="20"/>
            </w:pPr>
            <w:r>
              <w:rPr>
                <w:rFonts w:hint="eastAsia"/>
              </w:rPr>
              <w:t>运营期对陆生生态环境无影响</w:t>
            </w:r>
          </w:p>
        </w:tc>
        <w:tc>
          <w:tcPr>
            <w:tcW w:w="405" w:type="pct"/>
            <w:vAlign w:val="center"/>
          </w:tcPr>
          <w:p>
            <w:pPr>
              <w:pStyle w:val="20"/>
            </w:pPr>
            <w:r>
              <w:rPr>
                <w:rFonts w:hint="eastAsia"/>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92" w:type="pct"/>
            <w:vAlign w:val="center"/>
          </w:tcPr>
          <w:p>
            <w:pPr>
              <w:pStyle w:val="20"/>
            </w:pPr>
            <w:r>
              <w:rPr>
                <w:rFonts w:hint="eastAsia"/>
              </w:rPr>
              <w:t>水生生态</w:t>
            </w:r>
          </w:p>
        </w:tc>
        <w:tc>
          <w:tcPr>
            <w:tcW w:w="2433" w:type="pct"/>
            <w:vAlign w:val="center"/>
          </w:tcPr>
          <w:p>
            <w:pPr>
              <w:pStyle w:val="20"/>
              <w:jc w:val="both"/>
              <w:rPr/>
            </w:pPr>
            <w:r>
              <w:rPr>
                <w:rFonts w:hint="default"/>
                <w:lang w:val="en-US" w:eastAsia="zh-CN"/>
              </w:rPr>
              <w:fldChar w:fldCharType="begin"/>
            </w:r>
            <w:r>
              <w:rPr>
                <w:rFonts w:hint="default"/>
                <w:lang w:val="en-US" w:eastAsia="zh-CN"/>
              </w:rPr>
              <w:instrText xml:space="preserve"> = 1 \* GB3 \* MERGEFORMAT </w:instrText>
            </w:r>
            <w:r>
              <w:rPr>
                <w:rFonts w:hint="default"/>
                <w:lang w:val="en-US" w:eastAsia="zh-CN"/>
              </w:rPr>
              <w:fldChar w:fldCharType="separate"/>
            </w:r>
            <w:r>
              <w:rPr>
                <w:rFonts w:hint="default"/>
                <w:lang w:val="en-US" w:eastAsia="zh-CN"/>
              </w:rPr>
              <w:t>①</w:t>
            </w:r>
            <w:r>
              <w:rPr>
                <w:rFonts w:hint="default"/>
                <w:lang w:val="en-US" w:eastAsia="zh-CN"/>
              </w:rPr>
              <w:fldChar w:fldCharType="end"/>
            </w:r>
            <w:r>
              <w:t>合理确定施工时期与施工方式，集中力量在枯水期开展涉水施工。</w:t>
            </w:r>
          </w:p>
          <w:p>
            <w:pPr>
              <w:pStyle w:val="20"/>
              <w:jc w:val="both"/>
              <w:rPr/>
            </w:pPr>
            <w:r>
              <w:rPr>
                <w:rFonts w:hint="default"/>
                <w:lang w:val="en-US" w:eastAsia="zh-CN"/>
              </w:rPr>
              <w:fldChar w:fldCharType="begin"/>
            </w:r>
            <w:r>
              <w:rPr>
                <w:rFonts w:hint="default"/>
                <w:lang w:val="en-US" w:eastAsia="zh-CN"/>
              </w:rPr>
              <w:instrText xml:space="preserve"> = 2 \* GB3 \* MERGEFORMAT </w:instrText>
            </w:r>
            <w:r>
              <w:rPr>
                <w:rFonts w:hint="default"/>
                <w:lang w:val="en-US" w:eastAsia="zh-CN"/>
              </w:rPr>
              <w:fldChar w:fldCharType="separate"/>
            </w:r>
            <w:r>
              <w:rPr>
                <w:rFonts w:hint="default"/>
                <w:lang w:val="en-US" w:eastAsia="zh-CN"/>
              </w:rPr>
              <w:t>②</w:t>
            </w:r>
            <w:r>
              <w:rPr>
                <w:rFonts w:hint="default"/>
                <w:lang w:val="en-US" w:eastAsia="zh-CN"/>
              </w:rPr>
              <w:fldChar w:fldCharType="end"/>
            </w:r>
            <w:r>
              <w:t>施工期加强对施工活动及施工人员的管理，禁止人为排放污水、丢弃生活垃圾对</w:t>
            </w:r>
            <w:r>
              <w:rPr>
                <w:rFonts w:hint="eastAsia"/>
              </w:rPr>
              <w:t>引水口河段</w:t>
            </w:r>
            <w:r>
              <w:t>造成水体污染，减免对水生生物的影响。</w:t>
            </w:r>
          </w:p>
          <w:p>
            <w:pPr>
              <w:pStyle w:val="20"/>
              <w:jc w:val="both"/>
              <w:rPr/>
            </w:pPr>
            <w:r>
              <w:rPr>
                <w:rFonts w:hint="default"/>
                <w:lang w:val="en-US" w:eastAsia="zh-CN"/>
              </w:rPr>
              <w:fldChar w:fldCharType="begin"/>
            </w:r>
            <w:r>
              <w:rPr>
                <w:rFonts w:hint="default"/>
                <w:lang w:val="en-US" w:eastAsia="zh-CN"/>
              </w:rPr>
              <w:instrText xml:space="preserve"> = 3 \* GB3 \* MERGEFORMAT </w:instrText>
            </w:r>
            <w:r>
              <w:rPr>
                <w:rFonts w:hint="default"/>
                <w:lang w:val="en-US" w:eastAsia="zh-CN"/>
              </w:rPr>
              <w:fldChar w:fldCharType="separate"/>
            </w:r>
            <w:r>
              <w:rPr>
                <w:rFonts w:hint="default"/>
              </w:rPr>
              <w:t>③</w:t>
            </w:r>
            <w:r>
              <w:rPr>
                <w:rFonts w:hint="default"/>
                <w:lang w:val="en-US" w:eastAsia="zh-CN"/>
              </w:rPr>
              <w:fldChar w:fldCharType="end"/>
            </w:r>
            <w:r>
              <w:rPr>
                <w:rFonts w:hint="eastAsia"/>
              </w:rPr>
              <w:t>严格按照施工方案设计要求进行基础开挖，避免超范围开挖，以减轻对河床底泥的扰动。</w:t>
            </w:r>
          </w:p>
          <w:p>
            <w:pPr>
              <w:pStyle w:val="20"/>
              <w:jc w:val="both"/>
              <w:rPr>
                <w:rFonts w:hint="eastAsia"/>
              </w:rPr>
            </w:pPr>
            <w:r>
              <w:rPr>
                <w:rFonts w:hint="default"/>
                <w:lang w:val="en-US" w:eastAsia="zh-CN"/>
              </w:rPr>
              <w:fldChar w:fldCharType="begin"/>
            </w:r>
            <w:r>
              <w:rPr>
                <w:rFonts w:hint="default"/>
                <w:lang w:val="en-US" w:eastAsia="zh-CN"/>
              </w:rPr>
              <w:instrText xml:space="preserve"> = 4 \* GB3 \* MERGEFORMAT </w:instrText>
            </w:r>
            <w:r>
              <w:rPr>
                <w:rFonts w:hint="default"/>
                <w:lang w:val="en-US" w:eastAsia="zh-CN"/>
              </w:rPr>
              <w:fldChar w:fldCharType="separate"/>
            </w:r>
            <w:r>
              <w:rPr>
                <w:rFonts w:hint="default"/>
              </w:rPr>
              <w:t>④</w:t>
            </w:r>
            <w:r>
              <w:rPr>
                <w:rFonts w:hint="default"/>
                <w:lang w:val="en-US" w:eastAsia="zh-CN"/>
              </w:rPr>
              <w:fldChar w:fldCharType="end"/>
            </w:r>
            <w:r>
              <w:rPr>
                <w:rFonts w:hint="eastAsia"/>
              </w:rPr>
              <w:t>禁止在河道内对施工机械进行冲洗。</w:t>
            </w:r>
          </w:p>
          <w:p>
            <w:pPr>
              <w:pStyle w:val="20"/>
              <w:jc w:val="both"/>
            </w:pPr>
            <w:r>
              <w:rPr>
                <w:rFonts w:hint="default"/>
                <w:lang w:val="en-US" w:eastAsia="zh-CN"/>
              </w:rPr>
              <w:fldChar w:fldCharType="begin"/>
            </w:r>
            <w:r>
              <w:rPr>
                <w:rFonts w:hint="default"/>
                <w:lang w:val="en-US" w:eastAsia="zh-CN"/>
              </w:rPr>
              <w:instrText xml:space="preserve"> = 5 \* GB3 \* MERGEFORMAT </w:instrText>
            </w:r>
            <w:r>
              <w:rPr>
                <w:rFonts w:hint="default"/>
                <w:lang w:val="en-US" w:eastAsia="zh-CN"/>
              </w:rPr>
              <w:fldChar w:fldCharType="separate"/>
            </w:r>
            <w:r>
              <w:rPr>
                <w:rFonts w:hint="default"/>
              </w:rPr>
              <w:t>⑤</w:t>
            </w:r>
            <w:r>
              <w:rPr>
                <w:rFonts w:hint="default"/>
                <w:lang w:val="en-US" w:eastAsia="zh-CN"/>
              </w:rPr>
              <w:fldChar w:fldCharType="end"/>
            </w:r>
            <w:r>
              <w:rPr>
                <w:rFonts w:hint="eastAsia"/>
                <w:lang w:eastAsia="zh-CN"/>
              </w:rPr>
              <w:t>引水口为涉水工程，却旦塘灌区沟道内水量较小，且引水口施工在非汛期进行，故施工导流用土石引导即可，导流难度小。</w:t>
            </w:r>
          </w:p>
        </w:tc>
        <w:tc>
          <w:tcPr>
            <w:tcW w:w="802" w:type="pct"/>
            <w:vAlign w:val="center"/>
          </w:tcPr>
          <w:p>
            <w:pPr>
              <w:pStyle w:val="20"/>
            </w:pPr>
            <w:r>
              <w:rPr>
                <w:rFonts w:hint="eastAsia"/>
              </w:rPr>
              <w:t>施工结束后对施工河道内遗留的固体废物进行清理</w:t>
            </w:r>
          </w:p>
        </w:tc>
        <w:tc>
          <w:tcPr>
            <w:tcW w:w="865" w:type="pct"/>
            <w:vAlign w:val="center"/>
          </w:tcPr>
          <w:p>
            <w:pPr>
              <w:pStyle w:val="20"/>
            </w:pPr>
            <w:r>
              <w:rPr>
                <w:rFonts w:hint="eastAsia"/>
              </w:rPr>
              <w:t>1.积极推广成熟的高效施肥技术，精准施肥，从源头控制氮磷污染，同时，采用平衡施肥管理措施，避免在作物生长早期大量施用氮肥。</w:t>
            </w:r>
          </w:p>
          <w:p>
            <w:pPr>
              <w:pStyle w:val="20"/>
            </w:pPr>
            <w:r>
              <w:rPr>
                <w:rFonts w:hint="eastAsia"/>
              </w:rPr>
              <w:t>2.种植区农户采用高效、低毒、低残留的农药，严格按照说明使用，减少农药对水体的污染。</w:t>
            </w:r>
          </w:p>
        </w:tc>
        <w:tc>
          <w:tcPr>
            <w:tcW w:w="405" w:type="pct"/>
            <w:vAlign w:val="center"/>
          </w:tcPr>
          <w:p>
            <w:pPr>
              <w:pStyle w:val="20"/>
            </w:pPr>
            <w:r>
              <w:rPr>
                <w:rFonts w:hint="eastAsia"/>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92" w:type="pct"/>
            <w:vAlign w:val="center"/>
          </w:tcPr>
          <w:p>
            <w:pPr>
              <w:pStyle w:val="20"/>
            </w:pPr>
            <w:r>
              <w:rPr>
                <w:rFonts w:hint="eastAsia"/>
              </w:rPr>
              <w:t>地表水环境</w:t>
            </w:r>
          </w:p>
        </w:tc>
        <w:tc>
          <w:tcPr>
            <w:tcW w:w="2433" w:type="pct"/>
            <w:vAlign w:val="center"/>
          </w:tcPr>
          <w:p>
            <w:pPr>
              <w:pStyle w:val="20"/>
              <w:jc w:val="both"/>
              <w:rPr>
                <w:rFonts w:hint="eastAsia"/>
              </w:rPr>
            </w:pPr>
            <w:r>
              <w:rPr>
                <w:rFonts w:hint="eastAsia"/>
              </w:rPr>
              <w:t>①合理安排施工作业时间，提高施工效率，缩短施工周期。</w:t>
            </w:r>
          </w:p>
          <w:p>
            <w:pPr>
              <w:pStyle w:val="20"/>
              <w:jc w:val="both"/>
              <w:rPr>
                <w:rFonts w:hint="eastAsia"/>
              </w:rPr>
            </w:pPr>
            <w:r>
              <w:rPr>
                <w:rFonts w:hint="eastAsia"/>
              </w:rPr>
              <w:t>②尽量在非雨季进行施工，减少施工期基坑积水的产生量。在开挖谷坊、渡槽基础时，根据周边季节性冲洪沟走向进行围堵，避免雨水流入开挖基坑。</w:t>
            </w:r>
          </w:p>
          <w:p>
            <w:pPr>
              <w:pStyle w:val="20"/>
              <w:jc w:val="both"/>
              <w:rPr>
                <w:rFonts w:hint="eastAsia"/>
              </w:rPr>
            </w:pPr>
            <w:r>
              <w:rPr>
                <w:rFonts w:hint="eastAsia"/>
              </w:rPr>
              <w:t>③加强施工机械的维修保养，避免施工机械在施工过程中燃料跑、冒、滴、漏现象的发生。</w:t>
            </w:r>
          </w:p>
          <w:p>
            <w:pPr>
              <w:pStyle w:val="20"/>
              <w:jc w:val="both"/>
              <w:rPr>
                <w:rFonts w:hint="eastAsia"/>
              </w:rPr>
            </w:pPr>
            <w:r>
              <w:rPr>
                <w:rFonts w:hint="eastAsia"/>
              </w:rPr>
              <w:t>④项目拌和设备冲洗废水经沉淀池收集处理后</w:t>
            </w:r>
            <w:r>
              <w:rPr>
                <w:rFonts w:hint="eastAsia"/>
                <w:lang w:eastAsia="zh-CN"/>
              </w:rPr>
              <w:t>循环使用，不外排</w:t>
            </w:r>
            <w:r>
              <w:rPr>
                <w:rFonts w:hint="eastAsia"/>
              </w:rPr>
              <w:t>。禁止在河道内进行施工机械设备及运输车辆冲洗。</w:t>
            </w:r>
          </w:p>
          <w:p>
            <w:pPr>
              <w:pStyle w:val="20"/>
              <w:jc w:val="both"/>
            </w:pPr>
            <w:r>
              <w:rPr>
                <w:rFonts w:hint="eastAsia"/>
              </w:rPr>
              <w:fldChar w:fldCharType="begin"/>
            </w:r>
            <w:r>
              <w:rPr>
                <w:rFonts w:hint="eastAsia"/>
              </w:rPr>
              <w:instrText xml:space="preserve"> = 5 \* GB3 \* MERGEFORMAT </w:instrText>
            </w:r>
            <w:r>
              <w:rPr>
                <w:rFonts w:hint="eastAsia"/>
              </w:rPr>
              <w:fldChar w:fldCharType="separate"/>
            </w:r>
            <w:r>
              <w:rPr>
                <w:rFonts w:hint="eastAsia"/>
              </w:rPr>
              <w:t>⑤</w:t>
            </w:r>
            <w:r>
              <w:rPr>
                <w:rFonts w:hint="eastAsia"/>
              </w:rPr>
              <w:fldChar w:fldCharType="end"/>
            </w:r>
            <w:r>
              <w:rPr>
                <w:rFonts w:hint="eastAsia"/>
              </w:rPr>
              <w:t>项目</w:t>
            </w:r>
            <w:r>
              <w:rPr>
                <w:rFonts w:hint="eastAsia"/>
                <w:lang w:eastAsia="zh-CN"/>
              </w:rPr>
              <w:t>在</w:t>
            </w:r>
            <w:r>
              <w:rPr>
                <w:rFonts w:hint="eastAsia"/>
              </w:rPr>
              <w:t>村庄就近施工时利用村民</w:t>
            </w:r>
            <w:r>
              <w:rPr>
                <w:rFonts w:hint="eastAsia"/>
                <w:lang w:eastAsia="zh-CN"/>
              </w:rPr>
              <w:t>自建的</w:t>
            </w:r>
            <w:r>
              <w:rPr>
                <w:rFonts w:hint="eastAsia"/>
              </w:rPr>
              <w:t>旱厕收集粪便污水，较偏远的地方施工时搭建临时旱厕，收集粪便污水还田或还草，</w:t>
            </w:r>
            <w:r>
              <w:rPr>
                <w:rFonts w:hint="eastAsia"/>
                <w:lang w:eastAsia="zh-CN"/>
              </w:rPr>
              <w:t>因此</w:t>
            </w:r>
            <w:r>
              <w:rPr>
                <w:rFonts w:hint="eastAsia"/>
              </w:rPr>
              <w:t>，项目施工期产生的生活污水不会对地表水环境产生影响。</w:t>
            </w:r>
          </w:p>
        </w:tc>
        <w:tc>
          <w:tcPr>
            <w:tcW w:w="802" w:type="pct"/>
            <w:vAlign w:val="center"/>
          </w:tcPr>
          <w:p>
            <w:pPr>
              <w:pStyle w:val="20"/>
            </w:pPr>
            <w:r>
              <w:rPr>
                <w:rFonts w:hint="eastAsia"/>
              </w:rPr>
              <w:t>各项废水均得到合理利用和处置</w:t>
            </w:r>
          </w:p>
        </w:tc>
        <w:tc>
          <w:tcPr>
            <w:tcW w:w="865" w:type="pct"/>
            <w:vAlign w:val="center"/>
          </w:tcPr>
          <w:p>
            <w:pPr>
              <w:pStyle w:val="20"/>
              <w:jc w:val="both"/>
            </w:pPr>
            <w:r>
              <w:rPr>
                <w:rFonts w:hint="eastAsia"/>
              </w:rPr>
              <w:t>本项目运营期无需采取生态环境保护措施。</w:t>
            </w:r>
          </w:p>
        </w:tc>
        <w:tc>
          <w:tcPr>
            <w:tcW w:w="405" w:type="pct"/>
            <w:vAlign w:val="center"/>
          </w:tcPr>
          <w:p>
            <w:pPr>
              <w:pStyle w:val="20"/>
            </w:pPr>
            <w:r>
              <w:rPr>
                <w:rFonts w:hint="eastAsia"/>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92" w:type="pct"/>
            <w:vAlign w:val="center"/>
          </w:tcPr>
          <w:p>
            <w:pPr>
              <w:pStyle w:val="20"/>
            </w:pPr>
            <w:r>
              <w:rPr>
                <w:rFonts w:hint="eastAsia"/>
              </w:rPr>
              <w:t>地下水及土壤环境</w:t>
            </w:r>
          </w:p>
        </w:tc>
        <w:tc>
          <w:tcPr>
            <w:tcW w:w="2433" w:type="pct"/>
            <w:vAlign w:val="center"/>
          </w:tcPr>
          <w:p>
            <w:pPr>
              <w:pStyle w:val="20"/>
            </w:pPr>
            <w:r>
              <w:rPr>
                <w:rFonts w:hint="eastAsia"/>
              </w:rPr>
              <w:t>无</w:t>
            </w:r>
          </w:p>
        </w:tc>
        <w:tc>
          <w:tcPr>
            <w:tcW w:w="802" w:type="pct"/>
            <w:vAlign w:val="center"/>
          </w:tcPr>
          <w:p>
            <w:pPr>
              <w:pStyle w:val="20"/>
            </w:pPr>
            <w:r>
              <w:rPr>
                <w:rFonts w:hint="eastAsia"/>
              </w:rPr>
              <w:t>无</w:t>
            </w:r>
          </w:p>
        </w:tc>
        <w:tc>
          <w:tcPr>
            <w:tcW w:w="865" w:type="pct"/>
            <w:vAlign w:val="center"/>
          </w:tcPr>
          <w:p>
            <w:pPr>
              <w:pStyle w:val="20"/>
            </w:pPr>
            <w:r>
              <w:rPr>
                <w:rFonts w:hint="eastAsia"/>
              </w:rPr>
              <w:t>无</w:t>
            </w:r>
          </w:p>
        </w:tc>
        <w:tc>
          <w:tcPr>
            <w:tcW w:w="405" w:type="pct"/>
            <w:vAlign w:val="center"/>
          </w:tcPr>
          <w:p>
            <w:pPr>
              <w:pStyle w:val="20"/>
            </w:pPr>
            <w:r>
              <w:rPr>
                <w:rFonts w:hint="eastAsia"/>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92" w:type="pct"/>
            <w:vAlign w:val="center"/>
          </w:tcPr>
          <w:p>
            <w:pPr>
              <w:pStyle w:val="20"/>
            </w:pPr>
            <w:r>
              <w:rPr>
                <w:rFonts w:hint="eastAsia"/>
              </w:rPr>
              <w:t>声环境</w:t>
            </w:r>
          </w:p>
        </w:tc>
        <w:tc>
          <w:tcPr>
            <w:tcW w:w="2433" w:type="pct"/>
            <w:vAlign w:val="center"/>
          </w:tcPr>
          <w:p>
            <w:pPr>
              <w:pStyle w:val="20"/>
              <w:numPr>
                <w:numId w:val="0"/>
              </w:numPr>
              <w:jc w:val="both"/>
              <w:rPr/>
            </w:pPr>
            <w:r>
              <w:rPr>
                <w:rFonts w:hint="default"/>
                <w:lang w:val="en-US" w:eastAsia="zh-CN"/>
              </w:rPr>
              <w:fldChar w:fldCharType="begin"/>
            </w:r>
            <w:r>
              <w:rPr>
                <w:rFonts w:hint="default"/>
                <w:lang w:val="en-US" w:eastAsia="zh-CN"/>
              </w:rPr>
              <w:instrText xml:space="preserve"> = 1 \* GB3 \* MERGEFORMAT </w:instrText>
            </w:r>
            <w:r>
              <w:rPr>
                <w:rFonts w:hint="default"/>
                <w:lang w:val="en-US" w:eastAsia="zh-CN"/>
              </w:rPr>
              <w:fldChar w:fldCharType="separate"/>
            </w:r>
            <w:r>
              <w:rPr>
                <w:rFonts w:hint="default"/>
                <w:lang w:val="en-US" w:eastAsia="zh-CN"/>
              </w:rPr>
              <w:t>①</w:t>
            </w:r>
            <w:r>
              <w:rPr>
                <w:rFonts w:hint="default"/>
                <w:lang w:val="en-US" w:eastAsia="zh-CN"/>
              </w:rPr>
              <w:fldChar w:fldCharType="end"/>
            </w:r>
            <w:r>
              <w:t>项目禁止夜间（夜间22：00至次日6：00）进行施工</w:t>
            </w:r>
            <w:r>
              <w:rPr>
                <w:rFonts w:hint="eastAsia"/>
              </w:rPr>
              <w:t>，禁止施工用地在夜间运行各类设备。</w:t>
            </w:r>
          </w:p>
          <w:p>
            <w:pPr>
              <w:pStyle w:val="20"/>
              <w:numPr>
                <w:numId w:val="0"/>
              </w:numPr>
              <w:jc w:val="both"/>
              <w:rPr/>
            </w:pPr>
            <w:r>
              <w:rPr>
                <w:rFonts w:hint="default"/>
                <w:lang w:val="en-US" w:eastAsia="zh-CN"/>
              </w:rPr>
              <w:fldChar w:fldCharType="begin"/>
            </w:r>
            <w:r>
              <w:rPr>
                <w:rFonts w:hint="default"/>
                <w:lang w:val="en-US" w:eastAsia="zh-CN"/>
              </w:rPr>
              <w:instrText xml:space="preserve"> = 2 \* GB3 \* MERGEFORMAT </w:instrText>
            </w:r>
            <w:r>
              <w:rPr>
                <w:rFonts w:hint="default"/>
                <w:lang w:val="en-US" w:eastAsia="zh-CN"/>
              </w:rPr>
              <w:fldChar w:fldCharType="separate"/>
            </w:r>
            <w:r>
              <w:rPr>
                <w:rFonts w:hint="default"/>
                <w:lang w:val="en-US" w:eastAsia="zh-CN"/>
              </w:rPr>
              <w:t>②</w:t>
            </w:r>
            <w:r>
              <w:rPr>
                <w:rFonts w:hint="default"/>
                <w:lang w:val="en-US" w:eastAsia="zh-CN"/>
              </w:rPr>
              <w:fldChar w:fldCharType="end"/>
            </w:r>
            <w:r>
              <w:t>应选用低噪声机械，对施工设备定期保养，严守操作规范，避免设备非正常运行产生噪声</w:t>
            </w:r>
            <w:r>
              <w:rPr>
                <w:rFonts w:hint="eastAsia"/>
              </w:rPr>
              <w:t>。</w:t>
            </w:r>
            <w:r>
              <w:t>加强对施工人员的管理，做到文明施工。</w:t>
            </w:r>
          </w:p>
          <w:p>
            <w:pPr>
              <w:pStyle w:val="20"/>
              <w:numPr>
                <w:numId w:val="0"/>
              </w:numPr>
              <w:jc w:val="both"/>
              <w:rPr/>
            </w:pPr>
            <w:r>
              <w:rPr>
                <w:rFonts w:hint="default"/>
                <w:lang w:val="en-US" w:eastAsia="zh-CN"/>
              </w:rPr>
              <w:fldChar w:fldCharType="begin"/>
            </w:r>
            <w:r>
              <w:rPr>
                <w:rFonts w:hint="default"/>
                <w:lang w:val="en-US" w:eastAsia="zh-CN"/>
              </w:rPr>
              <w:instrText xml:space="preserve"> = 3 \* GB3 \* MERGEFORMAT </w:instrText>
            </w:r>
            <w:r>
              <w:rPr>
                <w:rFonts w:hint="default"/>
                <w:lang w:val="en-US" w:eastAsia="zh-CN"/>
              </w:rPr>
              <w:fldChar w:fldCharType="separate"/>
            </w:r>
            <w:r>
              <w:rPr>
                <w:rFonts w:hint="default"/>
              </w:rPr>
              <w:t>③</w:t>
            </w:r>
            <w:r>
              <w:rPr>
                <w:rFonts w:hint="default"/>
                <w:lang w:val="en-US" w:eastAsia="zh-CN"/>
              </w:rPr>
              <w:fldChar w:fldCharType="end"/>
            </w:r>
            <w:r>
              <w:t>合理安排施工工序，避免在同一时间集中使用装载机、挖掘机</w:t>
            </w:r>
            <w:r>
              <w:rPr>
                <w:rFonts w:hint="eastAsia"/>
              </w:rPr>
              <w:t>、推土机</w:t>
            </w:r>
            <w:r>
              <w:t>等机械作业</w:t>
            </w:r>
            <w:r>
              <w:rPr>
                <w:rFonts w:hint="eastAsia"/>
              </w:rPr>
              <w:t>。</w:t>
            </w:r>
          </w:p>
          <w:p>
            <w:pPr>
              <w:pStyle w:val="20"/>
              <w:numPr>
                <w:numId w:val="0"/>
              </w:numPr>
              <w:jc w:val="both"/>
              <w:rPr/>
            </w:pPr>
            <w:r>
              <w:rPr>
                <w:rFonts w:hint="default"/>
                <w:lang w:val="en-US" w:eastAsia="zh-CN"/>
              </w:rPr>
              <w:fldChar w:fldCharType="begin"/>
            </w:r>
            <w:r>
              <w:rPr>
                <w:rFonts w:hint="default"/>
                <w:lang w:val="en-US" w:eastAsia="zh-CN"/>
              </w:rPr>
              <w:instrText xml:space="preserve"> = 4 \* GB3 \* MERGEFORMAT </w:instrText>
            </w:r>
            <w:r>
              <w:rPr>
                <w:rFonts w:hint="default"/>
                <w:lang w:val="en-US" w:eastAsia="zh-CN"/>
              </w:rPr>
              <w:fldChar w:fldCharType="separate"/>
            </w:r>
            <w:r>
              <w:rPr>
                <w:rFonts w:hint="default"/>
              </w:rPr>
              <w:t>④</w:t>
            </w:r>
            <w:r>
              <w:rPr>
                <w:rFonts w:hint="default"/>
                <w:lang w:val="en-US" w:eastAsia="zh-CN"/>
              </w:rPr>
              <w:fldChar w:fldCharType="end"/>
            </w:r>
            <w:r>
              <w:t>提高施工效率，加快施工进度，缩短施工期</w:t>
            </w:r>
            <w:r>
              <w:rPr>
                <w:rFonts w:hint="eastAsia"/>
              </w:rPr>
              <w:t>。</w:t>
            </w:r>
          </w:p>
          <w:p>
            <w:pPr>
              <w:pStyle w:val="20"/>
              <w:numPr>
                <w:numId w:val="0"/>
              </w:numPr>
              <w:jc w:val="both"/>
              <w:rPr>
                <w:rFonts w:hint="eastAsia"/>
              </w:rPr>
            </w:pPr>
            <w:r>
              <w:rPr>
                <w:rFonts w:hint="default"/>
                <w:lang w:val="en-US" w:eastAsia="zh-CN"/>
              </w:rPr>
              <w:fldChar w:fldCharType="begin"/>
            </w:r>
            <w:r>
              <w:rPr>
                <w:rFonts w:hint="default"/>
                <w:lang w:val="en-US" w:eastAsia="zh-CN"/>
              </w:rPr>
              <w:instrText xml:space="preserve"> = 5 \* GB3 \* MERGEFORMAT </w:instrText>
            </w:r>
            <w:r>
              <w:rPr>
                <w:rFonts w:hint="default"/>
                <w:lang w:val="en-US" w:eastAsia="zh-CN"/>
              </w:rPr>
              <w:fldChar w:fldCharType="separate"/>
            </w:r>
            <w:r>
              <w:rPr>
                <w:rFonts w:hint="default"/>
              </w:rPr>
              <w:t>⑤</w:t>
            </w:r>
            <w:r>
              <w:rPr>
                <w:rFonts w:hint="default"/>
                <w:lang w:val="en-US" w:eastAsia="zh-CN"/>
              </w:rPr>
              <w:fldChar w:fldCharType="end"/>
            </w:r>
            <w:r>
              <w:rPr>
                <w:rFonts w:hint="eastAsia"/>
              </w:rPr>
              <w:t>施工期以人工为主机械为辅，尽量避免对居民住户造成影响。</w:t>
            </w:r>
          </w:p>
          <w:p>
            <w:pPr>
              <w:pStyle w:val="20"/>
              <w:numPr>
                <w:numId w:val="0"/>
              </w:numPr>
              <w:jc w:val="both"/>
            </w:pPr>
            <w:r>
              <w:rPr>
                <w:rFonts w:hint="eastAsia"/>
                <w:lang w:eastAsia="zh-CN"/>
              </w:rPr>
              <w:fldChar w:fldCharType="begin"/>
            </w:r>
            <w:r>
              <w:rPr>
                <w:rFonts w:hint="eastAsia"/>
                <w:lang w:eastAsia="zh-CN"/>
              </w:rPr>
              <w:instrText xml:space="preserve"> = 6 \* GB3 \* MERGEFORMAT </w:instrText>
            </w:r>
            <w:r>
              <w:rPr>
                <w:rFonts w:hint="eastAsia"/>
                <w:lang w:eastAsia="zh-CN"/>
              </w:rPr>
              <w:fldChar w:fldCharType="separate"/>
            </w:r>
            <w:r>
              <w:t>⑥</w:t>
            </w:r>
            <w:r>
              <w:rPr>
                <w:rFonts w:hint="eastAsia"/>
                <w:lang w:eastAsia="zh-CN"/>
              </w:rPr>
              <w:fldChar w:fldCharType="end"/>
            </w:r>
            <w:r>
              <w:rPr>
                <w:rFonts w:hint="eastAsia"/>
                <w:lang w:eastAsia="zh-CN"/>
              </w:rPr>
              <w:t>工程区</w:t>
            </w:r>
            <w:r>
              <w:rPr>
                <w:rFonts w:hint="eastAsia"/>
                <w:lang w:val="en-US" w:eastAsia="zh-CN"/>
              </w:rPr>
              <w:t>50m范围内无保护目标，主要的影响为物料运输车辆产生的噪声，要求运输车辆避开学区，途径村庄时要求</w:t>
            </w:r>
            <w:r>
              <w:rPr>
                <w:rFonts w:hint="eastAsia"/>
              </w:rPr>
              <w:t>限速、禁鸣</w:t>
            </w:r>
            <w:r>
              <w:rPr>
                <w:rFonts w:hint="eastAsia"/>
                <w:lang w:val="en-US" w:eastAsia="zh-CN"/>
              </w:rPr>
              <w:t>，</w:t>
            </w:r>
            <w:r>
              <w:rPr>
                <w:rFonts w:hint="eastAsia"/>
              </w:rPr>
              <w:t>合理安排运输路线，减少夜间运输，限制大型载重车车速</w:t>
            </w:r>
            <w:r>
              <w:rPr>
                <w:rFonts w:hint="eastAsia"/>
                <w:lang w:eastAsia="zh-CN"/>
              </w:rPr>
              <w:t>，沿线靠近民宅的工程设置</w:t>
            </w:r>
            <w:r>
              <w:rPr>
                <w:rFonts w:hint="eastAsia"/>
                <w:lang w:val="en-US" w:eastAsia="zh-CN"/>
              </w:rPr>
              <w:t>1.8m围挡墙，进行隔音降噪</w:t>
            </w:r>
            <w:r>
              <w:rPr>
                <w:rFonts w:hint="eastAsia"/>
              </w:rPr>
              <w:t>。</w:t>
            </w:r>
          </w:p>
        </w:tc>
        <w:tc>
          <w:tcPr>
            <w:tcW w:w="802" w:type="pct"/>
            <w:vAlign w:val="center"/>
          </w:tcPr>
          <w:p>
            <w:pPr>
              <w:pStyle w:val="20"/>
            </w:pPr>
            <w:r>
              <w:rPr>
                <w:rFonts w:hint="eastAsia"/>
              </w:rPr>
              <w:t>项目施工期无噪声扰民投诉</w:t>
            </w:r>
          </w:p>
        </w:tc>
        <w:tc>
          <w:tcPr>
            <w:tcW w:w="865" w:type="pct"/>
            <w:vAlign w:val="center"/>
          </w:tcPr>
          <w:p>
            <w:pPr>
              <w:pStyle w:val="20"/>
            </w:pPr>
            <w:r>
              <w:rPr>
                <w:rFonts w:hint="eastAsia"/>
              </w:rPr>
              <w:t>运营期对声环境</w:t>
            </w:r>
          </w:p>
          <w:p>
            <w:pPr>
              <w:pStyle w:val="20"/>
            </w:pPr>
            <w:r>
              <w:rPr>
                <w:rFonts w:hint="eastAsia"/>
              </w:rPr>
              <w:t>无影响</w:t>
            </w:r>
          </w:p>
          <w:p>
            <w:pPr>
              <w:pStyle w:val="20"/>
            </w:pPr>
          </w:p>
        </w:tc>
        <w:tc>
          <w:tcPr>
            <w:tcW w:w="405" w:type="pct"/>
            <w:vAlign w:val="center"/>
          </w:tcPr>
          <w:p>
            <w:pPr>
              <w:pStyle w:val="20"/>
            </w:pPr>
            <w:r>
              <w:rPr>
                <w:rFonts w:hint="eastAsia"/>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92" w:type="pct"/>
            <w:vAlign w:val="center"/>
          </w:tcPr>
          <w:p>
            <w:pPr>
              <w:pStyle w:val="20"/>
            </w:pPr>
            <w:r>
              <w:rPr>
                <w:rFonts w:hint="eastAsia"/>
              </w:rPr>
              <w:t>振动</w:t>
            </w:r>
          </w:p>
        </w:tc>
        <w:tc>
          <w:tcPr>
            <w:tcW w:w="2433" w:type="pct"/>
            <w:vAlign w:val="center"/>
          </w:tcPr>
          <w:p>
            <w:pPr>
              <w:pStyle w:val="20"/>
            </w:pPr>
            <w:r>
              <w:rPr>
                <w:rFonts w:hint="eastAsia"/>
              </w:rPr>
              <w:t>无</w:t>
            </w:r>
          </w:p>
        </w:tc>
        <w:tc>
          <w:tcPr>
            <w:tcW w:w="802" w:type="pct"/>
            <w:vAlign w:val="center"/>
          </w:tcPr>
          <w:p>
            <w:pPr>
              <w:pStyle w:val="20"/>
            </w:pPr>
            <w:r>
              <w:rPr>
                <w:rFonts w:hint="eastAsia"/>
              </w:rPr>
              <w:t>无</w:t>
            </w:r>
          </w:p>
        </w:tc>
        <w:tc>
          <w:tcPr>
            <w:tcW w:w="865" w:type="pct"/>
            <w:vAlign w:val="center"/>
          </w:tcPr>
          <w:p>
            <w:pPr>
              <w:pStyle w:val="20"/>
            </w:pPr>
            <w:r>
              <w:rPr>
                <w:rFonts w:hint="eastAsia"/>
              </w:rPr>
              <w:t>无</w:t>
            </w:r>
          </w:p>
        </w:tc>
        <w:tc>
          <w:tcPr>
            <w:tcW w:w="405" w:type="pct"/>
            <w:vAlign w:val="center"/>
          </w:tcPr>
          <w:p>
            <w:pPr>
              <w:pStyle w:val="20"/>
            </w:pPr>
            <w:r>
              <w:rPr>
                <w:rFonts w:hint="eastAsia"/>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92" w:type="pct"/>
            <w:vAlign w:val="center"/>
          </w:tcPr>
          <w:p>
            <w:pPr>
              <w:pStyle w:val="20"/>
            </w:pPr>
            <w:r>
              <w:rPr>
                <w:rFonts w:hint="eastAsia"/>
              </w:rPr>
              <w:t>大气环境</w:t>
            </w:r>
          </w:p>
        </w:tc>
        <w:tc>
          <w:tcPr>
            <w:tcW w:w="2433" w:type="pct"/>
            <w:vAlign w:val="center"/>
          </w:tcPr>
          <w:p>
            <w:pPr>
              <w:pStyle w:val="20"/>
              <w:jc w:val="both"/>
              <w:rPr>
                <w:rFonts w:hint="eastAsia"/>
              </w:rPr>
            </w:pPr>
            <w:r>
              <w:rPr>
                <w:rFonts w:hint="eastAsia"/>
              </w:rPr>
              <w:t>①根据实际情况，施工作业面100%洒水、运输车辆100%密闭，及冬季暂时不施工的场地100%遮盖｡</w:t>
            </w:r>
          </w:p>
          <w:p>
            <w:pPr>
              <w:pStyle w:val="20"/>
              <w:jc w:val="both"/>
              <w:rPr>
                <w:rFonts w:hint="eastAsia"/>
              </w:rPr>
            </w:pPr>
            <w:r>
              <w:rPr>
                <w:rFonts w:hint="eastAsia"/>
              </w:rPr>
              <w:t>②严格管理，文明施工，做到轻铲慢装、轻搬轻放，加强施工人员劳动保护，如佩戴口罩等。合理安排施工计划，提高施工效率，缩短施工期，在冬季施工工地停工前要严格落实好苫盖措施。</w:t>
            </w:r>
          </w:p>
          <w:p>
            <w:pPr>
              <w:pStyle w:val="20"/>
              <w:jc w:val="both"/>
              <w:rPr>
                <w:rFonts w:hint="eastAsia"/>
              </w:rPr>
            </w:pPr>
            <w:r>
              <w:rPr>
                <w:rFonts w:hint="eastAsia"/>
              </w:rPr>
              <w:t>③项目合理安排施工计划，施工期产生的建筑垃圾及时收集分类资源化利用，项目工程开挖产生的土方在</w:t>
            </w:r>
            <w:r>
              <w:rPr>
                <w:rFonts w:hint="eastAsia"/>
                <w:lang w:eastAsia="zh-CN"/>
              </w:rPr>
              <w:t>管道</w:t>
            </w:r>
            <w:r>
              <w:rPr>
                <w:rFonts w:hint="eastAsia"/>
              </w:rPr>
              <w:t>沿边收边堆放，并顶部覆盖草帘等，便桥和渡槽基础开挖产生的土砂石分别集中堆存，并顶部覆盖草帘或密目网等，后期用于填方及时回用。</w:t>
            </w:r>
          </w:p>
          <w:p>
            <w:pPr>
              <w:pStyle w:val="20"/>
              <w:jc w:val="both"/>
              <w:rPr>
                <w:rFonts w:hint="eastAsia"/>
              </w:rPr>
            </w:pPr>
            <w:r>
              <w:rPr>
                <w:rFonts w:hint="eastAsia"/>
              </w:rPr>
              <w:t>④项目施工前确定施工区域，严格控制施工作业面，禁止对渠道沿线的自然地面随意开挖，从而减少裸露面产生的粉尘量。</w:t>
            </w:r>
          </w:p>
          <w:p>
            <w:pPr>
              <w:pStyle w:val="20"/>
              <w:jc w:val="both"/>
              <w:rPr>
                <w:rFonts w:hint="eastAsia"/>
              </w:rPr>
            </w:pPr>
            <w:r>
              <w:rPr>
                <w:rFonts w:hint="eastAsia"/>
              </w:rPr>
              <w:t>⑤建筑材料运输车辆进出场区时减速慢行，车辆运输道路尽可能利用村庄现有水泥硬化道路，除此之外，车辆不能通行区域避免大开大挖，采用牲畜托运或人工搬运替代。</w:t>
            </w:r>
          </w:p>
          <w:p>
            <w:pPr>
              <w:pStyle w:val="20"/>
              <w:jc w:val="both"/>
              <w:rPr>
                <w:rFonts w:hint="eastAsia"/>
              </w:rPr>
            </w:pPr>
            <w:r>
              <w:rPr>
                <w:rFonts w:hint="eastAsia"/>
              </w:rPr>
              <w:t>⑥制定合理的洒水降尘制度，定期对施工场地进行洒水抑尘，洒水次数根据天气状况而定（晴天、风大时应增加洒水次数），另外，车辆运输路面不定期清扫，尤其在临近居民住户区进行施工时增加洒水次数，且运输道路确保清洁。</w:t>
            </w:r>
          </w:p>
          <w:p>
            <w:pPr>
              <w:pStyle w:val="20"/>
              <w:jc w:val="both"/>
              <w:rPr>
                <w:rFonts w:hint="eastAsia"/>
              </w:rPr>
            </w:pPr>
            <w:r>
              <w:rPr>
                <w:rFonts w:hint="eastAsia"/>
              </w:rPr>
              <w:t>⑦建筑材料砂石等采用湿法运输（表面洒水），并在顶部覆盖篷布，在施工场区临时堆存时要求少量集中堆放，且采取篷布或草帘等苫盖，使用时部分掀开，减少暴露面积，降低风动扬尘。</w:t>
            </w:r>
          </w:p>
          <w:p>
            <w:pPr>
              <w:pStyle w:val="20"/>
              <w:jc w:val="both"/>
              <w:rPr>
                <w:rFonts w:hint="eastAsia"/>
              </w:rPr>
            </w:pPr>
            <w:r>
              <w:rPr>
                <w:rFonts w:hint="eastAsia"/>
              </w:rPr>
              <w:t>⑧项目属于线性工程，采用分段施工方案，减少施工裸露面积；项目合理安排施工时间，临近阿乙亥学校和村党委办公室周边的3#支渠选在假期时间进行施工。</w:t>
            </w:r>
          </w:p>
          <w:p>
            <w:pPr>
              <w:pStyle w:val="20"/>
              <w:jc w:val="both"/>
            </w:pPr>
            <w:r>
              <w:rPr>
                <w:rFonts w:hint="eastAsia"/>
              </w:rPr>
              <w:t>⑨</w:t>
            </w:r>
            <w:r>
              <w:rPr>
                <w:rFonts w:hint="eastAsia"/>
                <w:lang w:eastAsia="zh-CN"/>
              </w:rPr>
              <w:t>针对</w:t>
            </w:r>
            <w:r>
              <w:rPr>
                <w:rFonts w:hint="eastAsia"/>
                <w:lang w:val="en-US" w:eastAsia="zh-CN"/>
              </w:rPr>
              <w:t>项目施工沿线靠近民宅等环境敏感点，采取设置1.8m围挡墙、增加洒水次数措数；物料车辆密闭运输</w:t>
            </w:r>
            <w:r>
              <w:rPr>
                <w:rFonts w:hint="eastAsia"/>
                <w:lang w:eastAsia="zh-CN"/>
              </w:rPr>
              <w:t>，按照规定路线行驶，尽量避开学区及民宅，装卸物料进行洒水降尘；土方采用密目网苫盖，</w:t>
            </w:r>
            <w:r>
              <w:rPr>
                <w:rFonts w:hint="eastAsia"/>
                <w:lang w:val="en-US" w:eastAsia="zh-CN"/>
              </w:rPr>
              <w:t>大风天气禁止施工作业</w:t>
            </w:r>
            <w:r>
              <w:rPr>
                <w:rFonts w:hint="eastAsia"/>
              </w:rPr>
              <w:t>。</w:t>
            </w:r>
          </w:p>
        </w:tc>
        <w:tc>
          <w:tcPr>
            <w:tcW w:w="802" w:type="pct"/>
            <w:vAlign w:val="center"/>
          </w:tcPr>
          <w:p>
            <w:pPr>
              <w:pStyle w:val="20"/>
            </w:pPr>
            <w:r>
              <w:rPr>
                <w:rFonts w:hint="eastAsia"/>
              </w:rPr>
              <w:t>项目施工期无扬尘污染投诉</w:t>
            </w:r>
          </w:p>
        </w:tc>
        <w:tc>
          <w:tcPr>
            <w:tcW w:w="865" w:type="pct"/>
            <w:vAlign w:val="center"/>
          </w:tcPr>
          <w:p>
            <w:pPr>
              <w:pStyle w:val="20"/>
            </w:pPr>
            <w:r>
              <w:rPr>
                <w:rFonts w:hint="eastAsia"/>
              </w:rPr>
              <w:t>运营期对大气环境</w:t>
            </w:r>
          </w:p>
          <w:p>
            <w:pPr>
              <w:pStyle w:val="20"/>
            </w:pPr>
            <w:r>
              <w:rPr>
                <w:rFonts w:hint="eastAsia"/>
              </w:rPr>
              <w:t>无影响</w:t>
            </w:r>
          </w:p>
        </w:tc>
        <w:tc>
          <w:tcPr>
            <w:tcW w:w="405" w:type="pct"/>
            <w:vAlign w:val="center"/>
          </w:tcPr>
          <w:p>
            <w:pPr>
              <w:pStyle w:val="20"/>
            </w:pPr>
            <w:r>
              <w:rPr>
                <w:rFonts w:hint="eastAsia"/>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92" w:type="pct"/>
            <w:vAlign w:val="center"/>
          </w:tcPr>
          <w:p>
            <w:pPr>
              <w:pStyle w:val="20"/>
            </w:pPr>
            <w:r>
              <w:rPr>
                <w:rFonts w:hint="eastAsia"/>
              </w:rPr>
              <w:t>固体废物</w:t>
            </w:r>
          </w:p>
        </w:tc>
        <w:tc>
          <w:tcPr>
            <w:tcW w:w="2433" w:type="pct"/>
            <w:vAlign w:val="center"/>
          </w:tcPr>
          <w:p>
            <w:pPr>
              <w:pStyle w:val="20"/>
              <w:jc w:val="both"/>
            </w:pPr>
            <w:r>
              <w:rPr>
                <w:rFonts w:hint="eastAsia"/>
              </w:rPr>
              <w:t>1.目开挖的土石方在管沟沿线及构筑物基础旁暂存，待回填使用。由于项目工程管道建设里程较长，各工程段产生的土方作为各工段</w:t>
            </w:r>
            <w:r>
              <w:rPr>
                <w:rFonts w:hint="eastAsia"/>
                <w:lang w:eastAsia="zh-CN"/>
              </w:rPr>
              <w:t>本工程</w:t>
            </w:r>
            <w:r>
              <w:rPr>
                <w:rFonts w:hint="eastAsia"/>
              </w:rPr>
              <w:t>回填或作为外边坡护土回用，不产生弃方。</w:t>
            </w:r>
          </w:p>
          <w:p>
            <w:pPr>
              <w:pStyle w:val="20"/>
              <w:jc w:val="both"/>
            </w:pPr>
            <w:r>
              <w:rPr>
                <w:rFonts w:hint="eastAsia"/>
              </w:rPr>
              <w:t>2.旧PVC管材经收集后由项目周围农户资源化利用；废砖块、砂石渣等经收集后就近用作村内道路坑洼处填铺。</w:t>
            </w:r>
          </w:p>
          <w:p>
            <w:pPr>
              <w:pStyle w:val="20"/>
              <w:jc w:val="both"/>
            </w:pPr>
            <w:r>
              <w:rPr>
                <w:rFonts w:hint="eastAsia"/>
              </w:rPr>
              <w:t>3.项目施工期人员生活垃圾经收集后运至村民生活垃圾收集点，最终清运至生活垃圾填埋场处置。</w:t>
            </w:r>
          </w:p>
          <w:p>
            <w:pPr>
              <w:pStyle w:val="20"/>
              <w:jc w:val="both"/>
            </w:pPr>
            <w:r>
              <w:rPr>
                <w:rFonts w:hint="eastAsia"/>
              </w:rPr>
              <w:t>4.项目施工营地设置生活垃圾收集桶，施工沿线施工过程产生的生活垃圾由收集袋收集，每天运送至就近的村内垃圾收集点。</w:t>
            </w:r>
          </w:p>
          <w:p>
            <w:pPr>
              <w:pStyle w:val="20"/>
              <w:jc w:val="both"/>
            </w:pPr>
            <w:r>
              <w:rPr>
                <w:rFonts w:hint="eastAsia"/>
              </w:rPr>
              <w:t>5.禁止将生活垃圾丢弃在工程沿线或引水口附近。</w:t>
            </w:r>
          </w:p>
        </w:tc>
        <w:tc>
          <w:tcPr>
            <w:tcW w:w="802" w:type="pct"/>
            <w:vAlign w:val="center"/>
          </w:tcPr>
          <w:p>
            <w:pPr>
              <w:pStyle w:val="20"/>
            </w:pPr>
            <w:r>
              <w:rPr>
                <w:rFonts w:hint="eastAsia"/>
              </w:rPr>
              <w:t>项目施工现场无固体废物遗留</w:t>
            </w:r>
          </w:p>
        </w:tc>
        <w:tc>
          <w:tcPr>
            <w:tcW w:w="865" w:type="pct"/>
            <w:vAlign w:val="center"/>
          </w:tcPr>
          <w:p>
            <w:pPr>
              <w:pStyle w:val="20"/>
            </w:pPr>
            <w:r>
              <w:rPr>
                <w:rFonts w:hint="eastAsia"/>
              </w:rPr>
              <w:t>无影响</w:t>
            </w:r>
          </w:p>
        </w:tc>
        <w:tc>
          <w:tcPr>
            <w:tcW w:w="405" w:type="pct"/>
            <w:vAlign w:val="center"/>
          </w:tcPr>
          <w:p>
            <w:pPr>
              <w:pStyle w:val="20"/>
            </w:pPr>
            <w:r>
              <w:rPr>
                <w:rFonts w:hint="eastAsia"/>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92" w:type="pct"/>
            <w:vAlign w:val="center"/>
          </w:tcPr>
          <w:p>
            <w:pPr>
              <w:pStyle w:val="20"/>
            </w:pPr>
            <w:r>
              <w:rPr>
                <w:rFonts w:hint="eastAsia"/>
              </w:rPr>
              <w:t>电磁环境</w:t>
            </w:r>
          </w:p>
        </w:tc>
        <w:tc>
          <w:tcPr>
            <w:tcW w:w="2433" w:type="pct"/>
            <w:vAlign w:val="center"/>
          </w:tcPr>
          <w:p>
            <w:pPr>
              <w:pStyle w:val="20"/>
            </w:pPr>
            <w:r>
              <w:rPr>
                <w:rFonts w:hint="eastAsia"/>
              </w:rPr>
              <w:t>无</w:t>
            </w:r>
          </w:p>
        </w:tc>
        <w:tc>
          <w:tcPr>
            <w:tcW w:w="2273" w:type="dxa"/>
            <w:vAlign w:val="center"/>
          </w:tcPr>
          <w:p>
            <w:pPr>
              <w:pStyle w:val="20"/>
            </w:pPr>
            <w:r>
              <w:rPr>
                <w:rFonts w:hint="eastAsia"/>
              </w:rPr>
              <w:t>无</w:t>
            </w:r>
          </w:p>
        </w:tc>
        <w:tc>
          <w:tcPr>
            <w:tcW w:w="2451" w:type="dxa"/>
            <w:vAlign w:val="center"/>
          </w:tcPr>
          <w:p>
            <w:pPr>
              <w:pStyle w:val="20"/>
            </w:pPr>
            <w:r>
              <w:rPr>
                <w:rFonts w:hint="eastAsia"/>
              </w:rPr>
              <w:t>无</w:t>
            </w:r>
          </w:p>
        </w:tc>
        <w:tc>
          <w:tcPr>
            <w:tcW w:w="1151" w:type="dxa"/>
            <w:vAlign w:val="center"/>
          </w:tcPr>
          <w:p>
            <w:pPr>
              <w:pStyle w:val="20"/>
            </w:pPr>
            <w:r>
              <w:rPr>
                <w:rFonts w:hint="eastAsia"/>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92" w:type="pct"/>
            <w:vAlign w:val="center"/>
          </w:tcPr>
          <w:p>
            <w:pPr>
              <w:pStyle w:val="20"/>
            </w:pPr>
            <w:r>
              <w:rPr>
                <w:rFonts w:hint="eastAsia"/>
              </w:rPr>
              <w:t>环境风险</w:t>
            </w:r>
          </w:p>
        </w:tc>
        <w:tc>
          <w:tcPr>
            <w:tcW w:w="2433" w:type="pct"/>
            <w:vAlign w:val="center"/>
          </w:tcPr>
          <w:p>
            <w:pPr>
              <w:pStyle w:val="20"/>
            </w:pPr>
            <w:r>
              <w:rPr>
                <w:rFonts w:hint="eastAsia"/>
              </w:rPr>
              <w:t>无</w:t>
            </w:r>
          </w:p>
        </w:tc>
        <w:tc>
          <w:tcPr>
            <w:tcW w:w="2273" w:type="dxa"/>
            <w:vAlign w:val="center"/>
          </w:tcPr>
          <w:p>
            <w:pPr>
              <w:pStyle w:val="20"/>
            </w:pPr>
            <w:r>
              <w:rPr>
                <w:rFonts w:hint="eastAsia"/>
              </w:rPr>
              <w:t>无</w:t>
            </w:r>
          </w:p>
        </w:tc>
        <w:tc>
          <w:tcPr>
            <w:tcW w:w="2451" w:type="dxa"/>
            <w:vAlign w:val="center"/>
          </w:tcPr>
          <w:p>
            <w:pPr>
              <w:pStyle w:val="20"/>
            </w:pPr>
            <w:r>
              <w:rPr>
                <w:rFonts w:hint="eastAsia"/>
              </w:rPr>
              <w:t>无</w:t>
            </w:r>
          </w:p>
        </w:tc>
        <w:tc>
          <w:tcPr>
            <w:tcW w:w="1151" w:type="dxa"/>
            <w:vAlign w:val="center"/>
          </w:tcPr>
          <w:p>
            <w:pPr>
              <w:pStyle w:val="20"/>
            </w:pPr>
            <w:r>
              <w:rPr>
                <w:rFonts w:hint="eastAsia"/>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92" w:type="pct"/>
            <w:vAlign w:val="center"/>
          </w:tcPr>
          <w:p>
            <w:pPr>
              <w:pStyle w:val="20"/>
            </w:pPr>
            <w:r>
              <w:rPr>
                <w:rFonts w:hint="eastAsia"/>
              </w:rPr>
              <w:t>环境监测</w:t>
            </w:r>
          </w:p>
        </w:tc>
        <w:tc>
          <w:tcPr>
            <w:tcW w:w="2433" w:type="pct"/>
            <w:vAlign w:val="center"/>
          </w:tcPr>
          <w:p>
            <w:pPr>
              <w:pStyle w:val="20"/>
            </w:pPr>
            <w:r>
              <w:rPr>
                <w:rFonts w:hint="eastAsia"/>
              </w:rPr>
              <w:t>无</w:t>
            </w:r>
          </w:p>
        </w:tc>
        <w:tc>
          <w:tcPr>
            <w:tcW w:w="2273" w:type="dxa"/>
            <w:vAlign w:val="center"/>
          </w:tcPr>
          <w:p>
            <w:pPr>
              <w:pStyle w:val="20"/>
            </w:pPr>
            <w:r>
              <w:rPr>
                <w:rFonts w:hint="eastAsia"/>
              </w:rPr>
              <w:t>无</w:t>
            </w:r>
          </w:p>
        </w:tc>
        <w:tc>
          <w:tcPr>
            <w:tcW w:w="2451" w:type="dxa"/>
            <w:vAlign w:val="center"/>
          </w:tcPr>
          <w:p>
            <w:pPr>
              <w:pStyle w:val="20"/>
            </w:pPr>
            <w:r>
              <w:rPr>
                <w:rFonts w:hint="eastAsia"/>
              </w:rPr>
              <w:t>无</w:t>
            </w:r>
          </w:p>
        </w:tc>
        <w:tc>
          <w:tcPr>
            <w:tcW w:w="1151" w:type="dxa"/>
            <w:vAlign w:val="center"/>
          </w:tcPr>
          <w:p>
            <w:pPr>
              <w:pStyle w:val="20"/>
            </w:pPr>
            <w:r>
              <w:rPr>
                <w:rFonts w:hint="eastAsia"/>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92" w:type="pct"/>
            <w:vAlign w:val="center"/>
          </w:tcPr>
          <w:p>
            <w:pPr>
              <w:pStyle w:val="20"/>
            </w:pPr>
            <w:r>
              <w:rPr>
                <w:rFonts w:hint="eastAsia"/>
              </w:rPr>
              <w:t>其他</w:t>
            </w:r>
          </w:p>
        </w:tc>
        <w:tc>
          <w:tcPr>
            <w:tcW w:w="2433" w:type="pct"/>
            <w:vAlign w:val="center"/>
          </w:tcPr>
          <w:p>
            <w:pPr>
              <w:pStyle w:val="20"/>
            </w:pPr>
            <w:r>
              <w:rPr>
                <w:rFonts w:hint="eastAsia"/>
              </w:rPr>
              <w:t>无</w:t>
            </w:r>
          </w:p>
        </w:tc>
        <w:tc>
          <w:tcPr>
            <w:tcW w:w="2273" w:type="dxa"/>
            <w:vAlign w:val="center"/>
          </w:tcPr>
          <w:p>
            <w:pPr>
              <w:pStyle w:val="20"/>
            </w:pPr>
            <w:r>
              <w:rPr>
                <w:rFonts w:hint="eastAsia"/>
              </w:rPr>
              <w:t>无</w:t>
            </w:r>
          </w:p>
        </w:tc>
        <w:tc>
          <w:tcPr>
            <w:tcW w:w="2451" w:type="dxa"/>
            <w:vAlign w:val="center"/>
          </w:tcPr>
          <w:p>
            <w:pPr>
              <w:pStyle w:val="20"/>
            </w:pPr>
            <w:r>
              <w:rPr>
                <w:rFonts w:hint="eastAsia"/>
              </w:rPr>
              <w:t>无</w:t>
            </w:r>
          </w:p>
        </w:tc>
        <w:tc>
          <w:tcPr>
            <w:tcW w:w="1151" w:type="dxa"/>
            <w:vAlign w:val="center"/>
          </w:tcPr>
          <w:p>
            <w:pPr>
              <w:pStyle w:val="20"/>
            </w:pPr>
            <w:r>
              <w:rPr>
                <w:rFonts w:hint="eastAsia"/>
              </w:rPr>
              <w:t>无</w:t>
            </w:r>
          </w:p>
        </w:tc>
      </w:tr>
    </w:tbl>
    <w:p>
      <w:pPr>
        <w:sectPr>
          <w:pgSz w:w="16838" w:h="11906" w:orient="landscape"/>
          <w:pgMar w:top="1083" w:right="1440" w:bottom="1083" w:left="1440" w:header="851" w:footer="992" w:gutter="0"/>
          <w:pgBorders>
            <w:top w:val="none" w:sz="0" w:space="0"/>
            <w:left w:val="none" w:sz="0" w:space="0"/>
            <w:bottom w:val="none" w:sz="0" w:space="0"/>
            <w:right w:val="none" w:sz="0" w:space="0"/>
          </w:pgBorders>
          <w:cols w:space="0" w:num="1"/>
          <w:docGrid w:type="lines" w:linePitch="335" w:charSpace="0"/>
        </w:sectPr>
      </w:pPr>
    </w:p>
    <w:p>
      <w:pPr>
        <w:pStyle w:val="2"/>
        <w:rPr>
          <w:color w:val="auto"/>
        </w:rPr>
      </w:pPr>
      <w:r>
        <w:rPr>
          <w:rFonts w:hint="eastAsia"/>
          <w:color w:val="auto"/>
        </w:rPr>
        <w:t>七、结论</w:t>
      </w:r>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9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5000" w:type="pct"/>
          </w:tcPr>
          <w:p>
            <w:pPr>
              <w:pStyle w:val="13"/>
              <w:ind w:firstLine="480"/>
            </w:pPr>
            <w:r>
              <w:rPr>
                <w:rFonts w:hint="eastAsia"/>
              </w:rPr>
              <w:t>贵南县茫拉乡却旦塘灌区维修改造工程符合国家级青海省相关环保政策，项目建设地区域内环境质量现状较好，工程选线及施工临时用地选址合理，在项目施工和营运过程中，建设单位在认真落实本报告表提出的环境保护措施、要求和建议，严格执行“三同时”度的前提下，对周围的环境影响是可接受的，项目建成实施后，可实现社会效益和环境效益的协调发展。因此，从环境保护角度分析，本项目建设可行。</w:t>
            </w:r>
          </w:p>
          <w:p>
            <w:pPr>
              <w:pStyle w:val="13"/>
              <w:ind w:firstLine="480"/>
            </w:pPr>
          </w:p>
        </w:tc>
      </w:tr>
    </w:tbl>
    <w:p/>
    <w:p/>
    <w:sectPr>
      <w:pgSz w:w="11906" w:h="16838"/>
      <w:pgMar w:top="1440" w:right="1083" w:bottom="1440" w:left="1083" w:header="851" w:footer="992" w:gutter="0"/>
      <w:pgBorders>
        <w:top w:val="none" w:sz="0" w:space="0"/>
        <w:left w:val="none" w:sz="0" w:space="0"/>
        <w:bottom w:val="none" w:sz="0" w:space="0"/>
        <w:right w:val="none" w:sz="0" w:space="0"/>
      </w:pgBorders>
      <w:cols w:space="0" w:num="1"/>
      <w:docGrid w:type="lines" w:linePitch="3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panose1 w:val="02000000000000000000"/>
    <w:charset w:val="86"/>
    <w:family w:val="script"/>
    <w:pitch w:val="default"/>
    <w:sig w:usb0="A00002BF" w:usb1="38CF7CFA" w:usb2="00082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MS Mincho">
    <w:panose1 w:val="02020609040205080304"/>
    <w:charset w:val="80"/>
    <w:family w:val="auto"/>
    <w:pitch w:val="default"/>
    <w:sig w:usb0="E00002FF" w:usb1="6AC7FDFB" w:usb2="00000012" w:usb3="00000000" w:csb0="4002009F" w:csb1="DFD7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outside" w:y="1"/>
      <w:rPr>
        <w:rStyle w:val="17"/>
      </w:rPr>
    </w:pPr>
    <w:r>
      <w:rPr>
        <w:rStyle w:val="17"/>
      </w:rPr>
      <w:fldChar w:fldCharType="begin"/>
    </w:r>
    <w:r>
      <w:rPr>
        <w:rStyle w:val="17"/>
      </w:rPr>
      <w:instrText xml:space="preserve">PAGE  </w:instrText>
    </w:r>
    <w:r>
      <w:rPr>
        <w:rStyle w:val="17"/>
      </w:rPr>
      <w:fldChar w:fldCharType="end"/>
    </w:r>
  </w:p>
  <w:p>
    <w:pPr>
      <w:pStyle w:val="1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r>
      <w:pict>
        <v:shape id="_x0000_s2049" o:spid="_x0000_s2049" o:spt="202" type="#_x0000_t202" style="position:absolute;left:0pt;margin-top:12pt;height:12.5pt;width:144pt;mso-position-horizontal:center;mso-position-horizontal-relative:margin;mso-wrap-style:none;z-index:251659264;mso-width-relative:page;mso-height-relative:page;" filled="f" stroked="f" coordsize="21600,21600" o:gfxdata="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Gx7i1gAAAAYBAAAPAAAAAAAAAAEAIAAAACIAAABkcnMvZG93&#10;bnJldi54bWxQSwECFAAUAAAACACHTuJAo1tWiDsCAABuBAAADgAAAAAAAAABACAAAAAlAQAAZHJz&#10;L2Uyb0RvYy54bWxQSwUGAAAAAAYABgBZAQAA0gUAAAAA&#10;">
          <v:path/>
          <v:fill on="f" focussize="0,0"/>
          <v:stroke on="f" weight="0.5pt" joinstyle="miter"/>
          <v:imagedata o:title=""/>
          <o:lock v:ext="edit"/>
          <v:textbox inset="0mm,0mm,0mm,0mm">
            <w:txbxContent>
              <w:p>
                <w:pPr>
                  <w:pStyle w:val="10"/>
                </w:pPr>
                <w:r>
                  <w:fldChar w:fldCharType="begin"/>
                </w:r>
                <w:r>
                  <w:instrText xml:space="preserve"> PAGE  \* MERGEFORMAT </w:instrText>
                </w:r>
                <w:r>
                  <w:fldChar w:fldCharType="separate"/>
                </w:r>
                <w:r>
                  <w:t>42</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51AC39"/>
    <w:multiLevelType w:val="singleLevel"/>
    <w:tmpl w:val="8151AC39"/>
    <w:lvl w:ilvl="0" w:tentative="0">
      <w:start w:val="1"/>
      <w:numFmt w:val="decimal"/>
      <w:suff w:val="nothing"/>
      <w:lvlText w:val="%1）"/>
      <w:lvlJc w:val="left"/>
    </w:lvl>
  </w:abstractNum>
  <w:abstractNum w:abstractNumId="1">
    <w:nsid w:val="81CC7157"/>
    <w:multiLevelType w:val="singleLevel"/>
    <w:tmpl w:val="81CC7157"/>
    <w:lvl w:ilvl="0" w:tentative="0">
      <w:start w:val="1"/>
      <w:numFmt w:val="decimal"/>
      <w:lvlText w:val="%1."/>
      <w:lvlJc w:val="left"/>
      <w:pPr>
        <w:tabs>
          <w:tab w:val="left" w:pos="312"/>
        </w:tabs>
      </w:pPr>
    </w:lvl>
  </w:abstractNum>
  <w:abstractNum w:abstractNumId="2">
    <w:nsid w:val="ABED812E"/>
    <w:multiLevelType w:val="singleLevel"/>
    <w:tmpl w:val="ABED812E"/>
    <w:lvl w:ilvl="0" w:tentative="0">
      <w:start w:val="1"/>
      <w:numFmt w:val="decimal"/>
      <w:suff w:val="nothing"/>
      <w:lvlText w:val="（%1）"/>
      <w:lvlJc w:val="left"/>
      <w:pPr>
        <w:ind w:left="-564"/>
      </w:pPr>
      <w:rPr>
        <w:rFonts w:hint="default"/>
        <w:color w:val="auto"/>
      </w:rPr>
    </w:lvl>
  </w:abstractNum>
  <w:abstractNum w:abstractNumId="3">
    <w:nsid w:val="FD0568F5"/>
    <w:multiLevelType w:val="singleLevel"/>
    <w:tmpl w:val="FD0568F5"/>
    <w:lvl w:ilvl="0" w:tentative="0">
      <w:start w:val="1"/>
      <w:numFmt w:val="decimal"/>
      <w:suff w:val="nothing"/>
      <w:lvlText w:val="（%1）"/>
      <w:lvlJc w:val="left"/>
    </w:lvl>
  </w:abstractNum>
  <w:abstractNum w:abstractNumId="4">
    <w:nsid w:val="31DA16E2"/>
    <w:multiLevelType w:val="singleLevel"/>
    <w:tmpl w:val="31DA16E2"/>
    <w:lvl w:ilvl="0" w:tentative="0">
      <w:start w:val="1"/>
      <w:numFmt w:val="decimal"/>
      <w:lvlText w:val="%1."/>
      <w:lvlJc w:val="left"/>
      <w:pPr>
        <w:tabs>
          <w:tab w:val="left" w:pos="312"/>
        </w:tabs>
      </w:pPr>
    </w:lvl>
  </w:abstractNum>
  <w:abstractNum w:abstractNumId="5">
    <w:nsid w:val="5744909F"/>
    <w:multiLevelType w:val="singleLevel"/>
    <w:tmpl w:val="5744909F"/>
    <w:lvl w:ilvl="0" w:tentative="0">
      <w:start w:val="1"/>
      <w:numFmt w:val="decimal"/>
      <w:suff w:val="nothing"/>
      <w:lvlText w:val="（%1）"/>
      <w:lvlJc w:val="left"/>
    </w:lvl>
  </w:abstractNum>
  <w:abstractNum w:abstractNumId="6">
    <w:nsid w:val="7955B58E"/>
    <w:multiLevelType w:val="singleLevel"/>
    <w:tmpl w:val="7955B58E"/>
    <w:lvl w:ilvl="0" w:tentative="0">
      <w:start w:val="1"/>
      <w:numFmt w:val="decimal"/>
      <w:suff w:val="nothing"/>
      <w:lvlText w:val="（%1）"/>
      <w:lvlJc w:val="left"/>
    </w:lvl>
  </w:abstractNum>
  <w:num w:numId="1">
    <w:abstractNumId w:val="3"/>
  </w:num>
  <w:num w:numId="2">
    <w:abstractNumId w:val="5"/>
  </w:num>
  <w:num w:numId="3">
    <w:abstractNumId w:val="2"/>
  </w:num>
  <w:num w:numId="4">
    <w:abstractNumId w:val="6"/>
  </w:num>
  <w:num w:numId="5">
    <w:abstractNumId w:val="0"/>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24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WE0ZWM5MmE5M2Y1Y2Y4YjQ1MGM0NTYzMjllZDVhODIifQ=="/>
  </w:docVars>
  <w:rsids>
    <w:rsidRoot w:val="761E563F"/>
    <w:rsid w:val="00011729"/>
    <w:rsid w:val="00040740"/>
    <w:rsid w:val="00046CC0"/>
    <w:rsid w:val="00051FF1"/>
    <w:rsid w:val="0005529B"/>
    <w:rsid w:val="000834D1"/>
    <w:rsid w:val="00096010"/>
    <w:rsid w:val="00097E26"/>
    <w:rsid w:val="000B68E0"/>
    <w:rsid w:val="000E4427"/>
    <w:rsid w:val="000F5678"/>
    <w:rsid w:val="000F7657"/>
    <w:rsid w:val="001179CF"/>
    <w:rsid w:val="00136F75"/>
    <w:rsid w:val="00143DDF"/>
    <w:rsid w:val="00166C0E"/>
    <w:rsid w:val="00170A54"/>
    <w:rsid w:val="001A74C7"/>
    <w:rsid w:val="001C7194"/>
    <w:rsid w:val="001D3543"/>
    <w:rsid w:val="001D506D"/>
    <w:rsid w:val="001F581B"/>
    <w:rsid w:val="002214DE"/>
    <w:rsid w:val="00223C7B"/>
    <w:rsid w:val="0022583B"/>
    <w:rsid w:val="00226B69"/>
    <w:rsid w:val="00245D23"/>
    <w:rsid w:val="002A3939"/>
    <w:rsid w:val="002A626A"/>
    <w:rsid w:val="002C554B"/>
    <w:rsid w:val="002D4842"/>
    <w:rsid w:val="002D5F1F"/>
    <w:rsid w:val="00304F61"/>
    <w:rsid w:val="003147E1"/>
    <w:rsid w:val="00381CD7"/>
    <w:rsid w:val="00383C62"/>
    <w:rsid w:val="00385FC0"/>
    <w:rsid w:val="00392C2B"/>
    <w:rsid w:val="00394ACB"/>
    <w:rsid w:val="003A5ABC"/>
    <w:rsid w:val="003B135F"/>
    <w:rsid w:val="003B6379"/>
    <w:rsid w:val="003D672C"/>
    <w:rsid w:val="003E3EEC"/>
    <w:rsid w:val="003E65EB"/>
    <w:rsid w:val="003F40F3"/>
    <w:rsid w:val="00400845"/>
    <w:rsid w:val="00426297"/>
    <w:rsid w:val="00453F56"/>
    <w:rsid w:val="00455AF5"/>
    <w:rsid w:val="00455E00"/>
    <w:rsid w:val="00490F4E"/>
    <w:rsid w:val="00492A93"/>
    <w:rsid w:val="004A098D"/>
    <w:rsid w:val="004C7DC1"/>
    <w:rsid w:val="00527016"/>
    <w:rsid w:val="005937B7"/>
    <w:rsid w:val="005A27A7"/>
    <w:rsid w:val="005B5E0C"/>
    <w:rsid w:val="005C6C4D"/>
    <w:rsid w:val="005E42AD"/>
    <w:rsid w:val="005E5DFC"/>
    <w:rsid w:val="00607857"/>
    <w:rsid w:val="00620344"/>
    <w:rsid w:val="00620F17"/>
    <w:rsid w:val="00623E10"/>
    <w:rsid w:val="00635E43"/>
    <w:rsid w:val="00645852"/>
    <w:rsid w:val="006549A3"/>
    <w:rsid w:val="00657792"/>
    <w:rsid w:val="006817E5"/>
    <w:rsid w:val="00694A84"/>
    <w:rsid w:val="00695223"/>
    <w:rsid w:val="006B17E7"/>
    <w:rsid w:val="00707383"/>
    <w:rsid w:val="00716D90"/>
    <w:rsid w:val="00726C6F"/>
    <w:rsid w:val="00750101"/>
    <w:rsid w:val="007732E0"/>
    <w:rsid w:val="00773B27"/>
    <w:rsid w:val="007A055C"/>
    <w:rsid w:val="007A1940"/>
    <w:rsid w:val="007F2C5B"/>
    <w:rsid w:val="00815B17"/>
    <w:rsid w:val="0082460D"/>
    <w:rsid w:val="00840D2E"/>
    <w:rsid w:val="00851789"/>
    <w:rsid w:val="00857C59"/>
    <w:rsid w:val="00873F24"/>
    <w:rsid w:val="008F56A1"/>
    <w:rsid w:val="00961424"/>
    <w:rsid w:val="00964D06"/>
    <w:rsid w:val="009E4C90"/>
    <w:rsid w:val="00A2075A"/>
    <w:rsid w:val="00A7020A"/>
    <w:rsid w:val="00A77513"/>
    <w:rsid w:val="00A811F5"/>
    <w:rsid w:val="00A81DA9"/>
    <w:rsid w:val="00A96E54"/>
    <w:rsid w:val="00AB5133"/>
    <w:rsid w:val="00AD78DB"/>
    <w:rsid w:val="00AF47A3"/>
    <w:rsid w:val="00B02D50"/>
    <w:rsid w:val="00B335E7"/>
    <w:rsid w:val="00B4086B"/>
    <w:rsid w:val="00B4378B"/>
    <w:rsid w:val="00B80AE3"/>
    <w:rsid w:val="00B84235"/>
    <w:rsid w:val="00BC1462"/>
    <w:rsid w:val="00C062A3"/>
    <w:rsid w:val="00C14F8B"/>
    <w:rsid w:val="00C16326"/>
    <w:rsid w:val="00C17A02"/>
    <w:rsid w:val="00C42FEF"/>
    <w:rsid w:val="00C57D23"/>
    <w:rsid w:val="00C70176"/>
    <w:rsid w:val="00C75219"/>
    <w:rsid w:val="00CB5CA4"/>
    <w:rsid w:val="00CD6EFE"/>
    <w:rsid w:val="00D30A36"/>
    <w:rsid w:val="00D359E0"/>
    <w:rsid w:val="00D5048D"/>
    <w:rsid w:val="00D52B52"/>
    <w:rsid w:val="00D55FF0"/>
    <w:rsid w:val="00D72D64"/>
    <w:rsid w:val="00D84216"/>
    <w:rsid w:val="00D96392"/>
    <w:rsid w:val="00DF43F3"/>
    <w:rsid w:val="00E25B4E"/>
    <w:rsid w:val="00E35BD2"/>
    <w:rsid w:val="00E51D38"/>
    <w:rsid w:val="00E61396"/>
    <w:rsid w:val="00E7323F"/>
    <w:rsid w:val="00E73DD9"/>
    <w:rsid w:val="00E81A61"/>
    <w:rsid w:val="00EA3364"/>
    <w:rsid w:val="00ED4766"/>
    <w:rsid w:val="00F00734"/>
    <w:rsid w:val="00F0710A"/>
    <w:rsid w:val="00F21C0A"/>
    <w:rsid w:val="00F406F4"/>
    <w:rsid w:val="00F442EE"/>
    <w:rsid w:val="00F673AE"/>
    <w:rsid w:val="00F70B2D"/>
    <w:rsid w:val="00F764F0"/>
    <w:rsid w:val="00FB3FC6"/>
    <w:rsid w:val="00FC2A9A"/>
    <w:rsid w:val="00FC2EAF"/>
    <w:rsid w:val="00FD0553"/>
    <w:rsid w:val="00FE1916"/>
    <w:rsid w:val="00FF7E3C"/>
    <w:rsid w:val="01C96CE1"/>
    <w:rsid w:val="01EF5C6C"/>
    <w:rsid w:val="0213141D"/>
    <w:rsid w:val="02422B76"/>
    <w:rsid w:val="025C7AEF"/>
    <w:rsid w:val="02645EDE"/>
    <w:rsid w:val="028F652C"/>
    <w:rsid w:val="02AC0E99"/>
    <w:rsid w:val="02E82649"/>
    <w:rsid w:val="031804AE"/>
    <w:rsid w:val="03A503C5"/>
    <w:rsid w:val="03AD58C9"/>
    <w:rsid w:val="03EF5A56"/>
    <w:rsid w:val="03FD10F1"/>
    <w:rsid w:val="044D1072"/>
    <w:rsid w:val="04530D0F"/>
    <w:rsid w:val="05287047"/>
    <w:rsid w:val="05AD37A7"/>
    <w:rsid w:val="05CA4B32"/>
    <w:rsid w:val="060716F2"/>
    <w:rsid w:val="0623131F"/>
    <w:rsid w:val="06496D93"/>
    <w:rsid w:val="065B1A97"/>
    <w:rsid w:val="06997244"/>
    <w:rsid w:val="069A2593"/>
    <w:rsid w:val="06A55CE5"/>
    <w:rsid w:val="06BE4A55"/>
    <w:rsid w:val="06FB6B9A"/>
    <w:rsid w:val="07723515"/>
    <w:rsid w:val="08294D95"/>
    <w:rsid w:val="083E40F4"/>
    <w:rsid w:val="084205DB"/>
    <w:rsid w:val="08597DA5"/>
    <w:rsid w:val="089B0BCE"/>
    <w:rsid w:val="08DD7E5A"/>
    <w:rsid w:val="09011388"/>
    <w:rsid w:val="09342629"/>
    <w:rsid w:val="0978007F"/>
    <w:rsid w:val="097A4A73"/>
    <w:rsid w:val="09AE3CC5"/>
    <w:rsid w:val="09DE0986"/>
    <w:rsid w:val="09FD21C4"/>
    <w:rsid w:val="0A102B36"/>
    <w:rsid w:val="0A2168A4"/>
    <w:rsid w:val="0A2E140B"/>
    <w:rsid w:val="0AD17D06"/>
    <w:rsid w:val="0B1C7AA0"/>
    <w:rsid w:val="0B2126A0"/>
    <w:rsid w:val="0B2551DE"/>
    <w:rsid w:val="0B2B2D06"/>
    <w:rsid w:val="0B3E634C"/>
    <w:rsid w:val="0BBB66A7"/>
    <w:rsid w:val="0BF063AA"/>
    <w:rsid w:val="0C856CE1"/>
    <w:rsid w:val="0D0F3681"/>
    <w:rsid w:val="0D5E3C9D"/>
    <w:rsid w:val="0D663359"/>
    <w:rsid w:val="0EA02DAD"/>
    <w:rsid w:val="0EA21295"/>
    <w:rsid w:val="0F2D0A88"/>
    <w:rsid w:val="0F5954E6"/>
    <w:rsid w:val="0F767B93"/>
    <w:rsid w:val="0F8E3A84"/>
    <w:rsid w:val="0FB37B96"/>
    <w:rsid w:val="0FCF060B"/>
    <w:rsid w:val="10360E15"/>
    <w:rsid w:val="10433A46"/>
    <w:rsid w:val="104F63B3"/>
    <w:rsid w:val="10B51768"/>
    <w:rsid w:val="10C941D7"/>
    <w:rsid w:val="10E85874"/>
    <w:rsid w:val="112861E3"/>
    <w:rsid w:val="11CB6FAE"/>
    <w:rsid w:val="11DB3CB8"/>
    <w:rsid w:val="11F56C4E"/>
    <w:rsid w:val="11FB010E"/>
    <w:rsid w:val="120A43D7"/>
    <w:rsid w:val="12934E65"/>
    <w:rsid w:val="12980CF7"/>
    <w:rsid w:val="13014B35"/>
    <w:rsid w:val="133B6185"/>
    <w:rsid w:val="13476B29"/>
    <w:rsid w:val="138201CB"/>
    <w:rsid w:val="14892C25"/>
    <w:rsid w:val="149F5639"/>
    <w:rsid w:val="14B32361"/>
    <w:rsid w:val="14BF562A"/>
    <w:rsid w:val="14FF43A2"/>
    <w:rsid w:val="152316C1"/>
    <w:rsid w:val="15440D28"/>
    <w:rsid w:val="155E1B0A"/>
    <w:rsid w:val="15A556EE"/>
    <w:rsid w:val="15B775A9"/>
    <w:rsid w:val="15BC2FE7"/>
    <w:rsid w:val="15D17E40"/>
    <w:rsid w:val="1639292B"/>
    <w:rsid w:val="16A635BB"/>
    <w:rsid w:val="16F27CC8"/>
    <w:rsid w:val="1720738F"/>
    <w:rsid w:val="178B56DF"/>
    <w:rsid w:val="181D5D12"/>
    <w:rsid w:val="18B75FD0"/>
    <w:rsid w:val="19186C93"/>
    <w:rsid w:val="1944361E"/>
    <w:rsid w:val="198F731A"/>
    <w:rsid w:val="19A271F6"/>
    <w:rsid w:val="19CC6602"/>
    <w:rsid w:val="1A1D20C9"/>
    <w:rsid w:val="1A3E4CCB"/>
    <w:rsid w:val="1AC65EDF"/>
    <w:rsid w:val="1ACB3E5D"/>
    <w:rsid w:val="1AD333E0"/>
    <w:rsid w:val="1B0F599F"/>
    <w:rsid w:val="1B2B31AF"/>
    <w:rsid w:val="1B605B44"/>
    <w:rsid w:val="1B7340BA"/>
    <w:rsid w:val="1BB07F03"/>
    <w:rsid w:val="1BD64178"/>
    <w:rsid w:val="1BFE2B36"/>
    <w:rsid w:val="1C965008"/>
    <w:rsid w:val="1D0B2760"/>
    <w:rsid w:val="1D213BDE"/>
    <w:rsid w:val="1D2D418E"/>
    <w:rsid w:val="1D47666A"/>
    <w:rsid w:val="1D8459F0"/>
    <w:rsid w:val="1D8C4330"/>
    <w:rsid w:val="1DC17FBA"/>
    <w:rsid w:val="1DEF0B36"/>
    <w:rsid w:val="1E047366"/>
    <w:rsid w:val="1E342397"/>
    <w:rsid w:val="1E5F1528"/>
    <w:rsid w:val="1EF713A5"/>
    <w:rsid w:val="1FC9203E"/>
    <w:rsid w:val="20120F61"/>
    <w:rsid w:val="201A1108"/>
    <w:rsid w:val="20DB0457"/>
    <w:rsid w:val="216C1260"/>
    <w:rsid w:val="217F0DB2"/>
    <w:rsid w:val="21B76738"/>
    <w:rsid w:val="226027C5"/>
    <w:rsid w:val="226F79BD"/>
    <w:rsid w:val="228E305A"/>
    <w:rsid w:val="22AC34E9"/>
    <w:rsid w:val="22C3182B"/>
    <w:rsid w:val="22CE0CB8"/>
    <w:rsid w:val="23422C63"/>
    <w:rsid w:val="234545FA"/>
    <w:rsid w:val="237162AA"/>
    <w:rsid w:val="241C75BC"/>
    <w:rsid w:val="2429493B"/>
    <w:rsid w:val="24B30B27"/>
    <w:rsid w:val="24C07741"/>
    <w:rsid w:val="24E558C2"/>
    <w:rsid w:val="25606E5C"/>
    <w:rsid w:val="25EC3F7E"/>
    <w:rsid w:val="261741A4"/>
    <w:rsid w:val="269A1132"/>
    <w:rsid w:val="26C00417"/>
    <w:rsid w:val="26C03ECD"/>
    <w:rsid w:val="26C46F4D"/>
    <w:rsid w:val="26D20E16"/>
    <w:rsid w:val="27785A54"/>
    <w:rsid w:val="27793E3D"/>
    <w:rsid w:val="2796292D"/>
    <w:rsid w:val="27BE74BF"/>
    <w:rsid w:val="27C5792E"/>
    <w:rsid w:val="27FD1EE6"/>
    <w:rsid w:val="280442F6"/>
    <w:rsid w:val="281A32DE"/>
    <w:rsid w:val="282C6E5B"/>
    <w:rsid w:val="29100F15"/>
    <w:rsid w:val="2911258C"/>
    <w:rsid w:val="294C0B3B"/>
    <w:rsid w:val="296B7060"/>
    <w:rsid w:val="29D541E9"/>
    <w:rsid w:val="29F76670"/>
    <w:rsid w:val="2A1940AD"/>
    <w:rsid w:val="2A231DE5"/>
    <w:rsid w:val="2ABD27A8"/>
    <w:rsid w:val="2B1C5A7D"/>
    <w:rsid w:val="2BA930DC"/>
    <w:rsid w:val="2BB94E6F"/>
    <w:rsid w:val="2BBD5EE8"/>
    <w:rsid w:val="2BEB123D"/>
    <w:rsid w:val="2C0D5DF5"/>
    <w:rsid w:val="2C3F13AE"/>
    <w:rsid w:val="2C787AB3"/>
    <w:rsid w:val="2D350A3B"/>
    <w:rsid w:val="2D6E3A1C"/>
    <w:rsid w:val="2D8C48E9"/>
    <w:rsid w:val="2DA4275E"/>
    <w:rsid w:val="2E1C6362"/>
    <w:rsid w:val="2E284C9E"/>
    <w:rsid w:val="2E382E52"/>
    <w:rsid w:val="2E572844"/>
    <w:rsid w:val="2E875786"/>
    <w:rsid w:val="2ED2234E"/>
    <w:rsid w:val="2EEB4385"/>
    <w:rsid w:val="2F1518CA"/>
    <w:rsid w:val="2F1B5BAA"/>
    <w:rsid w:val="2FA74A7E"/>
    <w:rsid w:val="2FBD4053"/>
    <w:rsid w:val="2FEA2573"/>
    <w:rsid w:val="30055FB6"/>
    <w:rsid w:val="304F3BDE"/>
    <w:rsid w:val="305423A3"/>
    <w:rsid w:val="30BD052D"/>
    <w:rsid w:val="31852026"/>
    <w:rsid w:val="31AD50AD"/>
    <w:rsid w:val="31F5015D"/>
    <w:rsid w:val="3236212B"/>
    <w:rsid w:val="32424565"/>
    <w:rsid w:val="324B3011"/>
    <w:rsid w:val="325226FD"/>
    <w:rsid w:val="32606FD6"/>
    <w:rsid w:val="32753042"/>
    <w:rsid w:val="329304BE"/>
    <w:rsid w:val="32C721D9"/>
    <w:rsid w:val="32DF57E0"/>
    <w:rsid w:val="32E55C1F"/>
    <w:rsid w:val="33561FDB"/>
    <w:rsid w:val="339B5E4C"/>
    <w:rsid w:val="33AA3249"/>
    <w:rsid w:val="33D51136"/>
    <w:rsid w:val="345D17B1"/>
    <w:rsid w:val="34A4619B"/>
    <w:rsid w:val="34B839FC"/>
    <w:rsid w:val="358B2A99"/>
    <w:rsid w:val="3590614D"/>
    <w:rsid w:val="359A346F"/>
    <w:rsid w:val="35B91B99"/>
    <w:rsid w:val="361F2AA0"/>
    <w:rsid w:val="363A4F49"/>
    <w:rsid w:val="366D0BF2"/>
    <w:rsid w:val="36BB5169"/>
    <w:rsid w:val="36BC5233"/>
    <w:rsid w:val="36DD3CF0"/>
    <w:rsid w:val="371146D5"/>
    <w:rsid w:val="3713556E"/>
    <w:rsid w:val="371A5BB6"/>
    <w:rsid w:val="37301B66"/>
    <w:rsid w:val="37FC32B7"/>
    <w:rsid w:val="383B6C2D"/>
    <w:rsid w:val="38566FF8"/>
    <w:rsid w:val="38895DF3"/>
    <w:rsid w:val="38C71F1A"/>
    <w:rsid w:val="392C4F19"/>
    <w:rsid w:val="3960700A"/>
    <w:rsid w:val="39956328"/>
    <w:rsid w:val="39A02AB7"/>
    <w:rsid w:val="3A86149E"/>
    <w:rsid w:val="3AD8655B"/>
    <w:rsid w:val="3B0A1658"/>
    <w:rsid w:val="3B6F7009"/>
    <w:rsid w:val="3B752550"/>
    <w:rsid w:val="3BA61418"/>
    <w:rsid w:val="3BB360A4"/>
    <w:rsid w:val="3C8256CF"/>
    <w:rsid w:val="3CA234E5"/>
    <w:rsid w:val="3CB20049"/>
    <w:rsid w:val="3D46102E"/>
    <w:rsid w:val="3DC40407"/>
    <w:rsid w:val="3DC5559E"/>
    <w:rsid w:val="3DFA7488"/>
    <w:rsid w:val="3E91565D"/>
    <w:rsid w:val="3E9561B6"/>
    <w:rsid w:val="3FE1317A"/>
    <w:rsid w:val="4001581F"/>
    <w:rsid w:val="406B47AD"/>
    <w:rsid w:val="40E570AE"/>
    <w:rsid w:val="40FA4727"/>
    <w:rsid w:val="411930F5"/>
    <w:rsid w:val="41271D8F"/>
    <w:rsid w:val="41502089"/>
    <w:rsid w:val="41652ED7"/>
    <w:rsid w:val="417432A2"/>
    <w:rsid w:val="41CE6D34"/>
    <w:rsid w:val="41D05EAE"/>
    <w:rsid w:val="41D310F1"/>
    <w:rsid w:val="41D73E49"/>
    <w:rsid w:val="427512D2"/>
    <w:rsid w:val="42AA2E20"/>
    <w:rsid w:val="42BF187F"/>
    <w:rsid w:val="43106170"/>
    <w:rsid w:val="43192305"/>
    <w:rsid w:val="43AD365D"/>
    <w:rsid w:val="43AF5710"/>
    <w:rsid w:val="44200DF9"/>
    <w:rsid w:val="44711629"/>
    <w:rsid w:val="44886DFB"/>
    <w:rsid w:val="44B10165"/>
    <w:rsid w:val="44CC73E0"/>
    <w:rsid w:val="451502AA"/>
    <w:rsid w:val="45274F43"/>
    <w:rsid w:val="455F5559"/>
    <w:rsid w:val="45743D03"/>
    <w:rsid w:val="45F76298"/>
    <w:rsid w:val="45FA06C2"/>
    <w:rsid w:val="45FF4209"/>
    <w:rsid w:val="469679AA"/>
    <w:rsid w:val="46D666A3"/>
    <w:rsid w:val="472B5449"/>
    <w:rsid w:val="473272D9"/>
    <w:rsid w:val="474C44D5"/>
    <w:rsid w:val="477D7097"/>
    <w:rsid w:val="480101A1"/>
    <w:rsid w:val="481D610F"/>
    <w:rsid w:val="483D6179"/>
    <w:rsid w:val="484E5AFC"/>
    <w:rsid w:val="48CF453D"/>
    <w:rsid w:val="490A10F0"/>
    <w:rsid w:val="49AB7314"/>
    <w:rsid w:val="4A0820E1"/>
    <w:rsid w:val="4A7D0978"/>
    <w:rsid w:val="4A9C4944"/>
    <w:rsid w:val="4AAF73CA"/>
    <w:rsid w:val="4B100A92"/>
    <w:rsid w:val="4B3C46DC"/>
    <w:rsid w:val="4B3F072E"/>
    <w:rsid w:val="4B9B136C"/>
    <w:rsid w:val="4BC0305F"/>
    <w:rsid w:val="4BD50645"/>
    <w:rsid w:val="4C1D66AF"/>
    <w:rsid w:val="4C213C42"/>
    <w:rsid w:val="4C242410"/>
    <w:rsid w:val="4C6F1BC3"/>
    <w:rsid w:val="4CAC1722"/>
    <w:rsid w:val="4D5C1C08"/>
    <w:rsid w:val="4D6D2A21"/>
    <w:rsid w:val="4D82737F"/>
    <w:rsid w:val="4DA02322"/>
    <w:rsid w:val="4DC52122"/>
    <w:rsid w:val="4DE15DC5"/>
    <w:rsid w:val="4DE61D28"/>
    <w:rsid w:val="4E573639"/>
    <w:rsid w:val="4E9A45FD"/>
    <w:rsid w:val="4ECA1704"/>
    <w:rsid w:val="4F590286"/>
    <w:rsid w:val="4F6A1A6D"/>
    <w:rsid w:val="50536903"/>
    <w:rsid w:val="506D0B79"/>
    <w:rsid w:val="50806F01"/>
    <w:rsid w:val="508C4FE9"/>
    <w:rsid w:val="50B2127A"/>
    <w:rsid w:val="50CC582B"/>
    <w:rsid w:val="511216DD"/>
    <w:rsid w:val="514F2EE0"/>
    <w:rsid w:val="51505CDD"/>
    <w:rsid w:val="51663577"/>
    <w:rsid w:val="51990D80"/>
    <w:rsid w:val="51B13EC6"/>
    <w:rsid w:val="51F84BF4"/>
    <w:rsid w:val="5291672E"/>
    <w:rsid w:val="532D1416"/>
    <w:rsid w:val="53A362D6"/>
    <w:rsid w:val="53E610C1"/>
    <w:rsid w:val="53FF52C2"/>
    <w:rsid w:val="5423082D"/>
    <w:rsid w:val="544D3A66"/>
    <w:rsid w:val="54E15808"/>
    <w:rsid w:val="55195590"/>
    <w:rsid w:val="557622A7"/>
    <w:rsid w:val="55870E18"/>
    <w:rsid w:val="55A87770"/>
    <w:rsid w:val="56681851"/>
    <w:rsid w:val="56D67806"/>
    <w:rsid w:val="56DE5F9E"/>
    <w:rsid w:val="57391AB3"/>
    <w:rsid w:val="573E1A8C"/>
    <w:rsid w:val="576F6FA2"/>
    <w:rsid w:val="57A424C8"/>
    <w:rsid w:val="582D247C"/>
    <w:rsid w:val="589C61BC"/>
    <w:rsid w:val="59157105"/>
    <w:rsid w:val="59741C4E"/>
    <w:rsid w:val="59A20EC6"/>
    <w:rsid w:val="5A644403"/>
    <w:rsid w:val="5B177ECC"/>
    <w:rsid w:val="5B1D64DB"/>
    <w:rsid w:val="5B840215"/>
    <w:rsid w:val="5BDA4A27"/>
    <w:rsid w:val="5BDB7DA9"/>
    <w:rsid w:val="5C0D7059"/>
    <w:rsid w:val="5C394DE2"/>
    <w:rsid w:val="5C60527F"/>
    <w:rsid w:val="5C7A5FCD"/>
    <w:rsid w:val="5C924F17"/>
    <w:rsid w:val="5C9F50DA"/>
    <w:rsid w:val="5CAB0517"/>
    <w:rsid w:val="5D5A2BC6"/>
    <w:rsid w:val="5D707ED2"/>
    <w:rsid w:val="5D84300B"/>
    <w:rsid w:val="5DC82A46"/>
    <w:rsid w:val="5DDD054B"/>
    <w:rsid w:val="5E043695"/>
    <w:rsid w:val="5E230A01"/>
    <w:rsid w:val="5E4071A5"/>
    <w:rsid w:val="5E6045BD"/>
    <w:rsid w:val="5E8C1226"/>
    <w:rsid w:val="5E9E2EC2"/>
    <w:rsid w:val="5EEA3840"/>
    <w:rsid w:val="5F437C91"/>
    <w:rsid w:val="5F4C4E5B"/>
    <w:rsid w:val="5F825A89"/>
    <w:rsid w:val="5FBC3777"/>
    <w:rsid w:val="5FD84980"/>
    <w:rsid w:val="601E36F5"/>
    <w:rsid w:val="6057405A"/>
    <w:rsid w:val="60655470"/>
    <w:rsid w:val="60796F67"/>
    <w:rsid w:val="60814CDA"/>
    <w:rsid w:val="60F84F5E"/>
    <w:rsid w:val="61B94911"/>
    <w:rsid w:val="61BB6B8F"/>
    <w:rsid w:val="621A66B2"/>
    <w:rsid w:val="626159C9"/>
    <w:rsid w:val="62A11FF6"/>
    <w:rsid w:val="63401004"/>
    <w:rsid w:val="63564A63"/>
    <w:rsid w:val="63625897"/>
    <w:rsid w:val="63D61B66"/>
    <w:rsid w:val="64101A2E"/>
    <w:rsid w:val="644F5036"/>
    <w:rsid w:val="646D496C"/>
    <w:rsid w:val="646E770E"/>
    <w:rsid w:val="648A1A29"/>
    <w:rsid w:val="64EE11ED"/>
    <w:rsid w:val="64FE59D0"/>
    <w:rsid w:val="64FF4DD8"/>
    <w:rsid w:val="65637C84"/>
    <w:rsid w:val="656B1EBC"/>
    <w:rsid w:val="656C5E6A"/>
    <w:rsid w:val="65840864"/>
    <w:rsid w:val="6586391A"/>
    <w:rsid w:val="65C3753F"/>
    <w:rsid w:val="660D7D6E"/>
    <w:rsid w:val="66BA2AF2"/>
    <w:rsid w:val="66EF4B9C"/>
    <w:rsid w:val="6714393C"/>
    <w:rsid w:val="671944B0"/>
    <w:rsid w:val="672D09A5"/>
    <w:rsid w:val="675A73B9"/>
    <w:rsid w:val="676064B3"/>
    <w:rsid w:val="6788504C"/>
    <w:rsid w:val="67C73E2C"/>
    <w:rsid w:val="685F73C4"/>
    <w:rsid w:val="688756B6"/>
    <w:rsid w:val="68D34DA9"/>
    <w:rsid w:val="68D96A52"/>
    <w:rsid w:val="69332767"/>
    <w:rsid w:val="6949312F"/>
    <w:rsid w:val="69BF2A4E"/>
    <w:rsid w:val="69FA3ABC"/>
    <w:rsid w:val="6A0E001F"/>
    <w:rsid w:val="6A407B2A"/>
    <w:rsid w:val="6A627495"/>
    <w:rsid w:val="6B410768"/>
    <w:rsid w:val="6B444FA1"/>
    <w:rsid w:val="6B4E5FE0"/>
    <w:rsid w:val="6B72598F"/>
    <w:rsid w:val="6B8658A2"/>
    <w:rsid w:val="6BE05276"/>
    <w:rsid w:val="6C07225C"/>
    <w:rsid w:val="6C341303"/>
    <w:rsid w:val="6C456F6B"/>
    <w:rsid w:val="6C6A65EF"/>
    <w:rsid w:val="6C701C56"/>
    <w:rsid w:val="6CAC0BC8"/>
    <w:rsid w:val="6CC007A8"/>
    <w:rsid w:val="6D4C3D82"/>
    <w:rsid w:val="6D954CC7"/>
    <w:rsid w:val="6DA52F2A"/>
    <w:rsid w:val="6DB11EA4"/>
    <w:rsid w:val="6E4F6354"/>
    <w:rsid w:val="6E5E05B6"/>
    <w:rsid w:val="6EA22B80"/>
    <w:rsid w:val="6F8E1342"/>
    <w:rsid w:val="6F905042"/>
    <w:rsid w:val="6FD91EC8"/>
    <w:rsid w:val="703839B3"/>
    <w:rsid w:val="706F01F8"/>
    <w:rsid w:val="71166FF0"/>
    <w:rsid w:val="716B38F6"/>
    <w:rsid w:val="719E2165"/>
    <w:rsid w:val="71AD7D32"/>
    <w:rsid w:val="728459BC"/>
    <w:rsid w:val="730F28C8"/>
    <w:rsid w:val="73C25EC3"/>
    <w:rsid w:val="73C9016F"/>
    <w:rsid w:val="73F65814"/>
    <w:rsid w:val="73F757DA"/>
    <w:rsid w:val="73FB3EB9"/>
    <w:rsid w:val="747C31A3"/>
    <w:rsid w:val="74B34514"/>
    <w:rsid w:val="754C5C13"/>
    <w:rsid w:val="755F49A2"/>
    <w:rsid w:val="759C3AE9"/>
    <w:rsid w:val="761E563F"/>
    <w:rsid w:val="76EB4C1E"/>
    <w:rsid w:val="76F802D1"/>
    <w:rsid w:val="774C3174"/>
    <w:rsid w:val="778E1461"/>
    <w:rsid w:val="77AC3342"/>
    <w:rsid w:val="77F12591"/>
    <w:rsid w:val="78726623"/>
    <w:rsid w:val="788B0D06"/>
    <w:rsid w:val="78F8087B"/>
    <w:rsid w:val="79212C21"/>
    <w:rsid w:val="79467486"/>
    <w:rsid w:val="79B80F53"/>
    <w:rsid w:val="79F85892"/>
    <w:rsid w:val="7A48185C"/>
    <w:rsid w:val="7A845614"/>
    <w:rsid w:val="7ABE0F74"/>
    <w:rsid w:val="7AFF4696"/>
    <w:rsid w:val="7B043B19"/>
    <w:rsid w:val="7B380B63"/>
    <w:rsid w:val="7B756551"/>
    <w:rsid w:val="7D1C2A85"/>
    <w:rsid w:val="7D4B4097"/>
    <w:rsid w:val="7DA870E2"/>
    <w:rsid w:val="7DD104F4"/>
    <w:rsid w:val="7DD940A9"/>
    <w:rsid w:val="7DE05F48"/>
    <w:rsid w:val="7E1C5E5F"/>
    <w:rsid w:val="7E480D35"/>
    <w:rsid w:val="7E5A215E"/>
    <w:rsid w:val="7E8B6DD3"/>
    <w:rsid w:val="7ED251DE"/>
    <w:rsid w:val="7FCF67C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_x0000_s1026"/>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imes New Roman" w:hAnsi="Times New Roman" w:eastAsia="宋体" w:cs="Times New Roman"/>
      <w:kern w:val="2"/>
      <w:sz w:val="24"/>
      <w:szCs w:val="22"/>
      <w:lang w:val="en-US" w:eastAsia="zh-CN" w:bidi="ar-SA"/>
    </w:rPr>
  </w:style>
  <w:style w:type="paragraph" w:styleId="2">
    <w:name w:val="heading 1"/>
    <w:basedOn w:val="1"/>
    <w:next w:val="1"/>
    <w:link w:val="22"/>
    <w:qFormat/>
    <w:uiPriority w:val="0"/>
    <w:pPr>
      <w:keepNext/>
      <w:overflowPunct w:val="0"/>
      <w:outlineLvl w:val="0"/>
    </w:pPr>
    <w:rPr>
      <w:b/>
      <w:bCs/>
      <w:color w:val="000000"/>
      <w:kern w:val="44"/>
      <w:sz w:val="32"/>
      <w:szCs w:val="30"/>
    </w:rPr>
  </w:style>
  <w:style w:type="paragraph" w:styleId="3">
    <w:name w:val="heading 2"/>
    <w:basedOn w:val="1"/>
    <w:next w:val="1"/>
    <w:link w:val="19"/>
    <w:unhideWhenUsed/>
    <w:qFormat/>
    <w:uiPriority w:val="0"/>
    <w:pPr>
      <w:spacing w:line="240" w:lineRule="auto"/>
      <w:jc w:val="left"/>
      <w:outlineLvl w:val="1"/>
    </w:pPr>
    <w:rPr>
      <w:b/>
      <w:kern w:val="0"/>
      <w:sz w:val="32"/>
    </w:rPr>
  </w:style>
  <w:style w:type="paragraph" w:styleId="4">
    <w:name w:val="heading 3"/>
    <w:basedOn w:val="1"/>
    <w:next w:val="1"/>
    <w:unhideWhenUsed/>
    <w:qFormat/>
    <w:uiPriority w:val="0"/>
    <w:pPr>
      <w:keepNext/>
      <w:keepLines/>
      <w:outlineLvl w:val="2"/>
    </w:pPr>
    <w:rPr>
      <w:b/>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27"/>
    <w:qFormat/>
    <w:uiPriority w:val="0"/>
    <w:rPr>
      <w:rFonts w:ascii="宋体"/>
      <w:sz w:val="18"/>
      <w:szCs w:val="18"/>
    </w:rPr>
  </w:style>
  <w:style w:type="paragraph" w:styleId="6">
    <w:name w:val="annotation text"/>
    <w:basedOn w:val="1"/>
    <w:link w:val="25"/>
    <w:qFormat/>
    <w:uiPriority w:val="0"/>
    <w:pPr>
      <w:jc w:val="left"/>
    </w:pPr>
  </w:style>
  <w:style w:type="paragraph" w:styleId="7">
    <w:name w:val="Body Text"/>
    <w:basedOn w:val="1"/>
    <w:next w:val="8"/>
    <w:qFormat/>
    <w:uiPriority w:val="0"/>
    <w:pPr>
      <w:widowControl/>
      <w:snapToGrid w:val="0"/>
      <w:spacing w:before="60" w:after="160" w:line="259" w:lineRule="auto"/>
      <w:ind w:right="113"/>
    </w:pPr>
    <w:rPr>
      <w:kern w:val="0"/>
      <w:sz w:val="18"/>
      <w:szCs w:val="18"/>
    </w:rPr>
  </w:style>
  <w:style w:type="paragraph" w:styleId="8">
    <w:name w:val="Body Text Indent"/>
    <w:basedOn w:val="1"/>
    <w:semiHidden/>
    <w:qFormat/>
    <w:uiPriority w:val="0"/>
    <w:pPr>
      <w:spacing w:after="120"/>
      <w:ind w:left="420" w:leftChars="200"/>
    </w:pPr>
  </w:style>
  <w:style w:type="paragraph" w:styleId="9">
    <w:name w:val="Balloon Text"/>
    <w:basedOn w:val="1"/>
    <w:link w:val="24"/>
    <w:qFormat/>
    <w:uiPriority w:val="0"/>
    <w:pPr>
      <w:spacing w:line="240" w:lineRule="auto"/>
    </w:pPr>
    <w:rPr>
      <w:sz w:val="18"/>
      <w:szCs w:val="18"/>
    </w:rPr>
  </w:style>
  <w:style w:type="paragraph" w:styleId="10">
    <w:name w:val="footer"/>
    <w:basedOn w:val="1"/>
    <w:qFormat/>
    <w:uiPriority w:val="0"/>
    <w:pPr>
      <w:tabs>
        <w:tab w:val="center" w:pos="4153"/>
        <w:tab w:val="right" w:pos="8306"/>
      </w:tabs>
      <w:snapToGrid w:val="0"/>
      <w:jc w:val="left"/>
    </w:pPr>
    <w:rPr>
      <w:sz w:val="18"/>
      <w:szCs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2">
    <w:name w:val="annotation subject"/>
    <w:basedOn w:val="6"/>
    <w:next w:val="6"/>
    <w:link w:val="26"/>
    <w:qFormat/>
    <w:uiPriority w:val="0"/>
    <w:rPr>
      <w:b/>
      <w:bCs/>
    </w:rPr>
  </w:style>
  <w:style w:type="paragraph" w:styleId="13">
    <w:name w:val="Body Text First Indent"/>
    <w:basedOn w:val="1"/>
    <w:qFormat/>
    <w:uiPriority w:val="0"/>
    <w:pPr>
      <w:ind w:firstLine="1044" w:firstLineChars="200"/>
    </w:pPr>
    <w:rPr>
      <w:rFonts w:cs="宋体"/>
      <w:szCs w:val="24"/>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page number"/>
    <w:basedOn w:val="16"/>
    <w:qFormat/>
    <w:uiPriority w:val="0"/>
  </w:style>
  <w:style w:type="character" w:styleId="18">
    <w:name w:val="annotation reference"/>
    <w:basedOn w:val="16"/>
    <w:qFormat/>
    <w:uiPriority w:val="0"/>
    <w:rPr>
      <w:sz w:val="21"/>
      <w:szCs w:val="21"/>
    </w:rPr>
  </w:style>
  <w:style w:type="character" w:customStyle="1" w:styleId="19">
    <w:name w:val="标题 2 Char"/>
    <w:link w:val="3"/>
    <w:qFormat/>
    <w:uiPriority w:val="0"/>
    <w:rPr>
      <w:rFonts w:ascii="Times New Roman" w:hAnsi="Times New Roman" w:eastAsia="宋体"/>
      <w:b/>
      <w:kern w:val="0"/>
      <w:sz w:val="32"/>
      <w:szCs w:val="22"/>
    </w:rPr>
  </w:style>
  <w:style w:type="paragraph" w:customStyle="1" w:styleId="20">
    <w:name w:val="表格"/>
    <w:next w:val="1"/>
    <w:qFormat/>
    <w:uiPriority w:val="0"/>
    <w:pPr>
      <w:adjustRightInd w:val="0"/>
      <w:snapToGrid w:val="0"/>
      <w:jc w:val="center"/>
    </w:pPr>
    <w:rPr>
      <w:rFonts w:ascii="Times New Roman" w:hAnsi="Times New Roman" w:eastAsia="宋体" w:cs="Times New Roman"/>
      <w:snapToGrid w:val="0"/>
      <w:sz w:val="21"/>
      <w:szCs w:val="24"/>
      <w:lang w:val="en-US" w:eastAsia="zh-CN" w:bidi="ar-SA"/>
    </w:rPr>
  </w:style>
  <w:style w:type="paragraph" w:customStyle="1" w:styleId="21">
    <w:name w:val="表头"/>
    <w:next w:val="20"/>
    <w:qFormat/>
    <w:uiPriority w:val="0"/>
    <w:pPr>
      <w:jc w:val="center"/>
    </w:pPr>
    <w:rPr>
      <w:rFonts w:ascii="Times New Roman" w:hAnsi="Times New Roman" w:eastAsia="宋体" w:cs="Times New Roman"/>
      <w:b/>
      <w:sz w:val="24"/>
      <w:lang w:val="en-US" w:eastAsia="zh-CN" w:bidi="ar-SA"/>
    </w:rPr>
  </w:style>
  <w:style w:type="character" w:customStyle="1" w:styleId="22">
    <w:name w:val="标题 1 Char"/>
    <w:link w:val="2"/>
    <w:qFormat/>
    <w:uiPriority w:val="0"/>
    <w:rPr>
      <w:rFonts w:ascii="Times New Roman" w:hAnsi="Times New Roman" w:eastAsia="宋体" w:cs="Times New Roman"/>
      <w:b/>
      <w:bCs/>
      <w:color w:val="000000"/>
      <w:kern w:val="44"/>
      <w:sz w:val="32"/>
      <w:szCs w:val="30"/>
    </w:rPr>
  </w:style>
  <w:style w:type="paragraph" w:customStyle="1" w:styleId="23">
    <w:name w:val="！正文文本格式"/>
    <w:basedOn w:val="1"/>
    <w:qFormat/>
    <w:uiPriority w:val="99"/>
    <w:pPr>
      <w:keepNext/>
      <w:keepLines/>
      <w:spacing w:line="520" w:lineRule="exact"/>
      <w:ind w:firstLine="480" w:firstLineChars="200"/>
      <w:outlineLvl w:val="1"/>
    </w:pPr>
  </w:style>
  <w:style w:type="character" w:customStyle="1" w:styleId="24">
    <w:name w:val="批注框文本 Char"/>
    <w:basedOn w:val="16"/>
    <w:link w:val="9"/>
    <w:qFormat/>
    <w:uiPriority w:val="0"/>
    <w:rPr>
      <w:kern w:val="2"/>
      <w:sz w:val="18"/>
      <w:szCs w:val="18"/>
    </w:rPr>
  </w:style>
  <w:style w:type="character" w:customStyle="1" w:styleId="25">
    <w:name w:val="批注文字 Char"/>
    <w:basedOn w:val="16"/>
    <w:link w:val="6"/>
    <w:qFormat/>
    <w:uiPriority w:val="0"/>
    <w:rPr>
      <w:kern w:val="2"/>
      <w:sz w:val="24"/>
      <w:szCs w:val="22"/>
    </w:rPr>
  </w:style>
  <w:style w:type="character" w:customStyle="1" w:styleId="26">
    <w:name w:val="批注主题 Char"/>
    <w:basedOn w:val="25"/>
    <w:link w:val="12"/>
    <w:qFormat/>
    <w:uiPriority w:val="0"/>
  </w:style>
  <w:style w:type="character" w:customStyle="1" w:styleId="27">
    <w:name w:val="文档结构图 Char"/>
    <w:basedOn w:val="16"/>
    <w:link w:val="5"/>
    <w:uiPriority w:val="0"/>
    <w:rPr>
      <w:rFonts w:ascii="宋体"/>
      <w:kern w:val="2"/>
      <w:sz w:val="18"/>
      <w:szCs w:val="18"/>
    </w:rPr>
  </w:style>
  <w:style w:type="character" w:customStyle="1" w:styleId="28">
    <w:name w:val="font31"/>
    <w:basedOn w:val="16"/>
    <w:uiPriority w:val="0"/>
    <w:rPr>
      <w:rFonts w:hint="default" w:ascii="Times New Roman" w:hAnsi="Times New Roman" w:cs="Times New Roman"/>
      <w:color w:val="000000"/>
      <w:sz w:val="22"/>
      <w:szCs w:val="22"/>
      <w:u w:val="none"/>
    </w:rPr>
  </w:style>
  <w:style w:type="character" w:customStyle="1" w:styleId="29">
    <w:name w:val="font01"/>
    <w:basedOn w:val="16"/>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0.pn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49"/>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0041125-7F9C-4F28-910F-99CFEABC83D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51</Pages>
  <Words>32226</Words>
  <Characters>35984</Characters>
  <Lines>221</Lines>
  <Paragraphs>62</Paragraphs>
  <TotalTime>7</TotalTime>
  <ScaleCrop>false</ScaleCrop>
  <LinksUpToDate>false</LinksUpToDate>
  <CharactersWithSpaces>36306</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2021-03-15T03:02:00Z</dcterms:created>
  <dc:creator>七七</dc:creator>
  <cp:lastModifiedBy>summer</cp:lastModifiedBy>
  <cp:lastPrinted>2021-03-24T09:24:00Z</cp:lastPrinted>
  <dcterms:modified xsi:type="dcterms:W3CDTF">2022-06-24T09:48:00Z</dcterms:modified>
  <cp:revision>204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78D2F59D0C32409FBB94C8F579595835</vt:lpwstr>
  </property>
</Properties>
</file>