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hAnsi="宋体" w:eastAsia="方正小标宋_GBK"/>
          <w:b/>
          <w:bCs/>
          <w:sz w:val="36"/>
          <w:szCs w:val="36"/>
        </w:rPr>
      </w:pPr>
    </w:p>
    <w:p>
      <w:pPr>
        <w:spacing w:line="576" w:lineRule="exact"/>
        <w:jc w:val="center"/>
        <w:rPr>
          <w:rFonts w:ascii="方正小标宋_GBK" w:hAnsi="宋体" w:eastAsia="方正小标宋_GBK"/>
          <w:b/>
          <w:bCs/>
          <w:sz w:val="36"/>
          <w:szCs w:val="36"/>
        </w:rPr>
      </w:pPr>
    </w:p>
    <w:p>
      <w:pPr>
        <w:spacing w:line="576" w:lineRule="exact"/>
        <w:jc w:val="center"/>
        <w:rPr>
          <w:rFonts w:ascii="方正小标宋_GBK" w:hAnsi="宋体" w:eastAsia="方正小标宋_GBK"/>
          <w:b/>
          <w:bCs/>
          <w:sz w:val="36"/>
          <w:szCs w:val="36"/>
        </w:rPr>
      </w:pPr>
    </w:p>
    <w:p>
      <w:pPr>
        <w:spacing w:line="576" w:lineRule="exact"/>
        <w:rPr>
          <w:rFonts w:ascii="方正小标宋_GBK" w:hAnsi="宋体" w:eastAsia="方正小标宋_GBK"/>
          <w:b/>
          <w:bCs/>
          <w:sz w:val="36"/>
          <w:szCs w:val="36"/>
        </w:rPr>
      </w:pPr>
    </w:p>
    <w:p>
      <w:pPr>
        <w:spacing w:line="576" w:lineRule="exact"/>
        <w:rPr>
          <w:rFonts w:ascii="方正小标宋_GBK" w:hAnsi="宋体" w:eastAsia="方正小标宋_GBK"/>
          <w:b/>
          <w:bCs/>
          <w:sz w:val="36"/>
          <w:szCs w:val="36"/>
        </w:rPr>
      </w:pPr>
    </w:p>
    <w:p>
      <w:pPr>
        <w:spacing w:line="576" w:lineRule="exact"/>
        <w:rPr>
          <w:rFonts w:ascii="方正小标宋_GBK" w:hAnsi="宋体" w:eastAsia="方正小标宋_GBK"/>
          <w:b/>
          <w:bCs/>
          <w:sz w:val="36"/>
          <w:szCs w:val="36"/>
        </w:rPr>
      </w:pPr>
    </w:p>
    <w:p>
      <w:pPr>
        <w:pStyle w:val="13"/>
        <w:spacing w:line="5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南生发﹝2021﹞164</w:t>
      </w:r>
      <w:bookmarkStart w:id="0" w:name="_GoBack"/>
      <w:bookmarkEnd w:id="0"/>
      <w:r>
        <w:rPr>
          <w:rFonts w:hint="eastAsia" w:ascii="仿宋_GB2312" w:hAnsi="仿宋_GB2312" w:eastAsia="仿宋_GB2312" w:cs="仿宋_GB2312"/>
          <w:sz w:val="32"/>
          <w:szCs w:val="32"/>
          <w:lang w:val="en-US" w:eastAsia="zh-CN"/>
        </w:rPr>
        <w:t>号</w:t>
      </w:r>
    </w:p>
    <w:p>
      <w:pPr>
        <w:pStyle w:val="13"/>
        <w:tabs>
          <w:tab w:val="left" w:pos="6375"/>
        </w:tabs>
        <w:spacing w:line="540" w:lineRule="exact"/>
        <w:rPr>
          <w:rFonts w:ascii="仿宋" w:hAnsi="仿宋" w:eastAsia="仿宋"/>
          <w:sz w:val="32"/>
          <w:szCs w:val="32"/>
        </w:rPr>
      </w:pPr>
      <w:r>
        <w:rPr>
          <w:rFonts w:ascii="仿宋" w:hAnsi="仿宋" w:eastAsia="仿宋"/>
          <w:sz w:val="32"/>
          <w:szCs w:val="32"/>
        </w:rPr>
        <w:tab/>
      </w:r>
    </w:p>
    <w:p>
      <w:pPr>
        <w:spacing w:line="576"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海南州生态环境局</w:t>
      </w:r>
    </w:p>
    <w:p>
      <w:pPr>
        <w:tabs>
          <w:tab w:val="left" w:pos="5245"/>
        </w:tabs>
        <w:spacing w:line="576"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eastAsia="zh-CN"/>
        </w:rPr>
        <w:t>海南基地共和县100万千瓦光伏</w:t>
      </w:r>
      <w:r>
        <w:rPr>
          <w:rFonts w:hint="eastAsia" w:ascii="方正小标宋简体" w:hAnsi="方正小标宋简体" w:eastAsia="方正小标宋简体" w:cs="方正小标宋简体"/>
          <w:sz w:val="36"/>
          <w:szCs w:val="36"/>
          <w:lang w:val="en-US" w:eastAsia="zh-CN"/>
        </w:rPr>
        <w:t>项目</w:t>
      </w:r>
    </w:p>
    <w:p>
      <w:pPr>
        <w:tabs>
          <w:tab w:val="left" w:pos="5245"/>
        </w:tabs>
        <w:spacing w:line="576"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环境影响报告表的批复</w:t>
      </w:r>
    </w:p>
    <w:p>
      <w:pPr>
        <w:tabs>
          <w:tab w:val="left" w:pos="5245"/>
        </w:tabs>
        <w:spacing w:line="580" w:lineRule="exact"/>
        <w:rPr>
          <w:rFonts w:ascii="仿宋_GB2312" w:eastAsia="仿宋_GB2312"/>
          <w:sz w:val="32"/>
          <w:szCs w:val="32"/>
        </w:rPr>
      </w:pPr>
    </w:p>
    <w:p>
      <w:pPr>
        <w:tabs>
          <w:tab w:val="left" w:pos="5245"/>
        </w:tabs>
        <w:spacing w:line="580" w:lineRule="exact"/>
        <w:rPr>
          <w:rFonts w:ascii="仿宋_GB2312" w:eastAsia="仿宋_GB2312"/>
          <w:sz w:val="32"/>
          <w:szCs w:val="32"/>
        </w:rPr>
      </w:pPr>
      <w:r>
        <w:rPr>
          <w:rFonts w:hint="eastAsia" w:ascii="仿宋_GB2312" w:eastAsia="仿宋_GB2312"/>
          <w:sz w:val="32"/>
          <w:szCs w:val="32"/>
          <w:lang w:eastAsia="zh-CN"/>
        </w:rPr>
        <w:t>海南州黄河伏山发电有限责任公司</w:t>
      </w:r>
      <w:r>
        <w:rPr>
          <w:rFonts w:hint="eastAsia" w:ascii="仿宋_GB2312" w:eastAsia="仿宋_GB2312"/>
          <w:sz w:val="32"/>
          <w:szCs w:val="32"/>
        </w:rPr>
        <w:t>：</w:t>
      </w:r>
    </w:p>
    <w:p>
      <w:pPr>
        <w:pStyle w:val="13"/>
        <w:spacing w:line="58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关于审查审批海南基地共和县100万千瓦光伏项目环境影响报告表的请示》（黄河伏山﹝2021﹞8号）收悉，共和县生态环境局就本项目出具了《关于海南基地共和县100万千瓦光伏项目环境影响报告表的预审意见》（共生发﹝2021﹞215号）</w:t>
      </w:r>
      <w:r>
        <w:rPr>
          <w:rFonts w:hint="eastAsia" w:ascii="仿宋_GB2312" w:hAnsi="仿宋_GB2312" w:eastAsia="仿宋_GB2312" w:cs="仿宋_GB2312"/>
          <w:sz w:val="32"/>
          <w:szCs w:val="32"/>
          <w:lang w:val="en-US" w:eastAsia="zh-CN"/>
        </w:rPr>
        <w:t>。结合专家意见,经我局研究后，现批复如下：</w:t>
      </w:r>
    </w:p>
    <w:p>
      <w:pPr>
        <w:numPr>
          <w:ilvl w:val="0"/>
          <w:numId w:val="1"/>
        </w:numPr>
        <w:tabs>
          <w:tab w:val="left" w:pos="711"/>
        </w:tabs>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项目</w:t>
      </w:r>
      <w:r>
        <w:rPr>
          <w:rFonts w:ascii="黑体" w:hAnsi="黑体" w:eastAsia="黑体"/>
          <w:color w:val="000000"/>
          <w:sz w:val="32"/>
          <w:szCs w:val="32"/>
        </w:rPr>
        <w:t>概况</w:t>
      </w:r>
    </w:p>
    <w:p>
      <w:pPr>
        <w:numPr>
          <w:numId w:val="0"/>
        </w:numPr>
        <w:tabs>
          <w:tab w:val="left" w:pos="711"/>
        </w:tabs>
        <w:spacing w:line="580" w:lineRule="exact"/>
        <w:ind w:firstLine="640" w:firstLineChars="200"/>
        <w:rPr>
          <w:rFonts w:ascii="黑体" w:hAnsi="黑体" w:eastAsia="黑体"/>
          <w:color w:val="000000"/>
          <w:sz w:val="32"/>
          <w:szCs w:val="32"/>
        </w:rPr>
      </w:pPr>
      <w:r>
        <w:rPr>
          <w:rFonts w:hint="eastAsia" w:ascii="仿宋_GB2312" w:hAnsi="仿宋_GB2312" w:eastAsia="仿宋_GB2312" w:cs="仿宋_GB2312"/>
          <w:kern w:val="0"/>
          <w:sz w:val="32"/>
          <w:szCs w:val="32"/>
          <w:lang w:val="en-US" w:eastAsia="zh-CN" w:bidi="ar-SA"/>
        </w:rPr>
        <w:t>拟建项目场址位于青海省海南州生态太阳能发电园区，项目代码：2109-632500-04-01-279890。中心地理坐标为</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东经100°16′54.59″，北纬35°59′14.83″。项目装机容量为1000MW，拟采用固定式光伏支架，设置3.15MW子方阵320个，交流侧容量1008MW，直流侧容量1358.59464MWp。组件采用540Wp单晶双面双玻组件，逆变器采用组串式逆变器。组件、逆变器均采用1.5kV系统。项目设置10个光伏发电区域，每个光伏发电区域设置1个汇集站，共10个汇集站。每个光伏发电区通过6回35kV汇集线路接入35kV汇集站，通过20回35kV集电线路接入园区规划建设的新建330kV升压站。子阵箱变之间及箱变至35kV汇集站的电缆采用直埋方式敷设。配套建设相关辅助设施。项目总投资602629.67万元，其中环保投资1600万元，占总投资的0.27%。</w:t>
      </w:r>
    </w:p>
    <w:p>
      <w:pPr>
        <w:numPr>
          <w:ilvl w:val="0"/>
          <w:numId w:val="2"/>
        </w:numPr>
        <w:tabs>
          <w:tab w:val="left" w:pos="711"/>
        </w:tabs>
        <w:spacing w:line="580" w:lineRule="exact"/>
        <w:ind w:firstLine="640" w:firstLineChars="200"/>
        <w:rPr>
          <w:rFonts w:ascii="黑体" w:hAnsi="黑体" w:eastAsia="黑体"/>
          <w:color w:val="000000"/>
          <w:sz w:val="32"/>
          <w:szCs w:val="32"/>
        </w:rPr>
      </w:pPr>
      <w:r>
        <w:rPr>
          <w:rFonts w:ascii="黑体" w:hAnsi="黑体" w:eastAsia="黑体"/>
          <w:color w:val="000000"/>
          <w:sz w:val="32"/>
          <w:szCs w:val="32"/>
        </w:rPr>
        <w:t>审批意见</w:t>
      </w:r>
    </w:p>
    <w:p>
      <w:pPr>
        <w:ind w:firstLine="640" w:firstLineChars="200"/>
        <w:jc w:val="both"/>
        <w:rPr>
          <w:rFonts w:hint="eastAsia" w:ascii="黑体" w:hAnsi="黑体" w:eastAsia="黑体"/>
          <w:sz w:val="32"/>
          <w:szCs w:val="32"/>
        </w:rPr>
      </w:pPr>
      <w:r>
        <w:rPr>
          <w:rFonts w:hint="eastAsia" w:ascii="仿宋_GB2312" w:hAnsi="仿宋_GB2312" w:eastAsia="仿宋_GB2312" w:cs="仿宋_GB2312"/>
          <w:kern w:val="0"/>
          <w:sz w:val="32"/>
          <w:szCs w:val="32"/>
          <w:lang w:val="en-US" w:eastAsia="zh-CN" w:bidi="ar-SA"/>
        </w:rPr>
        <w:t>该项目取得海南州发展和改革委员会备案登记，我局原则同意环境影响报告表中所列建设项目的性质、规模、地点和拟采取的环境保护措施。</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项目建设及运营中需做好以下工作</w:t>
      </w:r>
    </w:p>
    <w:p>
      <w:pPr>
        <w:pStyle w:val="13"/>
        <w:widowControl w:val="0"/>
        <w:autoSpaceDE w:val="0"/>
        <w:spacing w:line="580" w:lineRule="exact"/>
        <w:ind w:firstLine="480" w:firstLineChars="150"/>
        <w:rPr>
          <w:rFonts w:hint="eastAsia" w:ascii="仿宋_GB2312" w:hAnsi="仿宋_GB2312" w:eastAsia="仿宋_GB2312" w:cs="仿宋_GB2312"/>
          <w:kern w:val="0"/>
          <w:sz w:val="32"/>
          <w:szCs w:val="32"/>
          <w:lang w:val="en-US" w:eastAsia="zh-CN" w:bidi="ar-SA"/>
        </w:rPr>
      </w:pPr>
      <w:r>
        <w:rPr>
          <w:rFonts w:hint="eastAsia" w:ascii="楷体" w:hAnsi="楷体" w:eastAsia="楷体"/>
          <w:sz w:val="32"/>
          <w:szCs w:val="32"/>
        </w:rPr>
        <w:t>（一）严格落实生态环境保护和恢复措施。</w:t>
      </w:r>
      <w:r>
        <w:rPr>
          <w:rFonts w:hint="eastAsia" w:ascii="仿宋_GB2312" w:hAnsi="仿宋_GB2312" w:eastAsia="仿宋_GB2312" w:cs="仿宋_GB2312"/>
          <w:kern w:val="0"/>
          <w:sz w:val="32"/>
          <w:szCs w:val="32"/>
          <w:lang w:val="en-US" w:eastAsia="zh-CN" w:bidi="ar-SA"/>
        </w:rPr>
        <w:t>项目在施工期尽量减少临时占地范围和面积，施工营地合理布设；</w:t>
      </w:r>
      <w:r>
        <w:rPr>
          <w:rFonts w:hint="eastAsia" w:ascii="仿宋_GB2312" w:hAnsi="仿宋" w:eastAsia="仿宋_GB2312" w:cs="仿宋"/>
          <w:sz w:val="32"/>
          <w:szCs w:val="32"/>
          <w:lang w:eastAsia="zh-CN"/>
        </w:rPr>
        <w:t>严禁随意碾压草坪，项目开工前应</w:t>
      </w:r>
      <w:r>
        <w:rPr>
          <w:rFonts w:hint="eastAsia" w:ascii="仿宋_GB2312" w:hAnsi="仿宋" w:eastAsia="仿宋_GB2312" w:cs="仿宋"/>
          <w:sz w:val="32"/>
          <w:szCs w:val="32"/>
        </w:rPr>
        <w:t>合理确定施工</w:t>
      </w:r>
      <w:r>
        <w:rPr>
          <w:rFonts w:hint="eastAsia" w:ascii="仿宋_GB2312" w:hAnsi="仿宋" w:eastAsia="仿宋_GB2312" w:cs="仿宋"/>
          <w:sz w:val="32"/>
          <w:szCs w:val="32"/>
          <w:lang w:eastAsia="zh-CN"/>
        </w:rPr>
        <w:t>运输车辆行驶</w:t>
      </w:r>
      <w:r>
        <w:rPr>
          <w:rFonts w:hint="eastAsia" w:ascii="仿宋_GB2312" w:hAnsi="仿宋" w:eastAsia="仿宋_GB2312" w:cs="仿宋"/>
          <w:sz w:val="32"/>
          <w:szCs w:val="32"/>
        </w:rPr>
        <w:t>路线</w:t>
      </w:r>
      <w:r>
        <w:rPr>
          <w:rFonts w:hint="eastAsia" w:ascii="仿宋_GB2312" w:hAnsi="仿宋" w:eastAsia="仿宋_GB2312" w:cs="仿宋"/>
          <w:sz w:val="32"/>
          <w:szCs w:val="32"/>
          <w:lang w:eastAsia="zh-CN"/>
        </w:rPr>
        <w:t>，采用碎石铺设宽度小于</w:t>
      </w:r>
      <w:r>
        <w:rPr>
          <w:rFonts w:hint="eastAsia" w:ascii="仿宋_GB2312" w:hAnsi="仿宋" w:eastAsia="仿宋_GB2312" w:cs="仿宋"/>
          <w:sz w:val="32"/>
          <w:szCs w:val="32"/>
          <w:lang w:val="en-US" w:eastAsia="zh-CN"/>
        </w:rPr>
        <w:t>6米的进场道路，并设置醒目指示牌。</w:t>
      </w:r>
      <w:r>
        <w:rPr>
          <w:rFonts w:hint="eastAsia" w:ascii="仿宋_GB2312" w:hAnsi="仿宋" w:eastAsia="仿宋_GB2312" w:cs="仿宋"/>
          <w:sz w:val="32"/>
          <w:szCs w:val="32"/>
        </w:rPr>
        <w:t>施工期尽可能减少临时占地范围和面积，</w:t>
      </w:r>
      <w:r>
        <w:rPr>
          <w:rFonts w:hint="eastAsia" w:ascii="仿宋_GB2312" w:hAnsi="仿宋_GB2312" w:eastAsia="仿宋_GB2312" w:cs="仿宋_GB2312"/>
          <w:kern w:val="0"/>
          <w:sz w:val="32"/>
          <w:szCs w:val="32"/>
          <w:lang w:val="en-US" w:eastAsia="zh-CN" w:bidi="ar-SA"/>
        </w:rPr>
        <w:t>项目建设期结束前，应及时对各类临时占地进行全面清理整治及覆土绿化，并结合项目区自然条件进行植被恢复。</w:t>
      </w:r>
    </w:p>
    <w:p>
      <w:pPr>
        <w:pStyle w:val="13"/>
        <w:widowControl w:val="0"/>
        <w:autoSpaceDE w:val="0"/>
        <w:spacing w:line="580" w:lineRule="exact"/>
        <w:ind w:firstLine="480" w:firstLineChars="150"/>
        <w:rPr>
          <w:rFonts w:hint="eastAsia" w:ascii="仿宋_GB2312" w:eastAsia="仿宋_GB2312"/>
          <w:sz w:val="32"/>
          <w:szCs w:val="32"/>
          <w:lang w:eastAsia="zh-CN"/>
        </w:rPr>
      </w:pPr>
      <w:r>
        <w:rPr>
          <w:rFonts w:hint="eastAsia" w:ascii="楷体" w:hAnsi="楷体" w:eastAsia="楷体"/>
          <w:sz w:val="32"/>
          <w:szCs w:val="32"/>
        </w:rPr>
        <w:t>（二）严格落实大气污染防治措施。</w:t>
      </w:r>
      <w:r>
        <w:rPr>
          <w:rFonts w:hint="eastAsia" w:ascii="仿宋_GB2312" w:eastAsia="仿宋_GB2312"/>
          <w:sz w:val="32"/>
          <w:szCs w:val="32"/>
        </w:rPr>
        <w:t>施工期应切实落实扬尘控制措施，土方临时堆场</w:t>
      </w:r>
      <w:r>
        <w:rPr>
          <w:rFonts w:hint="eastAsia" w:ascii="仿宋_GB2312" w:eastAsia="仿宋_GB2312"/>
          <w:sz w:val="32"/>
          <w:szCs w:val="32"/>
          <w:lang w:eastAsia="zh-CN"/>
        </w:rPr>
        <w:t>覆盖防尘网，</w:t>
      </w:r>
      <w:r>
        <w:rPr>
          <w:rFonts w:hint="eastAsia" w:ascii="仿宋_GB2312" w:eastAsia="仿宋_GB2312"/>
          <w:sz w:val="32"/>
          <w:szCs w:val="32"/>
        </w:rPr>
        <w:t>施工作业现场及</w:t>
      </w:r>
      <w:r>
        <w:rPr>
          <w:rFonts w:ascii="仿宋_GB2312" w:eastAsia="仿宋_GB2312"/>
          <w:sz w:val="32"/>
          <w:szCs w:val="32"/>
        </w:rPr>
        <w:t>施工道路</w:t>
      </w:r>
      <w:r>
        <w:rPr>
          <w:rFonts w:hint="eastAsia" w:ascii="仿宋_GB2312" w:eastAsia="仿宋_GB2312"/>
          <w:sz w:val="32"/>
          <w:szCs w:val="32"/>
        </w:rPr>
        <w:t>应洒水抑尘，物料运输加盖篷布，同时尽量避免在大风天气进行土方开挖等活动，以减少对环境空气的影响。</w:t>
      </w:r>
      <w:r>
        <w:rPr>
          <w:rFonts w:hint="eastAsia" w:ascii="仿宋_GB2312" w:eastAsia="仿宋_GB2312"/>
          <w:sz w:val="32"/>
          <w:szCs w:val="32"/>
          <w:lang w:eastAsia="zh-CN"/>
        </w:rPr>
        <w:t>管线敷设时应尽量分段敷设，敷设完立即覆土并进行剥离植被的恢复。</w:t>
      </w:r>
    </w:p>
    <w:p>
      <w:pPr>
        <w:pStyle w:val="13"/>
        <w:spacing w:line="580" w:lineRule="exact"/>
        <w:ind w:firstLine="640"/>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sz w:val="32"/>
          <w:szCs w:val="32"/>
        </w:rPr>
        <w:t>（三）严格落实地表水环境保护措施。</w:t>
      </w:r>
      <w:r>
        <w:rPr>
          <w:rFonts w:hint="eastAsia" w:ascii="仿宋_GB2312" w:hAnsi="Times New Roman" w:eastAsia="仿宋_GB2312" w:cs="Times New Roman"/>
          <w:sz w:val="32"/>
          <w:szCs w:val="32"/>
          <w:lang w:val="en-US" w:eastAsia="zh-CN"/>
        </w:rPr>
        <w:t>本项目不设拌合站，建筑施工原料全部外购。施工期产生的施工废水经沉淀池沉淀后，上清液回用于建筑施工；施工期设防渗旱厕，施工结束后拆除并覆土填埋。运营期生活污水收集至化粪池，委托第三方定期清运至共和县污水处理厂。</w:t>
      </w:r>
    </w:p>
    <w:p>
      <w:pPr>
        <w:pStyle w:val="13"/>
        <w:spacing w:line="580" w:lineRule="exact"/>
        <w:ind w:firstLine="640"/>
        <w:rPr>
          <w:rFonts w:ascii="仿宋_GB2312" w:eastAsia="仿宋_GB2312"/>
          <w:sz w:val="32"/>
          <w:szCs w:val="32"/>
        </w:rPr>
      </w:pPr>
      <w:r>
        <w:rPr>
          <w:rFonts w:hint="eastAsia" w:ascii="楷体_GB2312" w:hAnsi="楷体_GB2312" w:eastAsia="楷体_GB2312" w:cs="楷体_GB2312"/>
          <w:sz w:val="32"/>
          <w:szCs w:val="32"/>
          <w:lang w:val="en-US" w:eastAsia="zh-CN"/>
        </w:rPr>
        <w:t>（四）严格落实固体废物处理措施。</w:t>
      </w:r>
      <w:r>
        <w:rPr>
          <w:rFonts w:hint="eastAsia" w:ascii="仿宋_GB2312" w:hAnsi="Times New Roman" w:eastAsia="仿宋_GB2312" w:cs="Times New Roman"/>
          <w:sz w:val="32"/>
          <w:szCs w:val="32"/>
          <w:lang w:val="en-US" w:eastAsia="zh-CN"/>
        </w:rPr>
        <w:t>施工期和运营期产生的生活垃圾集中收集后送至生活垃圾填埋场处置，建筑垃圾资源化利用，无法利用的运送至住建部门指定地点填埋。</w:t>
      </w:r>
    </w:p>
    <w:p>
      <w:pPr>
        <w:pStyle w:val="13"/>
        <w:spacing w:line="580" w:lineRule="exact"/>
        <w:ind w:firstLine="640"/>
        <w:rPr>
          <w:rFonts w:ascii="仿宋_GB2312" w:eastAsia="仿宋_GB2312"/>
          <w:sz w:val="32"/>
          <w:szCs w:val="32"/>
        </w:rPr>
      </w:pPr>
      <w:r>
        <w:rPr>
          <w:rFonts w:hint="eastAsia" w:ascii="楷体_GB2312" w:hAnsi="楷体_GB2312" w:eastAsia="楷体_GB2312" w:cs="楷体_GB2312"/>
          <w:sz w:val="32"/>
          <w:szCs w:val="32"/>
        </w:rPr>
        <w:t>（五）严格落实危险废物处理措施。</w:t>
      </w:r>
      <w:r>
        <w:rPr>
          <w:rFonts w:hint="eastAsia" w:ascii="仿宋_GB2312" w:eastAsia="仿宋_GB2312"/>
          <w:sz w:val="32"/>
          <w:szCs w:val="32"/>
        </w:rPr>
        <w:t>按要求设置事故油池，防止非正常情况下造成环境污染，产生的废变压器油应交由有资质的第三方处置清运，清运转移时严格按照《青海省环境保护厅关于全面启用危险废物转移电子联单管理工作的通知》（青环发</w:t>
      </w:r>
      <w:r>
        <w:rPr>
          <w:rFonts w:hint="eastAsia" w:ascii="微软雅黑" w:hAnsi="微软雅黑" w:eastAsia="微软雅黑" w:cs="微软雅黑"/>
          <w:sz w:val="32"/>
          <w:szCs w:val="32"/>
        </w:rPr>
        <w:t>﹝</w:t>
      </w:r>
      <w:r>
        <w:rPr>
          <w:rFonts w:hint="eastAsia" w:ascii="仿宋_GB2312" w:eastAsia="仿宋_GB2312"/>
          <w:sz w:val="32"/>
          <w:szCs w:val="32"/>
        </w:rPr>
        <w:t>2017</w:t>
      </w:r>
      <w:r>
        <w:rPr>
          <w:rFonts w:hint="eastAsia" w:ascii="微软雅黑" w:hAnsi="微软雅黑" w:eastAsia="微软雅黑" w:cs="微软雅黑"/>
          <w:sz w:val="32"/>
          <w:szCs w:val="32"/>
        </w:rPr>
        <w:t>﹞</w:t>
      </w:r>
      <w:r>
        <w:rPr>
          <w:rFonts w:hint="eastAsia" w:ascii="仿宋_GB2312" w:eastAsia="仿宋_GB2312"/>
          <w:sz w:val="32"/>
          <w:szCs w:val="32"/>
        </w:rPr>
        <w:t>398号）文件要求执行。</w:t>
      </w:r>
    </w:p>
    <w:p>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eastAsia" w:ascii="仿宋_GB2312" w:eastAsia="仿宋_GB2312"/>
          <w:sz w:val="32"/>
          <w:szCs w:val="32"/>
        </w:rPr>
      </w:pPr>
      <w:r>
        <w:rPr>
          <w:rFonts w:hint="eastAsia" w:ascii="楷体_GB2312" w:hAnsi="楷体_GB2312" w:eastAsia="楷体_GB2312" w:cs="楷体_GB2312"/>
          <w:sz w:val="32"/>
          <w:szCs w:val="32"/>
        </w:rPr>
        <w:t>（六）严格落实噪声污染防治措施。</w:t>
      </w:r>
      <w:r>
        <w:rPr>
          <w:rFonts w:hint="eastAsia" w:ascii="仿宋_GB2312" w:eastAsia="仿宋_GB2312"/>
          <w:sz w:val="32"/>
          <w:szCs w:val="32"/>
        </w:rPr>
        <w:t>认真落实项目施工期和运营期噪声源的降噪措施，确保施工期噪声满足《建筑施工场界噪声排放标准》(GB12523-2011)限值，运营期噪声排放达到《工业企业厂界环境噪声排放标准》(GB12348-2008)</w:t>
      </w:r>
      <w:r>
        <w:rPr>
          <w:rFonts w:hint="eastAsia" w:ascii="仿宋_GB2312" w:eastAsia="仿宋_GB2312"/>
          <w:sz w:val="32"/>
          <w:szCs w:val="32"/>
          <w:lang w:val="en-US" w:eastAsia="zh-CN"/>
        </w:rPr>
        <w:t>3</w:t>
      </w:r>
      <w:r>
        <w:rPr>
          <w:rFonts w:hint="eastAsia" w:ascii="仿宋_GB2312" w:eastAsia="仿宋_GB2312"/>
          <w:sz w:val="32"/>
          <w:szCs w:val="32"/>
        </w:rPr>
        <w:t>类标准。</w:t>
      </w:r>
    </w:p>
    <w:p>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eastAsia" w:ascii="黑体" w:hAnsi="黑体" w:eastAsia="黑体"/>
          <w:sz w:val="32"/>
          <w:szCs w:val="32"/>
        </w:rPr>
      </w:pPr>
      <w:r>
        <w:rPr>
          <w:rFonts w:hint="eastAsia" w:ascii="黑体" w:hAnsi="黑体" w:eastAsia="黑体" w:cs="仿宋"/>
          <w:kern w:val="0"/>
          <w:sz w:val="32"/>
          <w:szCs w:val="32"/>
          <w:lang w:eastAsia="zh-CN"/>
        </w:rPr>
        <w:t>四</w:t>
      </w:r>
      <w:r>
        <w:rPr>
          <w:rFonts w:hint="eastAsia" w:ascii="黑体" w:hAnsi="黑体" w:eastAsia="黑体" w:cs="仿宋"/>
          <w:kern w:val="0"/>
          <w:sz w:val="32"/>
          <w:szCs w:val="32"/>
        </w:rPr>
        <w:t>、</w:t>
      </w:r>
      <w:r>
        <w:rPr>
          <w:rFonts w:hint="eastAsia" w:ascii="黑体" w:hAnsi="黑体" w:eastAsia="黑体"/>
          <w:sz w:val="32"/>
          <w:szCs w:val="32"/>
        </w:rPr>
        <w:t>项目建设要严格执行环保“三同时”制度</w:t>
      </w:r>
    </w:p>
    <w:p>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你公司应认真履行项目实施过程的生态保护主体责任，认真落实项目环评及批复提出的各项要求，严格执行环保“三同时”制度，工程建成在试运期三个月内按照</w:t>
      </w:r>
      <w:r>
        <w:rPr>
          <w:rFonts w:hint="eastAsia" w:ascii="仿宋_GB2312" w:hAnsi="仿宋_GB2312" w:eastAsia="仿宋_GB2312" w:cs="仿宋_GB2312"/>
          <w:sz w:val="32"/>
          <w:szCs w:val="32"/>
        </w:rPr>
        <w:t>《建设项目竣工环境保护验收暂行办法》（国环规环评〔2017〕4号）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开展项目</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环保验收</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经验收合格并向我局备案后方可</w:t>
      </w:r>
      <w:r>
        <w:rPr>
          <w:rFonts w:hint="eastAsia" w:ascii="仿宋_GB2312" w:hAnsi="仿宋_GB2312" w:eastAsia="仿宋_GB2312" w:cs="仿宋_GB2312"/>
          <w:sz w:val="32"/>
          <w:szCs w:val="32"/>
          <w:lang w:eastAsia="zh-CN"/>
        </w:rPr>
        <w:t>正式投入</w:t>
      </w:r>
      <w:r>
        <w:rPr>
          <w:rFonts w:hint="eastAsia" w:ascii="仿宋_GB2312" w:hAnsi="仿宋_GB2312" w:eastAsia="仿宋_GB2312" w:cs="仿宋_GB2312"/>
          <w:sz w:val="32"/>
          <w:szCs w:val="32"/>
        </w:rPr>
        <w:t>运行。</w:t>
      </w:r>
    </w:p>
    <w:p>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default" w:ascii="黑体" w:hAnsi="黑体" w:eastAsia="黑体"/>
          <w:kern w:val="2"/>
          <w:sz w:val="32"/>
          <w:szCs w:val="32"/>
          <w:lang w:val="en-US" w:eastAsia="zh-CN"/>
        </w:rPr>
      </w:pPr>
      <w:r>
        <w:rPr>
          <w:rFonts w:hint="eastAsia" w:ascii="黑体" w:hAnsi="黑体" w:eastAsia="黑体"/>
          <w:kern w:val="2"/>
          <w:sz w:val="32"/>
          <w:szCs w:val="32"/>
          <w:lang w:eastAsia="zh-CN"/>
        </w:rPr>
        <w:t>五</w:t>
      </w:r>
      <w:r>
        <w:rPr>
          <w:rFonts w:hint="eastAsia" w:ascii="黑体" w:hAnsi="黑体" w:eastAsia="黑体"/>
          <w:kern w:val="2"/>
          <w:sz w:val="32"/>
          <w:szCs w:val="32"/>
        </w:rPr>
        <w:t>、项目批复后如项目性质、规模、地点或污染防治措施等发生重大变动，你</w:t>
      </w:r>
      <w:r>
        <w:rPr>
          <w:rFonts w:hint="eastAsia" w:ascii="黑体" w:hAnsi="黑体" w:eastAsia="黑体"/>
          <w:kern w:val="2"/>
          <w:sz w:val="32"/>
          <w:szCs w:val="32"/>
          <w:lang w:eastAsia="zh-CN"/>
        </w:rPr>
        <w:t>公司</w:t>
      </w:r>
      <w:r>
        <w:rPr>
          <w:rFonts w:hint="eastAsia" w:ascii="黑体" w:hAnsi="黑体" w:eastAsia="黑体"/>
          <w:kern w:val="2"/>
          <w:sz w:val="32"/>
          <w:szCs w:val="32"/>
        </w:rPr>
        <w:t>应当重新报批环境影响报告表。</w:t>
      </w:r>
      <w:r>
        <w:rPr>
          <w:rFonts w:hint="eastAsia" w:ascii="黑体" w:hAnsi="黑体" w:eastAsia="黑体"/>
          <w:kern w:val="2"/>
          <w:sz w:val="32"/>
          <w:szCs w:val="32"/>
          <w:lang w:eastAsia="zh-CN"/>
        </w:rPr>
        <w:t>自环境影响报告表批复文件批准之日起，如超过</w:t>
      </w:r>
      <w:r>
        <w:rPr>
          <w:rFonts w:hint="eastAsia" w:ascii="黑体" w:hAnsi="黑体" w:eastAsia="黑体"/>
          <w:kern w:val="2"/>
          <w:sz w:val="32"/>
          <w:szCs w:val="32"/>
          <w:lang w:val="en-US" w:eastAsia="zh-CN"/>
        </w:rPr>
        <w:t>5年未开工建设，你公司应重新报审项目环境影响报告表。</w:t>
      </w:r>
    </w:p>
    <w:p>
      <w:pPr>
        <w:widowControl/>
        <w:spacing w:line="520" w:lineRule="exact"/>
        <w:ind w:firstLine="640"/>
        <w:rPr>
          <w:rFonts w:eastAsia="仿宋_GB2312"/>
          <w:kern w:val="0"/>
          <w:sz w:val="32"/>
          <w:szCs w:val="32"/>
        </w:rPr>
      </w:pPr>
      <w:r>
        <w:rPr>
          <w:rFonts w:hint="eastAsia" w:ascii="黑体" w:hAnsi="黑体" w:eastAsia="黑体" w:cs="仿宋"/>
          <w:sz w:val="32"/>
          <w:szCs w:val="32"/>
          <w:lang w:eastAsia="zh-CN"/>
        </w:rPr>
        <w:t>六</w:t>
      </w:r>
      <w:r>
        <w:rPr>
          <w:rFonts w:hint="eastAsia" w:ascii="黑体" w:hAnsi="黑体" w:eastAsia="黑体" w:cs="仿宋"/>
          <w:sz w:val="32"/>
          <w:szCs w:val="32"/>
        </w:rPr>
        <w:t>、</w:t>
      </w:r>
      <w:r>
        <w:rPr>
          <w:rFonts w:hint="eastAsia" w:ascii="黑体" w:hAnsi="黑体" w:eastAsia="黑体" w:cs="仿宋"/>
          <w:sz w:val="32"/>
          <w:szCs w:val="32"/>
          <w:lang w:eastAsia="zh-CN"/>
        </w:rPr>
        <w:t>我局委托共和</w:t>
      </w:r>
      <w:r>
        <w:rPr>
          <w:rFonts w:hint="eastAsia" w:ascii="黑体" w:hAnsi="黑体" w:eastAsia="黑体" w:cs="仿宋"/>
          <w:sz w:val="32"/>
          <w:szCs w:val="32"/>
        </w:rPr>
        <w:t>县生态环境局负责项目施工期和运营期的环境保护监督检查工</w:t>
      </w:r>
      <w:r>
        <w:rPr>
          <w:rFonts w:hint="eastAsia" w:ascii="黑体" w:hAnsi="黑体" w:eastAsia="黑体" w:cs="仿宋"/>
          <w:sz w:val="32"/>
          <w:szCs w:val="32"/>
          <w:lang w:eastAsia="zh-CN"/>
        </w:rPr>
        <w:t xml:space="preserve">作。你公司按规定接受各级生态环境部门的监督检查。  </w:t>
      </w:r>
    </w:p>
    <w:p>
      <w:pPr>
        <w:widowControl/>
        <w:spacing w:line="520" w:lineRule="exact"/>
        <w:rPr>
          <w:rFonts w:eastAsia="仿宋_GB2312"/>
          <w:kern w:val="0"/>
          <w:sz w:val="32"/>
          <w:szCs w:val="32"/>
        </w:rPr>
      </w:pPr>
    </w:p>
    <w:p>
      <w:pPr>
        <w:widowControl/>
        <w:spacing w:line="520" w:lineRule="exact"/>
        <w:ind w:firstLine="640"/>
        <w:rPr>
          <w:rFonts w:eastAsia="仿宋_GB2312"/>
          <w:kern w:val="0"/>
          <w:sz w:val="32"/>
          <w:szCs w:val="32"/>
        </w:rPr>
      </w:pPr>
    </w:p>
    <w:p>
      <w:pPr>
        <w:widowControl/>
        <w:spacing w:line="520" w:lineRule="exact"/>
        <w:ind w:right="640"/>
        <w:jc w:val="center"/>
        <w:rPr>
          <w:rFonts w:eastAsia="仿宋_GB2312"/>
          <w:kern w:val="0"/>
          <w:sz w:val="32"/>
          <w:szCs w:val="32"/>
        </w:rPr>
      </w:pP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w:t>
      </w:r>
    </w:p>
    <w:p>
      <w:pPr>
        <w:pStyle w:val="2"/>
      </w:pPr>
    </w:p>
    <w:p>
      <w:pPr>
        <w:spacing w:line="560" w:lineRule="exact"/>
        <w:ind w:firstLine="321" w:firstLineChars="100"/>
        <w:rPr>
          <w:rFonts w:hint="eastAsia" w:ascii="黑体" w:hAnsi="黑体" w:eastAsia="黑体"/>
          <w:b/>
          <w:bCs/>
          <w:sz w:val="32"/>
          <w:szCs w:val="32"/>
        </w:rPr>
      </w:pPr>
    </w:p>
    <w:p>
      <w:pPr>
        <w:spacing w:line="560" w:lineRule="exact"/>
        <w:ind w:firstLine="321" w:firstLineChars="100"/>
        <w:rPr>
          <w:rFonts w:ascii="仿宋_GB2312" w:hAnsi="仿宋_GB2312" w:eastAsia="仿宋_GB2312" w:cs="仿宋_GB2312"/>
          <w:sz w:val="32"/>
          <w:szCs w:val="32"/>
        </w:rPr>
      </w:pPr>
      <w:r>
        <w:rPr>
          <w:rFonts w:hint="eastAsia" w:ascii="黑体" w:hAnsi="黑体" w:eastAsia="黑体"/>
          <w:b/>
          <w:bCs/>
          <w:sz w:val="32"/>
          <w:szCs w:val="32"/>
        </w:rPr>
        <w:t xml:space="preserve">是否宜公开选项：宜公开                                    </w:t>
      </w:r>
    </w:p>
    <w:p>
      <w:pPr>
        <w:adjustRightInd w:val="0"/>
        <w:snapToGrid w:val="0"/>
        <w:spacing w:line="500" w:lineRule="exact"/>
        <w:ind w:left="1119" w:leftChars="133" w:hanging="840" w:hangingChars="300"/>
        <w:jc w:val="left"/>
        <w:outlineLvl w:val="0"/>
        <w:rPr>
          <w:rFonts w:ascii="仿宋_GB2312" w:hAnsi="仿宋_GB2312" w:eastAsia="仿宋_GB2312" w:cs="仿宋_GB2312"/>
          <w:snapToGrid w:val="0"/>
          <w:color w:val="000000"/>
          <w:kern w:val="0"/>
          <w:sz w:val="28"/>
          <w:szCs w:val="28"/>
        </w:rPr>
      </w:pPr>
      <w:r>
        <w:rPr>
          <w:rFonts w:ascii="仿宋_GB2312" w:hAnsi="仿宋_GB2312" w:eastAsia="仿宋_GB2312" w:cs="仿宋_GB2312"/>
          <w:snapToGrid w:val="0"/>
          <w:color w:val="000000"/>
          <w:kern w:val="0"/>
          <w:sz w:val="28"/>
          <w:szCs w:val="28"/>
        </w:rPr>
        <w:pict>
          <v:line id="_x0000_s1026" o:spid="_x0000_s1026" o:spt="20" style="position:absolute;left:0pt;margin-left:3.45pt;margin-top:0.75pt;height:0.05pt;width:434.4pt;z-index:251660288;mso-width-relative:page;mso-height-relative:page;" coordsize="21600,21600" o:gfxdata="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Gu080wAAAAUBAAAPAAAA&#10;AAAAAAEAIAAAACIAAABkcnMvZG93bnJldi54bWxQSwECFAAUAAAACACHTuJAHHM8HOEBAACmAwAA&#10;DgAAAAAAAAABACAAAAAiAQAAZHJzL2Uyb0RvYy54bWxQSwUGAAAAAAYABgBZAQAAdQUAAAAA&#10;">
            <v:path arrowok="t"/>
            <v:fill focussize="0,0"/>
            <v:stroke/>
            <v:imagedata o:title=""/>
            <o:lock v:ext="edit"/>
          </v:line>
        </w:pict>
      </w:r>
      <w:r>
        <w:rPr>
          <w:rFonts w:hint="eastAsia" w:ascii="仿宋_GB2312" w:hAnsi="仿宋_GB2312" w:eastAsia="仿宋_GB2312" w:cs="仿宋_GB2312"/>
          <w:snapToGrid w:val="0"/>
          <w:color w:val="000000"/>
          <w:kern w:val="0"/>
          <w:sz w:val="28"/>
          <w:szCs w:val="28"/>
        </w:rPr>
        <w:t>抄送：</w:t>
      </w:r>
      <w:r>
        <w:rPr>
          <w:rFonts w:hint="eastAsia" w:ascii="仿宋_GB2312" w:eastAsia="仿宋_GB2312"/>
          <w:sz w:val="28"/>
          <w:szCs w:val="28"/>
        </w:rPr>
        <w:t>州</w:t>
      </w:r>
      <w:r>
        <w:rPr>
          <w:rFonts w:ascii="仿宋_GB2312" w:eastAsia="仿宋_GB2312"/>
          <w:sz w:val="28"/>
          <w:szCs w:val="28"/>
        </w:rPr>
        <w:t>生态环境</w:t>
      </w:r>
      <w:r>
        <w:rPr>
          <w:rFonts w:hint="eastAsia" w:ascii="仿宋_GB2312" w:eastAsia="仿宋_GB2312"/>
          <w:sz w:val="28"/>
          <w:szCs w:val="28"/>
        </w:rPr>
        <w:t>综合行政执法支队</w:t>
      </w:r>
      <w:r>
        <w:rPr>
          <w:rFonts w:hint="eastAsia" w:ascii="仿宋_GB2312" w:hAnsi="仿宋_GB2312" w:eastAsia="仿宋_GB2312" w:cs="仿宋_GB2312"/>
          <w:snapToGrid w:val="0"/>
          <w:color w:val="000000"/>
          <w:kern w:val="0"/>
          <w:sz w:val="28"/>
          <w:szCs w:val="28"/>
        </w:rPr>
        <w:t>，共和县生态环境局，</w:t>
      </w:r>
      <w:r>
        <w:rPr>
          <w:rFonts w:hint="eastAsia" w:ascii="仿宋_GB2312" w:hAnsi="仿宋_GB2312" w:eastAsia="仿宋_GB2312" w:cs="仿宋_GB2312"/>
          <w:snapToGrid w:val="0"/>
          <w:color w:val="000000"/>
          <w:kern w:val="0"/>
          <w:sz w:val="28"/>
          <w:szCs w:val="28"/>
          <w:lang w:eastAsia="zh-CN"/>
        </w:rPr>
        <w:t>中科森环企业管理（北京）有限公司</w:t>
      </w:r>
      <w:r>
        <w:rPr>
          <w:rFonts w:hint="eastAsia" w:ascii="仿宋_GB2312" w:hAnsi="仿宋_GB2312" w:eastAsia="仿宋_GB2312" w:cs="仿宋_GB2312"/>
          <w:snapToGrid w:val="0"/>
          <w:color w:val="000000"/>
          <w:kern w:val="0"/>
          <w:sz w:val="28"/>
          <w:szCs w:val="28"/>
        </w:rPr>
        <w:t>，档。</w:t>
      </w:r>
    </w:p>
    <w:p>
      <w:pPr>
        <w:adjustRightInd w:val="0"/>
        <w:snapToGrid w:val="0"/>
        <w:spacing w:line="500" w:lineRule="exact"/>
        <w:ind w:firstLine="280" w:firstLineChars="100"/>
        <w:jc w:val="left"/>
        <w:outlineLvl w:val="0"/>
        <w:rPr>
          <w:sz w:val="28"/>
          <w:szCs w:val="28"/>
        </w:rPr>
      </w:pPr>
      <w:r>
        <w:rPr>
          <w:sz w:val="28"/>
          <w:szCs w:val="28"/>
        </w:rPr>
        <w:pict>
          <v:line id="_x0000_s1028" o:spid="_x0000_s1028" o:spt="20" style="position:absolute;left:0pt;margin-left:2.2pt;margin-top:27.2pt;height:0.05pt;width:434.4pt;z-index:251659264;mso-width-relative:page;mso-height-relative:page;" coordsize="21600,21600" o:gfxdata="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88lqM1QAAAAcBAAAPAAAA&#10;AAAAAAEAIAAAACIAAABkcnMvZG93bnJldi54bWxQSwECFAAUAAAACACHTuJAHEfELN8BAACmAwAA&#10;DgAAAAAAAAABACAAAAAkAQAAZHJzL2Uyb0RvYy54bWxQSwUGAAAAAAYABgBZAQAAdQUAAAAA&#10;">
            <v:path arrowok="t"/>
            <v:fill focussize="0,0"/>
            <v:stroke/>
            <v:imagedata o:title=""/>
            <o:lock v:ext="edit"/>
          </v:line>
        </w:pict>
      </w:r>
      <w:r>
        <w:rPr>
          <w:sz w:val="28"/>
          <w:szCs w:val="28"/>
        </w:rPr>
        <w:pict>
          <v:line id="_x0000_s1027" o:spid="_x0000_s1027" o:spt="20" style="position:absolute;left:0pt;margin-left:2.7pt;margin-top:2pt;height:0.05pt;width:434.4pt;z-index:251658240;mso-width-relative:page;mso-height-relative:page;" coordsize="21600,21600" o:gfxdata="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4Qm5zUAAAABQEAAA8AAAAA&#10;AAAAAQAgAAAAIgAAAGRycy9kb3ducmV2LnhtbFBLAQIUABQAAAAIAIdO4kAcse8k3wEAAKYDAAAO&#10;AAAAAAAAAAEAIAAAACMBAABkcnMvZTJvRG9jLnhtbFBLBQYAAAAABgAGAFkBAAB0BQAAAAA=&#10;">
            <v:path arrowok="t"/>
            <v:fill focussize="0,0"/>
            <v:stroke/>
            <v:imagedata o:title=""/>
            <o:lock v:ext="edit"/>
          </v:line>
        </w:pict>
      </w:r>
      <w:r>
        <w:rPr>
          <w:rFonts w:hint="eastAsia" w:ascii="仿宋_GB2312" w:hAnsi="仿宋_GB2312" w:eastAsia="仿宋_GB2312" w:cs="仿宋_GB2312"/>
          <w:snapToGrid w:val="0"/>
          <w:color w:val="000000"/>
          <w:kern w:val="0"/>
          <w:sz w:val="28"/>
          <w:szCs w:val="28"/>
        </w:rPr>
        <w:t>海南州生态环境局                       202</w:t>
      </w:r>
      <w:r>
        <w:rPr>
          <w:rFonts w:hint="eastAsia" w:ascii="仿宋_GB2312" w:hAnsi="仿宋_GB2312" w:eastAsia="仿宋_GB2312" w:cs="仿宋_GB2312"/>
          <w:snapToGrid w:val="0"/>
          <w:color w:val="000000"/>
          <w:kern w:val="0"/>
          <w:sz w:val="28"/>
          <w:szCs w:val="28"/>
          <w:lang w:val="en-US" w:eastAsia="zh-CN"/>
        </w:rPr>
        <w:t>1</w:t>
      </w:r>
      <w:r>
        <w:rPr>
          <w:rFonts w:hint="eastAsia" w:ascii="仿宋_GB2312" w:hAnsi="仿宋_GB2312" w:eastAsia="仿宋_GB2312" w:cs="仿宋_GB2312"/>
          <w:snapToGrid w:val="0"/>
          <w:color w:val="000000"/>
          <w:kern w:val="0"/>
          <w:sz w:val="28"/>
          <w:szCs w:val="28"/>
        </w:rPr>
        <w:t>年</w:t>
      </w:r>
      <w:r>
        <w:rPr>
          <w:rFonts w:hint="eastAsia" w:ascii="仿宋_GB2312" w:hAnsi="仿宋_GB2312" w:eastAsia="仿宋_GB2312" w:cs="仿宋_GB2312"/>
          <w:snapToGrid w:val="0"/>
          <w:color w:val="000000"/>
          <w:kern w:val="0"/>
          <w:sz w:val="28"/>
          <w:szCs w:val="28"/>
          <w:lang w:val="en-US" w:eastAsia="zh-CN"/>
        </w:rPr>
        <w:t>9</w:t>
      </w:r>
      <w:r>
        <w:rPr>
          <w:rFonts w:hint="eastAsia" w:ascii="仿宋_GB2312" w:hAnsi="仿宋_GB2312" w:eastAsia="仿宋_GB2312" w:cs="仿宋_GB2312"/>
          <w:snapToGrid w:val="0"/>
          <w:color w:val="000000"/>
          <w:kern w:val="0"/>
          <w:sz w:val="28"/>
          <w:szCs w:val="28"/>
        </w:rPr>
        <w:t>月</w:t>
      </w:r>
      <w:r>
        <w:rPr>
          <w:rFonts w:hint="eastAsia" w:ascii="仿宋_GB2312" w:hAnsi="仿宋_GB2312" w:eastAsia="仿宋_GB2312" w:cs="仿宋_GB2312"/>
          <w:snapToGrid w:val="0"/>
          <w:color w:val="000000"/>
          <w:kern w:val="0"/>
          <w:sz w:val="28"/>
          <w:szCs w:val="28"/>
          <w:lang w:val="en-US" w:eastAsia="zh-CN"/>
        </w:rPr>
        <w:t>22</w:t>
      </w:r>
      <w:r>
        <w:rPr>
          <w:rFonts w:hint="eastAsia" w:ascii="仿宋_GB2312" w:hAnsi="仿宋_GB2312" w:eastAsia="仿宋_GB2312" w:cs="仿宋_GB2312"/>
          <w:snapToGrid w:val="0"/>
          <w:color w:val="000000"/>
          <w:kern w:val="0"/>
          <w:sz w:val="28"/>
          <w:szCs w:val="28"/>
        </w:rPr>
        <w:t>日印发</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3201]"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B991A"/>
    <w:multiLevelType w:val="singleLevel"/>
    <w:tmpl w:val="E52B991A"/>
    <w:lvl w:ilvl="0" w:tentative="0">
      <w:start w:val="2"/>
      <w:numFmt w:val="chineseCounting"/>
      <w:suff w:val="nothing"/>
      <w:lvlText w:val="%1、"/>
      <w:lvlJc w:val="left"/>
      <w:rPr>
        <w:rFonts w:hint="eastAsia"/>
      </w:rPr>
    </w:lvl>
  </w:abstractNum>
  <w:abstractNum w:abstractNumId="1">
    <w:nsid w:val="F38D70DA"/>
    <w:multiLevelType w:val="singleLevel"/>
    <w:tmpl w:val="F38D70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0799"/>
    <w:rsid w:val="00064023"/>
    <w:rsid w:val="0012263E"/>
    <w:rsid w:val="00155BD2"/>
    <w:rsid w:val="001C51A5"/>
    <w:rsid w:val="001D6AB6"/>
    <w:rsid w:val="001F3E0B"/>
    <w:rsid w:val="002304B1"/>
    <w:rsid w:val="002343D2"/>
    <w:rsid w:val="002464E6"/>
    <w:rsid w:val="002648D5"/>
    <w:rsid w:val="00265A81"/>
    <w:rsid w:val="00282EC5"/>
    <w:rsid w:val="002B4169"/>
    <w:rsid w:val="002D0211"/>
    <w:rsid w:val="002D32C2"/>
    <w:rsid w:val="002E55BC"/>
    <w:rsid w:val="002F692E"/>
    <w:rsid w:val="002F6C81"/>
    <w:rsid w:val="00390811"/>
    <w:rsid w:val="0039262D"/>
    <w:rsid w:val="0039425E"/>
    <w:rsid w:val="003E1A7F"/>
    <w:rsid w:val="003F151E"/>
    <w:rsid w:val="003F15C1"/>
    <w:rsid w:val="004866FE"/>
    <w:rsid w:val="00494D7A"/>
    <w:rsid w:val="004C50B1"/>
    <w:rsid w:val="004D1FFD"/>
    <w:rsid w:val="004F1976"/>
    <w:rsid w:val="00531A98"/>
    <w:rsid w:val="005671AF"/>
    <w:rsid w:val="00575BE0"/>
    <w:rsid w:val="0059323D"/>
    <w:rsid w:val="005B64D9"/>
    <w:rsid w:val="005B7D79"/>
    <w:rsid w:val="005C0411"/>
    <w:rsid w:val="005D2A02"/>
    <w:rsid w:val="005E344D"/>
    <w:rsid w:val="005E5211"/>
    <w:rsid w:val="00602D92"/>
    <w:rsid w:val="0064669F"/>
    <w:rsid w:val="00650F0B"/>
    <w:rsid w:val="00672B00"/>
    <w:rsid w:val="00675815"/>
    <w:rsid w:val="006804D3"/>
    <w:rsid w:val="006A0799"/>
    <w:rsid w:val="006C34A6"/>
    <w:rsid w:val="006D5D50"/>
    <w:rsid w:val="007041F8"/>
    <w:rsid w:val="00707614"/>
    <w:rsid w:val="00730240"/>
    <w:rsid w:val="00757E86"/>
    <w:rsid w:val="007A2B32"/>
    <w:rsid w:val="007D19EF"/>
    <w:rsid w:val="007D2F13"/>
    <w:rsid w:val="007E109B"/>
    <w:rsid w:val="00806436"/>
    <w:rsid w:val="00812F58"/>
    <w:rsid w:val="008411C2"/>
    <w:rsid w:val="00857277"/>
    <w:rsid w:val="008D2B09"/>
    <w:rsid w:val="00902E79"/>
    <w:rsid w:val="0091249F"/>
    <w:rsid w:val="0093595F"/>
    <w:rsid w:val="0095122D"/>
    <w:rsid w:val="00955D81"/>
    <w:rsid w:val="0097254F"/>
    <w:rsid w:val="00981295"/>
    <w:rsid w:val="00983727"/>
    <w:rsid w:val="00984762"/>
    <w:rsid w:val="009B1482"/>
    <w:rsid w:val="009D5403"/>
    <w:rsid w:val="00A776F5"/>
    <w:rsid w:val="00A82847"/>
    <w:rsid w:val="00AE40C9"/>
    <w:rsid w:val="00AE61DF"/>
    <w:rsid w:val="00BD15A2"/>
    <w:rsid w:val="00BE66A7"/>
    <w:rsid w:val="00C04432"/>
    <w:rsid w:val="00C174DB"/>
    <w:rsid w:val="00C35075"/>
    <w:rsid w:val="00C46123"/>
    <w:rsid w:val="00C624BC"/>
    <w:rsid w:val="00C707AB"/>
    <w:rsid w:val="00C734AF"/>
    <w:rsid w:val="00C83524"/>
    <w:rsid w:val="00C91FDC"/>
    <w:rsid w:val="00CD6766"/>
    <w:rsid w:val="00D72DEA"/>
    <w:rsid w:val="00D7737F"/>
    <w:rsid w:val="00DA67C2"/>
    <w:rsid w:val="00DC6951"/>
    <w:rsid w:val="00E04448"/>
    <w:rsid w:val="00E43CDC"/>
    <w:rsid w:val="00E6289B"/>
    <w:rsid w:val="00E72086"/>
    <w:rsid w:val="00F73547"/>
    <w:rsid w:val="00FB484C"/>
    <w:rsid w:val="00FD12D7"/>
    <w:rsid w:val="02A62C97"/>
    <w:rsid w:val="0384570B"/>
    <w:rsid w:val="05D84C5A"/>
    <w:rsid w:val="0ADA5E32"/>
    <w:rsid w:val="0C293491"/>
    <w:rsid w:val="0CBC5B00"/>
    <w:rsid w:val="115910F6"/>
    <w:rsid w:val="164F3F48"/>
    <w:rsid w:val="1B547ED0"/>
    <w:rsid w:val="1D2526DD"/>
    <w:rsid w:val="20670B7D"/>
    <w:rsid w:val="221B541B"/>
    <w:rsid w:val="24AA14F2"/>
    <w:rsid w:val="26465178"/>
    <w:rsid w:val="28C37CA1"/>
    <w:rsid w:val="2A700177"/>
    <w:rsid w:val="2B6D7D02"/>
    <w:rsid w:val="306B6D90"/>
    <w:rsid w:val="325B1285"/>
    <w:rsid w:val="32D723C9"/>
    <w:rsid w:val="33265C48"/>
    <w:rsid w:val="366C66A4"/>
    <w:rsid w:val="39EB2BE4"/>
    <w:rsid w:val="3CE74680"/>
    <w:rsid w:val="3D623818"/>
    <w:rsid w:val="409668BA"/>
    <w:rsid w:val="46573E7A"/>
    <w:rsid w:val="48F005AC"/>
    <w:rsid w:val="4BB518B6"/>
    <w:rsid w:val="4C7B497D"/>
    <w:rsid w:val="4DFC68B5"/>
    <w:rsid w:val="58591670"/>
    <w:rsid w:val="5B5815B5"/>
    <w:rsid w:val="61A0749A"/>
    <w:rsid w:val="670F6160"/>
    <w:rsid w:val="673134E9"/>
    <w:rsid w:val="6B5022BD"/>
    <w:rsid w:val="6D1C5409"/>
    <w:rsid w:val="6DB423F6"/>
    <w:rsid w:val="743F5DC0"/>
    <w:rsid w:val="765A2C9C"/>
    <w:rsid w:val="792318E2"/>
    <w:rsid w:val="7B0558AE"/>
    <w:rsid w:val="7DF23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1"/>
    </w:rPr>
  </w:style>
  <w:style w:type="paragraph" w:styleId="3">
    <w:name w:val="header"/>
    <w:basedOn w:val="1"/>
    <w:next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alloon Text"/>
    <w:basedOn w:val="1"/>
    <w:link w:val="15"/>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9">
    <w:name w:val="页眉 Char"/>
    <w:basedOn w:val="6"/>
    <w:link w:val="3"/>
    <w:qFormat/>
    <w:uiPriority w:val="99"/>
    <w:rPr>
      <w:sz w:val="18"/>
      <w:szCs w:val="18"/>
    </w:rPr>
  </w:style>
  <w:style w:type="character" w:customStyle="1" w:styleId="10">
    <w:name w:val="页脚 Char"/>
    <w:basedOn w:val="6"/>
    <w:link w:val="5"/>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Char"/>
    <w:basedOn w:val="1"/>
    <w:qFormat/>
    <w:uiPriority w:val="0"/>
    <w:pPr>
      <w:spacing w:line="360" w:lineRule="auto"/>
    </w:pPr>
  </w:style>
  <w:style w:type="paragraph" w:customStyle="1" w:styleId="13">
    <w:name w:val="p15"/>
    <w:basedOn w:val="1"/>
    <w:qFormat/>
    <w:uiPriority w:val="0"/>
    <w:pPr>
      <w:widowControl/>
    </w:pPr>
    <w:rPr>
      <w:kern w:val="0"/>
      <w:szCs w:val="21"/>
    </w:rPr>
  </w:style>
  <w:style w:type="paragraph" w:customStyle="1" w:styleId="14">
    <w:name w:val="p17"/>
    <w:basedOn w:val="1"/>
    <w:qFormat/>
    <w:uiPriority w:val="0"/>
    <w:pPr>
      <w:widowControl/>
    </w:pPr>
    <w:rPr>
      <w:kern w:val="0"/>
      <w:szCs w:val="21"/>
    </w:rPr>
  </w:style>
  <w:style w:type="character" w:customStyle="1" w:styleId="15">
    <w:name w:val="批注框文本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1375</Characters>
  <Lines>11</Lines>
  <Paragraphs>3</Paragraphs>
  <TotalTime>38</TotalTime>
  <ScaleCrop>false</ScaleCrop>
  <LinksUpToDate>false</LinksUpToDate>
  <CharactersWithSpaces>1613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2020-03-17T09:14:00Z</dcterms:created>
  <dc:creator>lenovo</dc:creator>
  <cp:lastModifiedBy>Administrator</cp:lastModifiedBy>
  <cp:lastPrinted>2021-09-23T02:00:43Z</cp:lastPrinted>
  <dcterms:modified xsi:type="dcterms:W3CDTF">2021-09-23T02:55:11Z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