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3360" w:firstLineChars="105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480" w:lineRule="atLeast"/>
        <w:ind w:firstLine="3360" w:firstLineChars="105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480" w:lineRule="atLeast"/>
        <w:ind w:firstLine="3360" w:firstLineChars="105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480" w:lineRule="atLeast"/>
        <w:ind w:firstLine="3360" w:firstLineChars="105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480" w:lineRule="atLeast"/>
        <w:ind w:firstLine="3360" w:firstLineChars="105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480" w:lineRule="atLeas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20" w:lineRule="atLeast"/>
        <w:jc w:val="center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南生发〔20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153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海南州生态环境局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同德县雪域同兴加油站建设项目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环境影响报告表的批复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同德县雪域同兴加油站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你站</w:t>
      </w:r>
      <w:r>
        <w:rPr>
          <w:rFonts w:hint="eastAsia" w:ascii="仿宋_GB2312" w:eastAsia="仿宋_GB2312"/>
          <w:sz w:val="32"/>
          <w:szCs w:val="32"/>
        </w:rPr>
        <w:t>《关于</w:t>
      </w:r>
      <w:r>
        <w:rPr>
          <w:rFonts w:hint="eastAsia" w:ascii="仿宋_GB2312" w:eastAsia="仿宋_GB2312"/>
          <w:sz w:val="32"/>
          <w:szCs w:val="32"/>
          <w:lang w:eastAsia="zh-CN"/>
        </w:rPr>
        <w:t>审批同德县雪域同兴加油站项目</w:t>
      </w:r>
      <w:r>
        <w:rPr>
          <w:rFonts w:hint="eastAsia" w:ascii="仿宋_GB2312" w:eastAsia="仿宋_GB2312"/>
          <w:sz w:val="32"/>
          <w:szCs w:val="32"/>
        </w:rPr>
        <w:t>环境影响报告表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的请示》收悉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同德县</w:t>
      </w:r>
      <w:r>
        <w:rPr>
          <w:rFonts w:hint="eastAsia" w:ascii="仿宋_GB2312" w:eastAsia="仿宋_GB2312"/>
          <w:sz w:val="32"/>
          <w:szCs w:val="32"/>
        </w:rPr>
        <w:t>生态环境局就本项目</w:t>
      </w:r>
      <w:r>
        <w:rPr>
          <w:rFonts w:ascii="仿宋_GB2312" w:eastAsia="仿宋_GB2312"/>
          <w:sz w:val="32"/>
          <w:szCs w:val="32"/>
        </w:rPr>
        <w:t>出具</w:t>
      </w:r>
      <w:r>
        <w:rPr>
          <w:rFonts w:hint="eastAsia" w:ascii="仿宋_GB2312" w:eastAsia="仿宋_GB2312"/>
          <w:sz w:val="32"/>
          <w:szCs w:val="32"/>
        </w:rPr>
        <w:t>了《关于</w:t>
      </w:r>
      <w:r>
        <w:rPr>
          <w:rFonts w:hint="eastAsia" w:ascii="仿宋_GB2312" w:eastAsia="仿宋_GB2312"/>
          <w:sz w:val="32"/>
          <w:szCs w:val="32"/>
          <w:lang w:eastAsia="zh-CN"/>
        </w:rPr>
        <w:t>同德县雪域同兴加油站建设项目环境影响报告表的</w:t>
      </w:r>
      <w:r>
        <w:rPr>
          <w:rFonts w:hint="eastAsia" w:ascii="仿宋_GB2312" w:eastAsia="仿宋_GB2312"/>
          <w:sz w:val="32"/>
          <w:szCs w:val="32"/>
        </w:rPr>
        <w:t>预审意见》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同生发发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号）。结合专家意见，经我局研究，现批复如下：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项目概况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同德县雪域同兴加油站为原址重建，建设地点位于同德县尕巴松多镇南环路西口。重建后</w:t>
      </w:r>
      <w:r>
        <w:rPr>
          <w:rFonts w:hint="eastAsia" w:ascii="仿宋_GB2312" w:eastAsia="仿宋_GB2312"/>
          <w:sz w:val="32"/>
          <w:szCs w:val="32"/>
        </w:rPr>
        <w:t>加油站等级为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级，</w:t>
      </w:r>
      <w:r>
        <w:rPr>
          <w:rFonts w:hint="eastAsia" w:ascii="仿宋_GB2312" w:eastAsia="仿宋_GB2312"/>
          <w:sz w:val="32"/>
          <w:szCs w:val="32"/>
          <w:lang w:eastAsia="zh-CN"/>
        </w:rPr>
        <w:t>本次建设内容为：新建罩棚一座，新建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卧式SF双层柴油储罐和汽油储罐各2台，1台四枪汽油加油机、1台双枪柴油加油机，新建</w:t>
      </w:r>
      <w:r>
        <w:rPr>
          <w:rFonts w:hint="eastAsia" w:ascii="仿宋_GB2312" w:eastAsia="仿宋_GB2312"/>
          <w:sz w:val="32"/>
          <w:szCs w:val="32"/>
          <w:lang w:eastAsia="zh-CN"/>
        </w:rPr>
        <w:t>站房、</w:t>
      </w:r>
      <w:r>
        <w:rPr>
          <w:rFonts w:hint="eastAsia" w:ascii="仿宋_GB2312" w:eastAsia="仿宋_GB2312"/>
          <w:sz w:val="32"/>
          <w:szCs w:val="32"/>
        </w:rPr>
        <w:t>化粪池、事故池、环保沟、水封井、地下水监测井、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危险废物临时贮存库</w:t>
      </w:r>
      <w:r>
        <w:rPr>
          <w:rFonts w:hint="eastAsia" w:ascii="仿宋_GB2312" w:eastAsia="仿宋_GB2312"/>
          <w:sz w:val="32"/>
          <w:szCs w:val="32"/>
        </w:rPr>
        <w:t>等。项目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总投资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万元，其中环保投资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万元，占总投资的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18.75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二、审批意见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该项目取得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海南州经济商务和信息化委员会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《关于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同意同德县雪域同兴加油站进行改扩建的批复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》（南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经商信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﹝20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﹞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号）。我局原则同意环境影响报告表中所列建设项目的性质、规模、地点和拟采取的环境保护措施。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你站必须全面落实报告表提出的各项生态环境保护和污染防治措施，最大程度缓解和控制项目对生态环境的不利影响。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、项目建设</w:t>
      </w:r>
      <w:r>
        <w:rPr>
          <w:rFonts w:hint="eastAsia" w:ascii="黑体" w:hAnsi="黑体" w:eastAsia="黑体"/>
          <w:sz w:val="32"/>
          <w:szCs w:val="32"/>
          <w:lang w:eastAsia="zh-CN"/>
        </w:rPr>
        <w:t>和运行管理</w:t>
      </w:r>
      <w:r>
        <w:rPr>
          <w:rFonts w:hint="eastAsia" w:ascii="黑体" w:hAnsi="黑体" w:eastAsia="黑体"/>
          <w:sz w:val="32"/>
          <w:szCs w:val="32"/>
        </w:rPr>
        <w:t>中</w:t>
      </w:r>
      <w:r>
        <w:rPr>
          <w:rFonts w:hint="eastAsia" w:ascii="黑体" w:hAnsi="黑体" w:eastAsia="黑体"/>
          <w:sz w:val="32"/>
          <w:szCs w:val="32"/>
          <w:lang w:eastAsia="zh-CN"/>
        </w:rPr>
        <w:t>应重点</w:t>
      </w:r>
      <w:r>
        <w:rPr>
          <w:rFonts w:hint="eastAsia" w:ascii="黑体" w:hAnsi="黑体" w:eastAsia="黑体"/>
          <w:sz w:val="32"/>
          <w:szCs w:val="32"/>
        </w:rPr>
        <w:t>做好以下工作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（一）施工期应切实落实各项环保措施。施工作业现场设置围挡墙，</w:t>
      </w:r>
      <w:r>
        <w:rPr>
          <w:rFonts w:hint="eastAsia" w:ascii="仿宋_GB2312" w:eastAsia="仿宋_GB2312"/>
          <w:sz w:val="32"/>
          <w:szCs w:val="32"/>
          <w:lang w:eastAsia="zh-CN"/>
        </w:rPr>
        <w:t>原有加油站构筑物拆除时应洒水降尘，</w:t>
      </w:r>
      <w:r>
        <w:rPr>
          <w:rFonts w:hint="eastAsia" w:ascii="仿宋_GB2312" w:eastAsia="仿宋_GB2312"/>
          <w:sz w:val="32"/>
          <w:szCs w:val="32"/>
        </w:rPr>
        <w:t>施工建筑材料堆场应采取防风抑尘措施，物料运输加盖篷布，同时尽量避免在大风天气进行土方开挖等活动，以减少对环境空气的影响。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（二）施工期产生的施工废水经临时沉淀池沉淀后回用，不外排。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生活污水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化粪池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收集后排入城镇污水管网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为防止地下水污染，项目</w:t>
      </w:r>
      <w:r>
        <w:rPr>
          <w:rFonts w:hint="eastAsia" w:ascii="仿宋_GB2312" w:eastAsia="仿宋_GB2312"/>
          <w:sz w:val="32"/>
          <w:szCs w:val="32"/>
          <w:lang w:eastAsia="zh-CN"/>
        </w:rPr>
        <w:t>区按环评要求</w:t>
      </w:r>
      <w:r>
        <w:rPr>
          <w:rFonts w:hint="eastAsia" w:ascii="仿宋_GB2312" w:eastAsia="仿宋_GB2312"/>
          <w:sz w:val="32"/>
          <w:szCs w:val="32"/>
        </w:rPr>
        <w:t>采取防渗措施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设置地下水监测井，</w:t>
      </w:r>
      <w:r>
        <w:rPr>
          <w:rFonts w:ascii="仿宋_GB2312" w:eastAsia="仿宋_GB2312"/>
          <w:sz w:val="32"/>
          <w:szCs w:val="32"/>
        </w:rPr>
        <w:t>并</w:t>
      </w:r>
      <w:r>
        <w:rPr>
          <w:rFonts w:hint="eastAsia" w:ascii="仿宋_GB2312" w:eastAsia="仿宋_GB2312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要求开展监测工作。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施工期产生的建筑垃圾应集中收集并送往</w:t>
      </w:r>
      <w:r>
        <w:rPr>
          <w:rFonts w:hint="eastAsia" w:ascii="仿宋_GB2312" w:eastAsia="仿宋_GB2312"/>
          <w:sz w:val="32"/>
          <w:szCs w:val="32"/>
          <w:lang w:eastAsia="zh-CN"/>
        </w:rPr>
        <w:t>住建</w:t>
      </w:r>
      <w:r>
        <w:rPr>
          <w:rFonts w:hint="eastAsia" w:ascii="仿宋_GB2312" w:eastAsia="仿宋_GB2312"/>
          <w:sz w:val="32"/>
          <w:szCs w:val="32"/>
        </w:rPr>
        <w:t>部门指定地点进行处置，施工</w:t>
      </w:r>
      <w:r>
        <w:rPr>
          <w:rFonts w:ascii="仿宋_GB2312" w:eastAsia="仿宋_GB2312"/>
          <w:sz w:val="32"/>
          <w:szCs w:val="32"/>
        </w:rPr>
        <w:t>结束后</w:t>
      </w:r>
      <w:r>
        <w:rPr>
          <w:rFonts w:hint="eastAsia" w:ascii="仿宋_GB2312" w:eastAsia="仿宋_GB2312"/>
          <w:sz w:val="32"/>
          <w:szCs w:val="32"/>
        </w:rPr>
        <w:t>要</w:t>
      </w:r>
      <w:r>
        <w:rPr>
          <w:rFonts w:ascii="仿宋_GB2312" w:eastAsia="仿宋_GB2312"/>
          <w:sz w:val="32"/>
          <w:szCs w:val="32"/>
        </w:rPr>
        <w:t>及时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施工营地和临时占地清理。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运营期</w:t>
      </w:r>
      <w:r>
        <w:rPr>
          <w:rFonts w:hint="eastAsia" w:ascii="仿宋_GB2312" w:eastAsia="仿宋_GB2312"/>
          <w:sz w:val="32"/>
          <w:szCs w:val="32"/>
        </w:rPr>
        <w:t>生活</w:t>
      </w:r>
      <w:r>
        <w:rPr>
          <w:rFonts w:ascii="仿宋_GB2312" w:eastAsia="仿宋_GB2312"/>
          <w:sz w:val="32"/>
          <w:szCs w:val="32"/>
        </w:rPr>
        <w:t>垃圾</w:t>
      </w:r>
      <w:r>
        <w:rPr>
          <w:rFonts w:hint="eastAsia" w:ascii="仿宋_GB2312" w:eastAsia="仿宋_GB2312"/>
          <w:sz w:val="32"/>
          <w:szCs w:val="32"/>
          <w:lang w:eastAsia="zh-CN"/>
        </w:rPr>
        <w:t>集中收统一</w:t>
      </w:r>
      <w:r>
        <w:rPr>
          <w:rFonts w:ascii="仿宋_GB2312" w:eastAsia="仿宋_GB2312"/>
          <w:sz w:val="32"/>
          <w:szCs w:val="32"/>
        </w:rPr>
        <w:t>送至</w:t>
      </w:r>
      <w:r>
        <w:rPr>
          <w:rFonts w:hint="eastAsia" w:ascii="仿宋_GB2312" w:eastAsia="仿宋_GB2312"/>
          <w:sz w:val="32"/>
          <w:szCs w:val="32"/>
          <w:lang w:eastAsia="zh-CN"/>
        </w:rPr>
        <w:t>同德</w:t>
      </w:r>
      <w:r>
        <w:rPr>
          <w:rFonts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eastAsia="zh-CN"/>
        </w:rPr>
        <w:t>生活</w:t>
      </w:r>
      <w:r>
        <w:rPr>
          <w:rFonts w:ascii="仿宋_GB2312" w:eastAsia="仿宋_GB2312"/>
          <w:sz w:val="32"/>
          <w:szCs w:val="32"/>
        </w:rPr>
        <w:t>垃圾填埋场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）运营期加强对油气回收装置的维护和管理，保证加油站内油气回收系统正常运行。非甲烷总烃无组织排放符合《大气污染物综合排放标准》（GB16297-1996）中无组织排放浓度限值。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）认真落实项目施工期和运营期噪声源的降噪措施，确保施工期噪声执行《建筑施工场界环境噪声排放标准》（GB12523-2011）限值。运营期厂界昼夜噪声达到《工业企业厂界环境噪声排放标准》（GB12348—2008）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类标准。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按要求制定环境突发事件应急预案，应急预案报生态环境部门备案。</w:t>
      </w:r>
      <w:r>
        <w:rPr>
          <w:rFonts w:hint="eastAsia" w:ascii="仿宋_GB2312" w:eastAsia="仿宋_GB2312"/>
          <w:sz w:val="32"/>
          <w:szCs w:val="32"/>
        </w:rPr>
        <w:t>清罐废水与</w:t>
      </w:r>
      <w:r>
        <w:rPr>
          <w:rFonts w:ascii="仿宋_GB2312" w:eastAsia="仿宋_GB2312"/>
          <w:sz w:val="32"/>
          <w:szCs w:val="32"/>
        </w:rPr>
        <w:t>隔油池废水一并交由</w:t>
      </w:r>
      <w:r>
        <w:rPr>
          <w:rFonts w:hint="eastAsia" w:ascii="仿宋_GB2312" w:eastAsia="仿宋_GB2312"/>
          <w:sz w:val="32"/>
          <w:szCs w:val="32"/>
        </w:rPr>
        <w:t>有危废</w:t>
      </w:r>
      <w:r>
        <w:rPr>
          <w:rFonts w:ascii="仿宋_GB2312" w:eastAsia="仿宋_GB2312"/>
          <w:sz w:val="32"/>
          <w:szCs w:val="32"/>
        </w:rPr>
        <w:t>处置</w:t>
      </w:r>
      <w:r>
        <w:rPr>
          <w:rFonts w:hint="eastAsia" w:ascii="仿宋_GB2312" w:eastAsia="仿宋_GB2312"/>
          <w:sz w:val="32"/>
          <w:szCs w:val="32"/>
        </w:rPr>
        <w:t>资质的单位回收处理。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"/>
          <w:kern w:val="0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认真履行项目实施过程的生态保护主体责任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你站应认真履行项目实施过程的生态保护主体责任，严格执行环保“三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同时”制度，项目建成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3个月内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《建设项目竣工环境保护验收暂行办法》（国环规环评〔2017〕4号）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的相关要求做好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竣工</w:t>
      </w:r>
      <w:r>
        <w:rPr>
          <w:rFonts w:hint="eastAsia" w:ascii="仿宋_GB2312" w:hAnsi="仿宋_GB2312" w:eastAsia="仿宋_GB2312" w:cs="仿宋_GB2312"/>
          <w:sz w:val="32"/>
          <w:szCs w:val="32"/>
        </w:rPr>
        <w:t>环保验收，验收合格并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报州、县生态环境部门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备案后方可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五、你站</w:t>
      </w:r>
      <w:r>
        <w:rPr>
          <w:rFonts w:hint="eastAsia" w:ascii="黑体" w:hAnsi="黑体" w:eastAsia="黑体" w:cs="仿宋"/>
          <w:sz w:val="32"/>
          <w:szCs w:val="32"/>
        </w:rPr>
        <w:t>应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按</w:t>
      </w:r>
      <w:r>
        <w:rPr>
          <w:rFonts w:hint="eastAsia" w:ascii="黑体" w:hAnsi="黑体" w:eastAsia="黑体" w:cs="仿宋"/>
          <w:sz w:val="32"/>
          <w:szCs w:val="32"/>
        </w:rPr>
        <w:t>规定接受各级生态环境主管部门的日常监督检查。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"/>
          <w:sz w:val="32"/>
          <w:szCs w:val="32"/>
        </w:rPr>
      </w:pPr>
    </w:p>
    <w:p>
      <w:pPr>
        <w:pStyle w:val="10"/>
        <w:spacing w:line="520" w:lineRule="exact"/>
        <w:ind w:firstLine="4960" w:firstLineChars="155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520" w:lineRule="exact"/>
        <w:ind w:firstLine="4960" w:firstLineChars="15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10"/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pStyle w:val="10"/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是否宜公开选项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宜公开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9060" w:type="dxa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抄送：州</w:t>
            </w:r>
            <w:r>
              <w:rPr>
                <w:rFonts w:ascii="仿宋_GB2312" w:eastAsia="仿宋_GB2312"/>
                <w:sz w:val="28"/>
                <w:szCs w:val="28"/>
              </w:rPr>
              <w:t>生态环境</w:t>
            </w:r>
            <w:r>
              <w:rPr>
                <w:rFonts w:hint="eastAsia" w:ascii="仿宋_GB2312" w:eastAsia="仿宋_GB2312"/>
                <w:sz w:val="28"/>
                <w:szCs w:val="28"/>
              </w:rPr>
              <w:t>综合行政执法支队，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共和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县生态环境局，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贵州树涛环保咨询有限公司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海南州生态环境局    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202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印发</w:t>
            </w:r>
          </w:p>
        </w:tc>
      </w:tr>
    </w:tbl>
    <w:p>
      <w:pPr>
        <w:pStyle w:val="10"/>
        <w:spacing w:line="520" w:lineRule="exact"/>
      </w:pPr>
    </w:p>
    <w:sectPr>
      <w:headerReference r:id="rId3" w:type="default"/>
      <w:headerReference r:id="rId4" w:type="even"/>
      <w:pgSz w:w="11906" w:h="16838"/>
      <w:pgMar w:top="2098" w:right="1474" w:bottom="1531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8F7314"/>
    <w:multiLevelType w:val="singleLevel"/>
    <w:tmpl w:val="A08F731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EF"/>
    <w:rsid w:val="00001DE7"/>
    <w:rsid w:val="00042B5B"/>
    <w:rsid w:val="000922A1"/>
    <w:rsid w:val="000F3DA3"/>
    <w:rsid w:val="000F5BAE"/>
    <w:rsid w:val="00122983"/>
    <w:rsid w:val="00125D93"/>
    <w:rsid w:val="00181DA2"/>
    <w:rsid w:val="001D0351"/>
    <w:rsid w:val="001E6245"/>
    <w:rsid w:val="001F6809"/>
    <w:rsid w:val="00213F33"/>
    <w:rsid w:val="00220E00"/>
    <w:rsid w:val="002246C7"/>
    <w:rsid w:val="002263BD"/>
    <w:rsid w:val="00241BD8"/>
    <w:rsid w:val="00282EC5"/>
    <w:rsid w:val="002A686D"/>
    <w:rsid w:val="002B61D1"/>
    <w:rsid w:val="002C5E04"/>
    <w:rsid w:val="002F3A49"/>
    <w:rsid w:val="003129D7"/>
    <w:rsid w:val="00327516"/>
    <w:rsid w:val="003F28B7"/>
    <w:rsid w:val="00400A9C"/>
    <w:rsid w:val="004121D4"/>
    <w:rsid w:val="00421C62"/>
    <w:rsid w:val="0042739E"/>
    <w:rsid w:val="00475A2D"/>
    <w:rsid w:val="004B5C4C"/>
    <w:rsid w:val="004B64CB"/>
    <w:rsid w:val="004B73A1"/>
    <w:rsid w:val="004D6010"/>
    <w:rsid w:val="00533EEF"/>
    <w:rsid w:val="0053637E"/>
    <w:rsid w:val="0055123E"/>
    <w:rsid w:val="00562DD1"/>
    <w:rsid w:val="005968AC"/>
    <w:rsid w:val="005C0447"/>
    <w:rsid w:val="00660C6A"/>
    <w:rsid w:val="00670E84"/>
    <w:rsid w:val="00681D00"/>
    <w:rsid w:val="006C73F5"/>
    <w:rsid w:val="006F7774"/>
    <w:rsid w:val="00702959"/>
    <w:rsid w:val="00716BDA"/>
    <w:rsid w:val="007175EA"/>
    <w:rsid w:val="00734283"/>
    <w:rsid w:val="007A6D14"/>
    <w:rsid w:val="0080159F"/>
    <w:rsid w:val="00811563"/>
    <w:rsid w:val="00823299"/>
    <w:rsid w:val="0083204F"/>
    <w:rsid w:val="008607E4"/>
    <w:rsid w:val="00876419"/>
    <w:rsid w:val="008969C8"/>
    <w:rsid w:val="0090143A"/>
    <w:rsid w:val="00915B22"/>
    <w:rsid w:val="009316CE"/>
    <w:rsid w:val="00934311"/>
    <w:rsid w:val="009D40BA"/>
    <w:rsid w:val="00A0696D"/>
    <w:rsid w:val="00A256D2"/>
    <w:rsid w:val="00A4460E"/>
    <w:rsid w:val="00A65198"/>
    <w:rsid w:val="00AB19B3"/>
    <w:rsid w:val="00BA3CBF"/>
    <w:rsid w:val="00BD1083"/>
    <w:rsid w:val="00BF570F"/>
    <w:rsid w:val="00C0036E"/>
    <w:rsid w:val="00C21239"/>
    <w:rsid w:val="00C50537"/>
    <w:rsid w:val="00CA3A34"/>
    <w:rsid w:val="00CB50E3"/>
    <w:rsid w:val="00D0199E"/>
    <w:rsid w:val="00D579FA"/>
    <w:rsid w:val="00D6779C"/>
    <w:rsid w:val="00D915A7"/>
    <w:rsid w:val="00DA44E0"/>
    <w:rsid w:val="00DA67C2"/>
    <w:rsid w:val="00DA7FAC"/>
    <w:rsid w:val="00DE1986"/>
    <w:rsid w:val="00E15415"/>
    <w:rsid w:val="00E3214A"/>
    <w:rsid w:val="00E5411E"/>
    <w:rsid w:val="00E9301A"/>
    <w:rsid w:val="00ED0BB9"/>
    <w:rsid w:val="00EE1E56"/>
    <w:rsid w:val="00F02BBC"/>
    <w:rsid w:val="00F24508"/>
    <w:rsid w:val="00F87874"/>
    <w:rsid w:val="00F93F6A"/>
    <w:rsid w:val="00FA61EF"/>
    <w:rsid w:val="00FD1FAC"/>
    <w:rsid w:val="00FF6F4E"/>
    <w:rsid w:val="098739FD"/>
    <w:rsid w:val="0A734DA8"/>
    <w:rsid w:val="11E6041D"/>
    <w:rsid w:val="13123636"/>
    <w:rsid w:val="18E327BA"/>
    <w:rsid w:val="19ED7E29"/>
    <w:rsid w:val="1A531C3D"/>
    <w:rsid w:val="1BC37DB3"/>
    <w:rsid w:val="1D4C6EE3"/>
    <w:rsid w:val="25D349D2"/>
    <w:rsid w:val="26215D67"/>
    <w:rsid w:val="2E3E19DD"/>
    <w:rsid w:val="338E0F1B"/>
    <w:rsid w:val="35F9039B"/>
    <w:rsid w:val="371063F5"/>
    <w:rsid w:val="39E15B00"/>
    <w:rsid w:val="45570467"/>
    <w:rsid w:val="47AD68C0"/>
    <w:rsid w:val="54742923"/>
    <w:rsid w:val="5499145A"/>
    <w:rsid w:val="5FB903A2"/>
    <w:rsid w:val="607C1C11"/>
    <w:rsid w:val="62A64CC2"/>
    <w:rsid w:val="62ED0C0D"/>
    <w:rsid w:val="65820AE2"/>
    <w:rsid w:val="68CD681B"/>
    <w:rsid w:val="6DDB4048"/>
    <w:rsid w:val="71871348"/>
    <w:rsid w:val="78FC1922"/>
    <w:rsid w:val="7968768E"/>
    <w:rsid w:val="7C3C00BF"/>
    <w:rsid w:val="7C522707"/>
    <w:rsid w:val="7DF505C0"/>
    <w:rsid w:val="7EB10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0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">
    <w:name w:val="p17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</Words>
  <Characters>1137</Characters>
  <Lines>9</Lines>
  <Paragraphs>2</Paragraphs>
  <TotalTime>26</TotalTime>
  <ScaleCrop>false</ScaleCrop>
  <LinksUpToDate>false</LinksUpToDate>
  <CharactersWithSpaces>1334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2018-06-05T08:25:00Z</dcterms:created>
  <dc:creator>lenovo</dc:creator>
  <cp:lastModifiedBy>Administrator</cp:lastModifiedBy>
  <cp:lastPrinted>2021-09-23T08:01:50Z</cp:lastPrinted>
  <dcterms:modified xsi:type="dcterms:W3CDTF">2021-09-23T08:10:09Z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D6AC9EB872ED47068E605F2C7281EBF2</vt:lpwstr>
  </property>
</Properties>
</file>