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76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南生发〔2020〕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289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号</w:t>
      </w:r>
    </w:p>
    <w:p>
      <w:pPr>
        <w:widowControl/>
        <w:spacing w:line="500" w:lineRule="exact"/>
        <w:jc w:val="center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海南州生态环境局</w:t>
      </w:r>
    </w:p>
    <w:p>
      <w:pPr>
        <w:widowControl/>
        <w:spacing w:line="500" w:lineRule="exact"/>
        <w:jc w:val="center"/>
        <w:rPr>
          <w:rFonts w:hint="eastAsia"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关于共和县2020年农村环境综合整治项目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农村生活</w:t>
      </w:r>
    </w:p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污水治理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环境影响报告表的批复</w:t>
      </w:r>
    </w:p>
    <w:p>
      <w:pPr>
        <w:pStyle w:val="13"/>
        <w:autoSpaceDN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共和县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生态环境局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: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你局《关于审批共和县2020年农村环境综合整治项目-农村生活污水治理项目环境影响报告表的请示》(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共生发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〔2020〕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351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号)收悉，结合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项目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专家意见，经我局研究后，现批复如下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一、项目概况及审批意见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为农村生活污水治理项目，建设地点位于共和县切吉乡莫合村、切吉乡祁加村、恰卜恰镇切扎移民新村，主要建设内容为：3个村庄共敷设污水收集管网总长12.12km，污水收集检查井385座，化粪池31座，分别在切吉乡莫合村、祁加村各新建一体化污水处理设施1座。项目总投资1371万元，其中环保投资23.2万元，占项目总投资的1.69%。我局原则同意环境影响报告表中所列建设项目的性质、规模、地点和拟采取的环境保护措施。你局必须全面落实报告表提出的各项生态环境保护和污染防治措施，最大程度缓解和控制项目对生态环境的不利影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二、项目在建设和运营期间应重点做好以下工作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(一)全面落实生态环境保护措施。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施工期管道开挖应尽可能减少占地范围和面积，严格控制施工场地、施工道路等临时占地范围，施工结束后结合项目区特点对临时占地做好土地平整和植被恢复。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(二)严格落实大气污染防治措施。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施工期落实大气污染防治措施，严格落实扬尘控制措施，规范对开挖土方等物料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的处置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管线敷设应采取分段式作业，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施工现场采取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洒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水抑尘、围挡等措施，严格限制运输车辆行驶速度，车辆运输应加盖篷布、以减少扬尘对周边环境的影响。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运营期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加强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污水处理站的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卫生和管理工作，定期进行消毒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杀灭蚊蝇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污泥清掏；四周设置绿化隔离带，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以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减缓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恶臭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对周围环境造成的影响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(三)严格落实水污染防治措施。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施工期设备冲洗废水、生活污水经沉淀池处理后用于场地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洒水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抑尘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严禁外排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施工期不设临时早厕，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施工人员如厕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依托附近居民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旱厕。运营期切扎移民新村污水管网接入城镇污水管网，污水排入城镇污水处理厂处理；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切吉乡莫合村、祁加村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的污水处理站处理后的尾水执行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《农田灌溉水质标准》（GB5084-2005）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，用于周边农田灌溉。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(四)严格落实固体污染防治措施。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施工期产生的生活垃圾集中收集后交由环卫部门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统一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处置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建筑垃圾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尽可能资源化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利用，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无法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利用的统一运往住建部门指定的地点进行处置，禁止随意堆弃。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运营期污水处理站的污泥经过污泥脱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水机脱水达标后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运至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生活垃圾填埋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规范填埋。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-SA"/>
        </w:rPr>
        <w:t>)认真落实项目施工期和运营期噪声源的降噪措施。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合理安排施工作业时段，施工期噪声执行《建筑施工场界噪声排放标准》(GB12523-2011)限值，运营期噪声执行《工业企业厂界环境噪声排放标准》（GB12348-2008）中的2类标准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三、项目建设要严格执行环保“三同时”制度。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工程建成后你单位须按照《建设项目竣工环境保护验收暂行管理办法》做好项目环保验收，经验收合格并向我局备案后方可正式投入生产或使用。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四、项目批复后如项目的性质、规模、地点或者污染防治措施等发生重大变动，你局应当重新报批环境影响报告表。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pStyle w:val="12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960" w:firstLineChars="155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2020年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tabs>
          <w:tab w:val="left" w:pos="7584"/>
          <w:tab w:val="left" w:pos="7900"/>
        </w:tabs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是否宜公开选项：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宜公开 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                          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00" w:lineRule="exact"/>
        <w:ind w:left="1119" w:leftChars="133" w:hanging="840" w:hangingChars="300"/>
        <w:jc w:val="both"/>
        <w:outlineLvl w:val="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9525</wp:posOffset>
                </wp:positionV>
                <wp:extent cx="551688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0.75pt;height:0.05pt;width:434.4pt;z-index:251662336;mso-width-relative:page;mso-height-relative:page;" filled="f" stroked="t" coordsize="21600,21600" o:gfxdata="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RrtPNMAAAAFAQAADwAAAAAAAAABACAAAAAiAAAAZHJzL2Rvd25yZXYueG1sUEsB&#10;AhQAFAAAAAgAh07iQCCqFiT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海南州领环环境科技有限公司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，档。</w:t>
      </w:r>
    </w:p>
    <w:p>
      <w:pPr>
        <w:adjustRightInd w:val="0"/>
        <w:snapToGrid w:val="0"/>
        <w:spacing w:line="500" w:lineRule="exact"/>
        <w:ind w:firstLine="280" w:firstLineChars="100"/>
        <w:jc w:val="both"/>
        <w:outlineLvl w:val="0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345440</wp:posOffset>
                </wp:positionV>
                <wp:extent cx="551688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7.2pt;height:0.05pt;width:434.4pt;z-index:251661312;mso-width-relative:page;mso-height-relative:page;" filled="f" stroked="t" coordsize="21600,21600" o:gfxdata="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8lqM1QAAAAcBAAAPAAAAAAAAAAEAIAAAACIAAABkcnMvZG93bnJldi54bWxQ&#10;SwECFAAUAAAACACHTuJAIEZBNP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25400</wp:posOffset>
                </wp:positionV>
                <wp:extent cx="551688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2pt;height:0.05pt;width:434.4pt;z-index:251660288;mso-width-relative:page;mso-height-relative:page;" filled="f" stroked="t" coordsize="21600,21600" o:gfxdata="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4Qm5zUAAAABQEAAA8AAAAAAAAAAQAgAAAAIgAAAGRycy9kb3ducmV2LnhtbFBL&#10;AQIUABQAAAAIAIdO4kAgsGo8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海南州生态环境局                   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2020年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CF4"/>
    <w:multiLevelType w:val="multilevel"/>
    <w:tmpl w:val="4C506C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vanish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C"/>
    <w:rsid w:val="0000391D"/>
    <w:rsid w:val="0002484E"/>
    <w:rsid w:val="00041CB5"/>
    <w:rsid w:val="00042F40"/>
    <w:rsid w:val="0004562D"/>
    <w:rsid w:val="00052376"/>
    <w:rsid w:val="000704B1"/>
    <w:rsid w:val="000B1DFB"/>
    <w:rsid w:val="000C2162"/>
    <w:rsid w:val="000D3435"/>
    <w:rsid w:val="000D60CD"/>
    <w:rsid w:val="000E031D"/>
    <w:rsid w:val="000E3B31"/>
    <w:rsid w:val="000F342D"/>
    <w:rsid w:val="000F52E7"/>
    <w:rsid w:val="00113571"/>
    <w:rsid w:val="00115F58"/>
    <w:rsid w:val="001369ED"/>
    <w:rsid w:val="001440AE"/>
    <w:rsid w:val="00147504"/>
    <w:rsid w:val="0015631C"/>
    <w:rsid w:val="00157B11"/>
    <w:rsid w:val="00166F02"/>
    <w:rsid w:val="0017246C"/>
    <w:rsid w:val="00180B67"/>
    <w:rsid w:val="00194536"/>
    <w:rsid w:val="001B2CEB"/>
    <w:rsid w:val="001B4BCE"/>
    <w:rsid w:val="001D1B2A"/>
    <w:rsid w:val="001D3088"/>
    <w:rsid w:val="001D3742"/>
    <w:rsid w:val="001F3BEF"/>
    <w:rsid w:val="002332DD"/>
    <w:rsid w:val="00250073"/>
    <w:rsid w:val="00255E9D"/>
    <w:rsid w:val="00282EC5"/>
    <w:rsid w:val="00285629"/>
    <w:rsid w:val="002875C0"/>
    <w:rsid w:val="002B1945"/>
    <w:rsid w:val="002B1D82"/>
    <w:rsid w:val="002B32F4"/>
    <w:rsid w:val="002D62ED"/>
    <w:rsid w:val="002F50FD"/>
    <w:rsid w:val="00317CA0"/>
    <w:rsid w:val="0033000D"/>
    <w:rsid w:val="00341A44"/>
    <w:rsid w:val="00344788"/>
    <w:rsid w:val="00355342"/>
    <w:rsid w:val="00374375"/>
    <w:rsid w:val="0037499E"/>
    <w:rsid w:val="00382AA6"/>
    <w:rsid w:val="003B283A"/>
    <w:rsid w:val="003B2B0E"/>
    <w:rsid w:val="003C0985"/>
    <w:rsid w:val="003C6218"/>
    <w:rsid w:val="003C6243"/>
    <w:rsid w:val="003E7A0D"/>
    <w:rsid w:val="003F5971"/>
    <w:rsid w:val="00417780"/>
    <w:rsid w:val="0042258F"/>
    <w:rsid w:val="0043369B"/>
    <w:rsid w:val="004365C6"/>
    <w:rsid w:val="00476ABC"/>
    <w:rsid w:val="004C23CE"/>
    <w:rsid w:val="004C3682"/>
    <w:rsid w:val="004C7D66"/>
    <w:rsid w:val="005003C4"/>
    <w:rsid w:val="005161D2"/>
    <w:rsid w:val="00530944"/>
    <w:rsid w:val="005650DC"/>
    <w:rsid w:val="00574CFD"/>
    <w:rsid w:val="005C1695"/>
    <w:rsid w:val="005E1D93"/>
    <w:rsid w:val="005E40FC"/>
    <w:rsid w:val="005E4951"/>
    <w:rsid w:val="005F1E00"/>
    <w:rsid w:val="005F3AFF"/>
    <w:rsid w:val="0063166C"/>
    <w:rsid w:val="00636800"/>
    <w:rsid w:val="00662C1A"/>
    <w:rsid w:val="006721E7"/>
    <w:rsid w:val="006A08B8"/>
    <w:rsid w:val="006A4ABF"/>
    <w:rsid w:val="006B3438"/>
    <w:rsid w:val="006C38DE"/>
    <w:rsid w:val="006E6027"/>
    <w:rsid w:val="006F2E02"/>
    <w:rsid w:val="0071680F"/>
    <w:rsid w:val="00716897"/>
    <w:rsid w:val="00737D59"/>
    <w:rsid w:val="00754AA5"/>
    <w:rsid w:val="0077667A"/>
    <w:rsid w:val="00787BCF"/>
    <w:rsid w:val="007929FB"/>
    <w:rsid w:val="007B4B2D"/>
    <w:rsid w:val="007E1D5A"/>
    <w:rsid w:val="007F16A7"/>
    <w:rsid w:val="0082393C"/>
    <w:rsid w:val="0085092C"/>
    <w:rsid w:val="00890AE9"/>
    <w:rsid w:val="00896943"/>
    <w:rsid w:val="008B3F03"/>
    <w:rsid w:val="008E22FF"/>
    <w:rsid w:val="008E48B2"/>
    <w:rsid w:val="008F7A4F"/>
    <w:rsid w:val="00911213"/>
    <w:rsid w:val="00912D6A"/>
    <w:rsid w:val="00916B3E"/>
    <w:rsid w:val="009201B1"/>
    <w:rsid w:val="00933712"/>
    <w:rsid w:val="00945FF3"/>
    <w:rsid w:val="00946B36"/>
    <w:rsid w:val="00975F81"/>
    <w:rsid w:val="00987F4C"/>
    <w:rsid w:val="00996655"/>
    <w:rsid w:val="009968DC"/>
    <w:rsid w:val="009B20AE"/>
    <w:rsid w:val="009C1B3A"/>
    <w:rsid w:val="009D1717"/>
    <w:rsid w:val="009E3064"/>
    <w:rsid w:val="00A5370B"/>
    <w:rsid w:val="00A71315"/>
    <w:rsid w:val="00A71BC0"/>
    <w:rsid w:val="00AA268F"/>
    <w:rsid w:val="00AA3081"/>
    <w:rsid w:val="00AB4D8B"/>
    <w:rsid w:val="00AB4E91"/>
    <w:rsid w:val="00AC394C"/>
    <w:rsid w:val="00AD3DC6"/>
    <w:rsid w:val="00AE26AF"/>
    <w:rsid w:val="00B03FFE"/>
    <w:rsid w:val="00B23145"/>
    <w:rsid w:val="00B31F65"/>
    <w:rsid w:val="00B66CFA"/>
    <w:rsid w:val="00B670DC"/>
    <w:rsid w:val="00B737FF"/>
    <w:rsid w:val="00B77900"/>
    <w:rsid w:val="00B81946"/>
    <w:rsid w:val="00BA0C17"/>
    <w:rsid w:val="00BA5749"/>
    <w:rsid w:val="00BA7209"/>
    <w:rsid w:val="00BB43F4"/>
    <w:rsid w:val="00BC50D9"/>
    <w:rsid w:val="00BD08B0"/>
    <w:rsid w:val="00BD7947"/>
    <w:rsid w:val="00BE5AF7"/>
    <w:rsid w:val="00BF0532"/>
    <w:rsid w:val="00C12720"/>
    <w:rsid w:val="00C26101"/>
    <w:rsid w:val="00C34AE1"/>
    <w:rsid w:val="00C45AEF"/>
    <w:rsid w:val="00C81A90"/>
    <w:rsid w:val="00C8491D"/>
    <w:rsid w:val="00C87369"/>
    <w:rsid w:val="00CC1036"/>
    <w:rsid w:val="00CD408F"/>
    <w:rsid w:val="00CF1943"/>
    <w:rsid w:val="00D009AC"/>
    <w:rsid w:val="00D5123F"/>
    <w:rsid w:val="00D57CB7"/>
    <w:rsid w:val="00D60562"/>
    <w:rsid w:val="00D62074"/>
    <w:rsid w:val="00DA67C2"/>
    <w:rsid w:val="00DB213D"/>
    <w:rsid w:val="00DB5897"/>
    <w:rsid w:val="00DB7864"/>
    <w:rsid w:val="00DD1ADF"/>
    <w:rsid w:val="00DE007A"/>
    <w:rsid w:val="00DE4378"/>
    <w:rsid w:val="00DF3630"/>
    <w:rsid w:val="00E02644"/>
    <w:rsid w:val="00E31004"/>
    <w:rsid w:val="00E33CBC"/>
    <w:rsid w:val="00E513FC"/>
    <w:rsid w:val="00E52849"/>
    <w:rsid w:val="00E75349"/>
    <w:rsid w:val="00E9062B"/>
    <w:rsid w:val="00EC7646"/>
    <w:rsid w:val="00ED1E61"/>
    <w:rsid w:val="00EE4490"/>
    <w:rsid w:val="00F23C3F"/>
    <w:rsid w:val="00F324CF"/>
    <w:rsid w:val="00F356D9"/>
    <w:rsid w:val="00F51224"/>
    <w:rsid w:val="00F84021"/>
    <w:rsid w:val="00F90B87"/>
    <w:rsid w:val="00F92A9B"/>
    <w:rsid w:val="00F9546E"/>
    <w:rsid w:val="00FA14BB"/>
    <w:rsid w:val="00FB4A94"/>
    <w:rsid w:val="00FE71EA"/>
    <w:rsid w:val="04915DA6"/>
    <w:rsid w:val="055920D1"/>
    <w:rsid w:val="05C15F3B"/>
    <w:rsid w:val="09A545CE"/>
    <w:rsid w:val="09C47493"/>
    <w:rsid w:val="0A4147F8"/>
    <w:rsid w:val="0B5D6189"/>
    <w:rsid w:val="0BD20865"/>
    <w:rsid w:val="0E8C26D4"/>
    <w:rsid w:val="0F132143"/>
    <w:rsid w:val="10410550"/>
    <w:rsid w:val="13AA0D21"/>
    <w:rsid w:val="1597633B"/>
    <w:rsid w:val="163E087B"/>
    <w:rsid w:val="1B28047B"/>
    <w:rsid w:val="1C415DBB"/>
    <w:rsid w:val="1DE531BE"/>
    <w:rsid w:val="22E5162F"/>
    <w:rsid w:val="24471315"/>
    <w:rsid w:val="25415CAB"/>
    <w:rsid w:val="254312C5"/>
    <w:rsid w:val="2CE37CD0"/>
    <w:rsid w:val="30BD56AB"/>
    <w:rsid w:val="31E018D0"/>
    <w:rsid w:val="34DA5A87"/>
    <w:rsid w:val="34E7362E"/>
    <w:rsid w:val="39C93F7C"/>
    <w:rsid w:val="3A826151"/>
    <w:rsid w:val="3D8B0ADE"/>
    <w:rsid w:val="3DAA4BD2"/>
    <w:rsid w:val="47F02B49"/>
    <w:rsid w:val="489119C2"/>
    <w:rsid w:val="4C635E8D"/>
    <w:rsid w:val="4D1B59A6"/>
    <w:rsid w:val="51742B83"/>
    <w:rsid w:val="51BD7070"/>
    <w:rsid w:val="579620AE"/>
    <w:rsid w:val="57A31419"/>
    <w:rsid w:val="5A4A241D"/>
    <w:rsid w:val="5B547F37"/>
    <w:rsid w:val="5C3A67C5"/>
    <w:rsid w:val="5E9D05EE"/>
    <w:rsid w:val="5F323E0F"/>
    <w:rsid w:val="5FCF590F"/>
    <w:rsid w:val="62CA131A"/>
    <w:rsid w:val="65C52AE1"/>
    <w:rsid w:val="672B6606"/>
    <w:rsid w:val="6BA932EB"/>
    <w:rsid w:val="6D522222"/>
    <w:rsid w:val="6D8B2A98"/>
    <w:rsid w:val="6DA112E8"/>
    <w:rsid w:val="73580E16"/>
    <w:rsid w:val="77097506"/>
    <w:rsid w:val="77DF059D"/>
    <w:rsid w:val="7BA94A1E"/>
    <w:rsid w:val="7C5263BA"/>
    <w:rsid w:val="7DC94E86"/>
    <w:rsid w:val="7E4274B4"/>
    <w:rsid w:val="7F517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Lines/>
      <w:numPr>
        <w:ilvl w:val="2"/>
        <w:numId w:val="1"/>
      </w:numPr>
      <w:outlineLvl w:val="2"/>
    </w:pPr>
    <w:rPr>
      <w:b/>
      <w:sz w:val="28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szCs w:val="21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样式 标题 3 + 首行缩进:  2 字符"/>
    <w:basedOn w:val="3"/>
    <w:qFormat/>
    <w:uiPriority w:val="0"/>
    <w:pPr>
      <w:spacing w:before="0" w:after="0" w:line="480" w:lineRule="exact"/>
    </w:pPr>
    <w:rPr>
      <w:sz w:val="28"/>
      <w:szCs w:val="28"/>
      <w:lang w:bidi="ar-DZ"/>
    </w:rPr>
  </w:style>
  <w:style w:type="paragraph" w:customStyle="1" w:styleId="1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页眉 Char"/>
    <w:basedOn w:val="9"/>
    <w:link w:val="2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日期 Char"/>
    <w:basedOn w:val="9"/>
    <w:link w:val="5"/>
    <w:semiHidden/>
    <w:qFormat/>
    <w:uiPriority w:val="99"/>
  </w:style>
  <w:style w:type="paragraph" w:customStyle="1" w:styleId="21">
    <w:name w:val="正文1"/>
    <w:basedOn w:val="1"/>
    <w:qFormat/>
    <w:uiPriority w:val="0"/>
    <w:pPr>
      <w:spacing w:line="440" w:lineRule="exact"/>
      <w:ind w:firstLine="431" w:firstLineChars="200"/>
    </w:pPr>
    <w:rPr>
      <w:rFonts w:ascii="Times New Roman" w:hAnsi="Times New Roman" w:eastAsia="楷体" w:cs="Times New Roman"/>
      <w:w w:val="90"/>
    </w:rPr>
  </w:style>
  <w:style w:type="paragraph" w:customStyle="1" w:styleId="22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1231</Characters>
  <Lines>10</Lines>
  <Paragraphs>2</Paragraphs>
  <TotalTime>17</TotalTime>
  <ScaleCrop>false</ScaleCrop>
  <LinksUpToDate>false</LinksUpToDate>
  <CharactersWithSpaces>1444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2020-05-22T00:47:00Z</dcterms:created>
  <dc:creator>lenovo</dc:creator>
  <cp:lastModifiedBy>王</cp:lastModifiedBy>
  <cp:lastPrinted>2020-11-27T04:07:01Z</cp:lastPrinted>
  <dcterms:modified xsi:type="dcterms:W3CDTF">2020-11-27T04:15:02Z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