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eastAsia="仿宋_GB2312"/>
          <w:sz w:val="32"/>
          <w:szCs w:val="32"/>
        </w:rPr>
      </w:pPr>
    </w:p>
    <w:p>
      <w:pPr>
        <w:widowControl/>
        <w:spacing w:line="580" w:lineRule="exact"/>
        <w:jc w:val="center"/>
        <w:rPr>
          <w:rFonts w:ascii="仿宋_GB2312" w:hAnsi="Times New Roman" w:eastAsia="仿宋_GB2312" w:cs="Times New Roman"/>
          <w:kern w:val="0"/>
          <w:sz w:val="32"/>
          <w:szCs w:val="32"/>
        </w:rPr>
      </w:pPr>
    </w:p>
    <w:p>
      <w:pPr>
        <w:widowControl/>
        <w:spacing w:line="580" w:lineRule="exact"/>
        <w:jc w:val="center"/>
        <w:rPr>
          <w:rFonts w:ascii="仿宋_GB2312" w:hAnsi="Times New Roman" w:eastAsia="仿宋_GB2312" w:cs="Times New Roman"/>
          <w:kern w:val="0"/>
          <w:sz w:val="32"/>
          <w:szCs w:val="32"/>
        </w:rPr>
      </w:pPr>
    </w:p>
    <w:p>
      <w:pPr>
        <w:widowControl/>
        <w:spacing w:line="580" w:lineRule="exact"/>
        <w:jc w:val="center"/>
        <w:rPr>
          <w:rFonts w:ascii="仿宋_GB2312" w:hAnsi="Times New Roman" w:eastAsia="仿宋_GB2312" w:cs="Times New Roman"/>
          <w:kern w:val="0"/>
          <w:sz w:val="32"/>
          <w:szCs w:val="32"/>
        </w:rPr>
      </w:pPr>
    </w:p>
    <w:p>
      <w:pPr>
        <w:widowControl/>
        <w:spacing w:line="580" w:lineRule="exact"/>
        <w:rPr>
          <w:rFonts w:ascii="仿宋_GB2312" w:hAnsi="Times New Roman" w:eastAsia="仿宋_GB2312" w:cs="Times New Roman"/>
          <w:kern w:val="0"/>
          <w:sz w:val="32"/>
          <w:szCs w:val="32"/>
        </w:rPr>
      </w:pPr>
    </w:p>
    <w:p>
      <w:pPr>
        <w:widowControl/>
        <w:spacing w:line="580" w:lineRule="exact"/>
        <w:rPr>
          <w:rFonts w:ascii="仿宋_GB2312" w:hAnsi="Times New Roman" w:eastAsia="仿宋_GB2312" w:cs="Times New Roman"/>
          <w:kern w:val="0"/>
          <w:sz w:val="32"/>
          <w:szCs w:val="32"/>
        </w:rPr>
      </w:pPr>
    </w:p>
    <w:p>
      <w:pPr>
        <w:widowControl/>
        <w:spacing w:line="540" w:lineRule="exact"/>
        <w:jc w:val="center"/>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南生发〔2020〕178号</w:t>
      </w:r>
    </w:p>
    <w:p>
      <w:pPr>
        <w:widowControl/>
        <w:spacing w:line="540" w:lineRule="exact"/>
        <w:jc w:val="center"/>
        <w:rPr>
          <w:rFonts w:ascii="仿宋_GB2312" w:hAnsi="Times New Roman" w:eastAsia="仿宋_GB2312" w:cs="Times New Roman"/>
          <w:color w:val="333333"/>
          <w:kern w:val="0"/>
          <w:sz w:val="32"/>
          <w:szCs w:val="32"/>
        </w:rPr>
      </w:pPr>
    </w:p>
    <w:p>
      <w:pPr>
        <w:widowControl/>
        <w:spacing w:line="54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海南州生态环境局</w:t>
      </w:r>
    </w:p>
    <w:p>
      <w:pPr>
        <w:widowControl/>
        <w:spacing w:line="54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关于海汇110kV升压站及35KV线路工程</w:t>
      </w:r>
    </w:p>
    <w:p>
      <w:pPr>
        <w:widowControl/>
        <w:spacing w:line="540" w:lineRule="exact"/>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环境影响报告表的批复</w:t>
      </w:r>
    </w:p>
    <w:p>
      <w:pPr>
        <w:pStyle w:val="8"/>
        <w:autoSpaceDN w:val="0"/>
        <w:spacing w:line="540" w:lineRule="exact"/>
        <w:rPr>
          <w:rFonts w:ascii="仿宋_GB2312" w:eastAsia="仿宋_GB2312"/>
          <w:sz w:val="32"/>
          <w:szCs w:val="32"/>
        </w:rPr>
      </w:pPr>
    </w:p>
    <w:p>
      <w:pPr>
        <w:pStyle w:val="9"/>
        <w:spacing w:line="560" w:lineRule="exact"/>
        <w:rPr>
          <w:rFonts w:ascii="仿宋_GB2312" w:eastAsia="仿宋_GB2312"/>
          <w:color w:val="000000" w:themeColor="text1"/>
          <w:sz w:val="32"/>
          <w:szCs w:val="32"/>
        </w:rPr>
      </w:pPr>
      <w:r>
        <w:rPr>
          <w:rFonts w:hint="eastAsia" w:ascii="仿宋_GB2312" w:eastAsia="仿宋_GB2312"/>
          <w:color w:val="000000" w:themeColor="text1"/>
          <w:sz w:val="32"/>
          <w:szCs w:val="32"/>
        </w:rPr>
        <w:t>海南州海汇新能源有限公司：</w:t>
      </w:r>
    </w:p>
    <w:p>
      <w:pPr>
        <w:widowControl/>
        <w:spacing w:line="560" w:lineRule="exact"/>
        <w:rPr>
          <w:rFonts w:ascii="仿宋_GB2312" w:eastAsia="仿宋_GB2312"/>
          <w:sz w:val="32"/>
          <w:szCs w:val="32"/>
        </w:rPr>
      </w:pPr>
      <w:r>
        <w:rPr>
          <w:rFonts w:hint="eastAsia" w:ascii="仿宋_GB2312" w:eastAsia="仿宋_GB2312"/>
          <w:sz w:val="32"/>
          <w:szCs w:val="32"/>
        </w:rPr>
        <w:t xml:space="preserve">    你公司《关于申请审批</w:t>
      </w:r>
      <w:r>
        <w:rPr>
          <w:rFonts w:hint="eastAsia" w:ascii="仿宋" w:hAnsi="仿宋" w:eastAsia="仿宋" w:cs="仿宋"/>
          <w:kern w:val="0"/>
          <w:sz w:val="32"/>
          <w:szCs w:val="32"/>
        </w:rPr>
        <w:t>海汇110kV升压站及35kV线路工程环境影响报告表的请示</w:t>
      </w:r>
      <w:r>
        <w:rPr>
          <w:rFonts w:hint="eastAsia" w:ascii="仿宋_GB2312" w:eastAsia="仿宋_GB2312"/>
          <w:sz w:val="32"/>
          <w:szCs w:val="32"/>
        </w:rPr>
        <w:t>》</w:t>
      </w:r>
      <w:r>
        <w:rPr>
          <w:rFonts w:hint="eastAsia" w:ascii="仿宋_GB2312" w:eastAsia="仿宋_GB2312"/>
          <w:color w:val="000000" w:themeColor="text1"/>
          <w:sz w:val="32"/>
          <w:szCs w:val="32"/>
        </w:rPr>
        <w:t>（海汇能源</w:t>
      </w:r>
      <w:r>
        <w:rPr>
          <w:rFonts w:hint="eastAsia" w:ascii="宋体" w:hAnsi="宋体"/>
          <w:color w:val="000000" w:themeColor="text1"/>
          <w:sz w:val="32"/>
          <w:szCs w:val="32"/>
        </w:rPr>
        <w:t>﹝</w:t>
      </w:r>
      <w:r>
        <w:rPr>
          <w:rFonts w:hint="eastAsia" w:ascii="仿宋_GB2312" w:eastAsia="仿宋_GB2312"/>
          <w:color w:val="000000" w:themeColor="text1"/>
          <w:sz w:val="32"/>
          <w:szCs w:val="32"/>
        </w:rPr>
        <w:t>2020</w:t>
      </w:r>
      <w:r>
        <w:rPr>
          <w:rFonts w:hint="eastAsia" w:ascii="宋体" w:hAnsi="宋体"/>
          <w:color w:val="000000" w:themeColor="text1"/>
          <w:sz w:val="32"/>
          <w:szCs w:val="32"/>
        </w:rPr>
        <w:t>﹞</w:t>
      </w:r>
      <w:r>
        <w:rPr>
          <w:rFonts w:hint="eastAsia" w:ascii="仿宋_GB2312" w:eastAsia="仿宋_GB2312"/>
          <w:color w:val="000000" w:themeColor="text1"/>
          <w:sz w:val="32"/>
          <w:szCs w:val="32"/>
        </w:rPr>
        <w:t>32号）已</w:t>
      </w:r>
      <w:r>
        <w:rPr>
          <w:rFonts w:hint="eastAsia" w:ascii="仿宋_GB2312" w:eastAsia="仿宋_GB2312"/>
          <w:sz w:val="32"/>
          <w:szCs w:val="32"/>
        </w:rPr>
        <w:t>收悉</w:t>
      </w:r>
      <w:r>
        <w:rPr>
          <w:rFonts w:ascii="仿宋_GB2312" w:eastAsia="仿宋_GB2312"/>
          <w:sz w:val="32"/>
          <w:szCs w:val="32"/>
        </w:rPr>
        <w:t>，</w:t>
      </w:r>
      <w:r>
        <w:rPr>
          <w:rFonts w:hint="eastAsia" w:ascii="仿宋_GB2312" w:eastAsia="仿宋_GB2312"/>
          <w:sz w:val="32"/>
          <w:szCs w:val="32"/>
        </w:rPr>
        <w:t>共和县生态环境局就本项目</w:t>
      </w:r>
      <w:r>
        <w:rPr>
          <w:rFonts w:ascii="仿宋_GB2312" w:eastAsia="仿宋_GB2312"/>
          <w:sz w:val="32"/>
          <w:szCs w:val="32"/>
        </w:rPr>
        <w:t>出具</w:t>
      </w:r>
      <w:r>
        <w:rPr>
          <w:rFonts w:hint="eastAsia" w:ascii="仿宋_GB2312" w:eastAsia="仿宋_GB2312"/>
          <w:sz w:val="32"/>
          <w:szCs w:val="32"/>
        </w:rPr>
        <w:t>了《关于</w:t>
      </w:r>
      <w:r>
        <w:rPr>
          <w:rFonts w:hint="eastAsia" w:ascii="仿宋" w:hAnsi="仿宋" w:eastAsia="仿宋" w:cs="仿宋"/>
          <w:kern w:val="0"/>
          <w:sz w:val="32"/>
          <w:szCs w:val="32"/>
        </w:rPr>
        <w:t>海汇110kV升压站及35kV线路工程环境影响报告表的</w:t>
      </w:r>
      <w:r>
        <w:rPr>
          <w:rFonts w:hint="eastAsia" w:ascii="仿宋_GB2312" w:eastAsia="仿宋_GB2312"/>
          <w:sz w:val="32"/>
          <w:szCs w:val="32"/>
        </w:rPr>
        <w:t>预审意见》（共生发</w:t>
      </w:r>
      <w:r>
        <w:rPr>
          <w:rFonts w:hint="eastAsia" w:ascii="宋体" w:hAnsi="宋体"/>
          <w:sz w:val="32"/>
          <w:szCs w:val="32"/>
        </w:rPr>
        <w:t>﹝</w:t>
      </w:r>
      <w:r>
        <w:rPr>
          <w:rFonts w:hint="eastAsia" w:ascii="仿宋_GB2312" w:eastAsia="仿宋_GB2312"/>
          <w:sz w:val="32"/>
          <w:szCs w:val="32"/>
        </w:rPr>
        <w:t>2020</w:t>
      </w:r>
      <w:r>
        <w:rPr>
          <w:rFonts w:hint="eastAsia" w:ascii="宋体" w:hAnsi="宋体"/>
          <w:sz w:val="32"/>
          <w:szCs w:val="32"/>
        </w:rPr>
        <w:t>﹞</w:t>
      </w:r>
      <w:r>
        <w:rPr>
          <w:rFonts w:hint="eastAsia" w:ascii="仿宋_GB2312" w:eastAsia="仿宋_GB2312"/>
          <w:sz w:val="32"/>
          <w:szCs w:val="32"/>
        </w:rPr>
        <w:t>171号）。结合专家</w:t>
      </w:r>
      <w:r>
        <w:rPr>
          <w:rFonts w:ascii="仿宋_GB2312" w:eastAsia="仿宋_GB2312"/>
          <w:sz w:val="32"/>
          <w:szCs w:val="32"/>
        </w:rPr>
        <w:t>意见，经我局</w:t>
      </w:r>
      <w:r>
        <w:rPr>
          <w:rFonts w:hint="eastAsia" w:ascii="仿宋_GB2312" w:eastAsia="仿宋_GB2312"/>
          <w:sz w:val="32"/>
          <w:szCs w:val="32"/>
        </w:rPr>
        <w:t>研究，现批复如下：</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一、项目概况及审批意见</w:t>
      </w:r>
    </w:p>
    <w:p>
      <w:pPr>
        <w:pStyle w:val="9"/>
        <w:spacing w:line="560" w:lineRule="exact"/>
        <w:ind w:firstLine="646"/>
        <w:rPr>
          <w:rFonts w:ascii="仿宋_GB2312" w:eastAsia="仿宋_GB2312" w:hAnsiTheme="majorEastAsia"/>
          <w:sz w:val="32"/>
          <w:szCs w:val="32"/>
        </w:rPr>
      </w:pPr>
      <w:r>
        <w:rPr>
          <w:rFonts w:hint="eastAsia" w:ascii="仿宋_GB2312" w:eastAsia="仿宋_GB2312"/>
          <w:sz w:val="32"/>
          <w:szCs w:val="32"/>
        </w:rPr>
        <w:t>该拟建110</w:t>
      </w:r>
      <w:r>
        <w:rPr>
          <w:rFonts w:ascii="仿宋_GB2312" w:eastAsia="仿宋_GB2312"/>
          <w:sz w:val="32"/>
          <w:szCs w:val="32"/>
        </w:rPr>
        <w:t>kV</w:t>
      </w:r>
      <w:r>
        <w:rPr>
          <w:rFonts w:hint="eastAsia" w:ascii="仿宋_GB2312" w:eastAsia="仿宋_GB2312"/>
          <w:sz w:val="32"/>
          <w:szCs w:val="32"/>
        </w:rPr>
        <w:t>升压站及35</w:t>
      </w:r>
      <w:r>
        <w:rPr>
          <w:rFonts w:ascii="仿宋_GB2312" w:eastAsia="仿宋_GB2312"/>
          <w:sz w:val="32"/>
          <w:szCs w:val="32"/>
        </w:rPr>
        <w:t>kV</w:t>
      </w:r>
      <w:r>
        <w:rPr>
          <w:rFonts w:hint="eastAsia" w:ascii="仿宋_GB2312" w:eastAsia="仿宋_GB2312"/>
          <w:sz w:val="32"/>
          <w:szCs w:val="32"/>
        </w:rPr>
        <w:t>线路工程位于共和县切吉乡莫合村，</w:t>
      </w:r>
      <w:r>
        <w:rPr>
          <w:rFonts w:hint="eastAsia" w:ascii="仿宋_GB2312" w:hAnsi="仿宋_GB2312" w:eastAsia="仿宋_GB2312" w:cs="仿宋_GB2312"/>
          <w:sz w:val="32"/>
          <w:szCs w:val="32"/>
        </w:rPr>
        <w:t>场址坐标为东经99°44′41.03″、北纬36°20′57″。</w:t>
      </w:r>
      <w:r>
        <w:rPr>
          <w:rFonts w:hint="eastAsia" w:ascii="仿宋_GB2312" w:eastAsia="仿宋_GB2312"/>
          <w:sz w:val="32"/>
          <w:szCs w:val="32"/>
        </w:rPr>
        <w:t>建设</w:t>
      </w:r>
      <w:r>
        <w:rPr>
          <w:rFonts w:ascii="仿宋_GB2312" w:eastAsia="仿宋_GB2312"/>
          <w:sz w:val="32"/>
          <w:szCs w:val="32"/>
        </w:rPr>
        <w:t>内容包括：</w:t>
      </w:r>
      <w:r>
        <w:rPr>
          <w:rFonts w:hint="eastAsia" w:ascii="仿宋_GB2312" w:eastAsia="仿宋_GB2312"/>
          <w:sz w:val="32"/>
          <w:szCs w:val="32"/>
        </w:rPr>
        <w:t>新建1座110</w:t>
      </w:r>
      <w:r>
        <w:rPr>
          <w:rFonts w:ascii="仿宋_GB2312" w:eastAsia="仿宋_GB2312"/>
          <w:sz w:val="32"/>
          <w:szCs w:val="32"/>
        </w:rPr>
        <w:t>kV</w:t>
      </w:r>
      <w:r>
        <w:rPr>
          <w:rFonts w:hint="eastAsia" w:ascii="仿宋_GB2312" w:eastAsia="仿宋_GB2312"/>
          <w:sz w:val="32"/>
          <w:szCs w:val="32"/>
        </w:rPr>
        <w:t>升压站,安装2台100MVA主变压器，总容量200MVA，配套</w:t>
      </w:r>
      <w:r>
        <w:rPr>
          <w:rFonts w:hint="eastAsia" w:ascii="仿宋_GB2312" w:eastAsia="仿宋_GB2312"/>
          <w:sz w:val="32"/>
          <w:szCs w:val="32"/>
          <w:lang w:eastAsia="zh-CN"/>
        </w:rPr>
        <w:t>建设</w:t>
      </w:r>
      <w:r>
        <w:rPr>
          <w:rFonts w:hint="eastAsia" w:ascii="仿宋_GB2312" w:eastAsia="仿宋_GB2312"/>
          <w:sz w:val="32"/>
          <w:szCs w:val="32"/>
        </w:rPr>
        <w:t>2座35m</w:t>
      </w:r>
      <w:r>
        <w:rPr>
          <w:rFonts w:hint="eastAsia" w:ascii="仿宋_GB2312" w:eastAsia="仿宋_GB2312"/>
          <w:sz w:val="32"/>
          <w:szCs w:val="32"/>
          <w:vertAlign w:val="superscript"/>
        </w:rPr>
        <w:t>3</w:t>
      </w:r>
      <w:r>
        <w:rPr>
          <w:rFonts w:hint="eastAsia" w:ascii="仿宋_GB2312" w:eastAsia="仿宋_GB2312"/>
          <w:sz w:val="32"/>
          <w:szCs w:val="32"/>
        </w:rPr>
        <w:t>事故油池；</w:t>
      </w:r>
      <w:r>
        <w:rPr>
          <w:rFonts w:hint="eastAsia" w:ascii="仿宋_GB2312" w:eastAsia="仿宋_GB2312"/>
          <w:sz w:val="32"/>
          <w:szCs w:val="32"/>
          <w:lang w:eastAsia="zh-CN"/>
        </w:rPr>
        <w:t>新建</w:t>
      </w:r>
      <w:r>
        <w:rPr>
          <w:rFonts w:hint="eastAsia" w:ascii="仿宋_GB2312" w:eastAsia="仿宋_GB2312"/>
          <w:sz w:val="32"/>
          <w:szCs w:val="32"/>
          <w:lang w:val="en-US" w:eastAsia="zh-CN"/>
        </w:rPr>
        <w:t>1座20m</w:t>
      </w:r>
      <w:r>
        <w:rPr>
          <w:rFonts w:hint="eastAsia" w:ascii="仿宋_GB2312" w:eastAsia="仿宋_GB2312"/>
          <w:sz w:val="32"/>
          <w:szCs w:val="32"/>
          <w:vertAlign w:val="superscript"/>
          <w:lang w:val="en-US" w:eastAsia="zh-CN"/>
        </w:rPr>
        <w:t>2</w:t>
      </w:r>
      <w:r>
        <w:rPr>
          <w:rFonts w:hint="eastAsia" w:ascii="仿宋_GB2312" w:eastAsia="仿宋_GB2312"/>
          <w:sz w:val="32"/>
          <w:szCs w:val="32"/>
          <w:lang w:eastAsia="zh-CN"/>
        </w:rPr>
        <w:t>危险废物临时贮存库；</w:t>
      </w:r>
      <w:bookmarkStart w:id="0" w:name="_GoBack"/>
      <w:bookmarkEnd w:id="0"/>
      <w:r>
        <w:rPr>
          <w:rFonts w:hint="eastAsia" w:ascii="仿宋_GB2312" w:eastAsia="仿宋_GB2312"/>
          <w:sz w:val="32"/>
          <w:szCs w:val="32"/>
        </w:rPr>
        <w:t>新建1套35KV开关柜、1套110kv开关柜、2座接地变，2套SVG无功补偿装置；风电场内开关站到升压站的输出线采用35KV架空线路与35KV 电缆线路结合方式，线路均采用</w:t>
      </w:r>
      <w:r>
        <w:rPr>
          <w:rFonts w:hint="eastAsia" w:ascii="仿宋_GB2312" w:eastAsia="仿宋_GB2312"/>
          <w:color w:val="000000" w:themeColor="text1"/>
          <w:sz w:val="32"/>
          <w:szCs w:val="32"/>
          <w14:textFill>
            <w14:solidFill>
              <w14:schemeClr w14:val="tx1"/>
            </w14:solidFill>
          </w14:textFill>
        </w:rPr>
        <w:t>双回路架设，双回路电缆路径全长2×0.748km，双回路架空线路全长共计2×10.815km，采用塔杆共计49基。</w:t>
      </w:r>
      <w:r>
        <w:rPr>
          <w:rFonts w:hint="eastAsia" w:ascii="仿宋_GB2312" w:hAnsi="仿宋" w:eastAsia="仿宋_GB2312"/>
          <w:color w:val="000000" w:themeColor="text1"/>
          <w:sz w:val="32"/>
          <w:szCs w:val="32"/>
          <w14:textFill>
            <w14:solidFill>
              <w14:schemeClr w14:val="tx1"/>
            </w14:solidFill>
          </w14:textFill>
        </w:rPr>
        <w:t>项目总投资4997.0493万元，其中环保投资30.3万元，</w:t>
      </w:r>
      <w:r>
        <w:rPr>
          <w:rFonts w:ascii="仿宋_GB2312" w:hAnsi="仿宋" w:eastAsia="仿宋_GB2312"/>
          <w:color w:val="000000" w:themeColor="text1"/>
          <w:sz w:val="32"/>
          <w:szCs w:val="32"/>
          <w14:textFill>
            <w14:solidFill>
              <w14:schemeClr w14:val="tx1"/>
            </w14:solidFill>
          </w14:textFill>
        </w:rPr>
        <w:t>占总投资的</w:t>
      </w:r>
      <w:r>
        <w:rPr>
          <w:rFonts w:hint="eastAsia" w:ascii="仿宋_GB2312" w:hAnsi="仿宋" w:eastAsia="仿宋_GB2312"/>
          <w:color w:val="000000" w:themeColor="text1"/>
          <w:sz w:val="32"/>
          <w:szCs w:val="32"/>
          <w14:textFill>
            <w14:solidFill>
              <w14:schemeClr w14:val="tx1"/>
            </w14:solidFill>
          </w14:textFill>
        </w:rPr>
        <w:t>0.61</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我</w:t>
      </w:r>
      <w:r>
        <w:rPr>
          <w:rFonts w:hint="eastAsia" w:ascii="仿宋_GB2312" w:hAnsi="仿宋" w:eastAsia="仿宋_GB2312"/>
          <w:sz w:val="32"/>
          <w:szCs w:val="32"/>
        </w:rPr>
        <w:t>局原则同意环境影响报告表中所列建设项目的性质、规模、地点和拟采取的环境保</w:t>
      </w:r>
      <w:r>
        <w:rPr>
          <w:rFonts w:hint="eastAsia" w:ascii="仿宋_GB2312" w:eastAsia="仿宋_GB2312" w:hAnsiTheme="minorHAnsi" w:cstheme="minorBidi"/>
          <w:kern w:val="2"/>
          <w:sz w:val="32"/>
          <w:szCs w:val="32"/>
        </w:rPr>
        <w:t>护措施。该项目运营期水、电、暖等管理均依托海南州海汇新能源有限公司共和5万千瓦风电场项目。</w:t>
      </w:r>
    </w:p>
    <w:p>
      <w:pPr>
        <w:pStyle w:val="9"/>
        <w:spacing w:line="560" w:lineRule="exact"/>
        <w:ind w:firstLine="640" w:firstLineChars="200"/>
        <w:rPr>
          <w:rFonts w:ascii="黑体" w:hAnsi="黑体" w:eastAsia="黑体" w:cs="黑体"/>
          <w:kern w:val="2"/>
          <w:sz w:val="32"/>
          <w:szCs w:val="32"/>
        </w:rPr>
      </w:pPr>
      <w:r>
        <w:rPr>
          <w:rFonts w:hint="eastAsia" w:ascii="黑体" w:hAnsi="黑体" w:eastAsia="黑体" w:cs="黑体"/>
          <w:kern w:val="2"/>
          <w:sz w:val="32"/>
          <w:szCs w:val="32"/>
        </w:rPr>
        <w:t>二、项目建设及运营中应重点做好以下工作</w:t>
      </w:r>
    </w:p>
    <w:p>
      <w:pPr>
        <w:spacing w:line="560" w:lineRule="exact"/>
        <w:ind w:firstLine="640" w:firstLineChars="200"/>
        <w:rPr>
          <w:rFonts w:ascii="仿宋_GB2312" w:eastAsia="仿宋_GB2312"/>
          <w:sz w:val="32"/>
          <w:szCs w:val="32"/>
        </w:rPr>
      </w:pPr>
      <w:r>
        <w:rPr>
          <w:rFonts w:hint="eastAsia" w:ascii="楷体_GB2312" w:hAnsi="楷体" w:eastAsia="楷体_GB2312"/>
          <w:sz w:val="32"/>
          <w:szCs w:val="32"/>
        </w:rPr>
        <w:t>（一）严格落实生态环境保护和恢复措施。</w:t>
      </w:r>
      <w:r>
        <w:rPr>
          <w:rFonts w:hint="eastAsia" w:ascii="仿宋_GB2312" w:eastAsia="仿宋_GB2312"/>
          <w:sz w:val="32"/>
          <w:szCs w:val="32"/>
        </w:rPr>
        <w:t>施工期要全面落实生态环境保护措施，项目</w:t>
      </w:r>
      <w:r>
        <w:rPr>
          <w:rFonts w:ascii="仿宋_GB2312" w:eastAsia="仿宋_GB2312"/>
          <w:sz w:val="32"/>
          <w:szCs w:val="32"/>
        </w:rPr>
        <w:t>在施工期尽可能减少</w:t>
      </w:r>
      <w:r>
        <w:rPr>
          <w:rFonts w:hint="eastAsia" w:ascii="仿宋_GB2312" w:eastAsia="仿宋_GB2312"/>
          <w:sz w:val="32"/>
          <w:szCs w:val="32"/>
        </w:rPr>
        <w:t>施工营地、牵张场、施工便道等</w:t>
      </w:r>
      <w:r>
        <w:rPr>
          <w:rFonts w:ascii="仿宋_GB2312" w:eastAsia="仿宋_GB2312"/>
          <w:sz w:val="32"/>
          <w:szCs w:val="32"/>
        </w:rPr>
        <w:t>临时占地范围和</w:t>
      </w:r>
      <w:r>
        <w:rPr>
          <w:rFonts w:hint="eastAsia" w:ascii="仿宋_GB2312" w:eastAsia="仿宋_GB2312"/>
          <w:sz w:val="32"/>
          <w:szCs w:val="32"/>
        </w:rPr>
        <w:t>面积，控制施工运输车辆行驶路线，减少对地表的扰动和破坏；施工</w:t>
      </w:r>
      <w:r>
        <w:rPr>
          <w:rFonts w:ascii="仿宋_GB2312" w:eastAsia="仿宋_GB2312"/>
          <w:sz w:val="32"/>
          <w:szCs w:val="32"/>
        </w:rPr>
        <w:t>结束</w:t>
      </w:r>
      <w:r>
        <w:rPr>
          <w:rFonts w:hint="eastAsia" w:ascii="仿宋_GB2312" w:eastAsia="仿宋_GB2312"/>
          <w:sz w:val="32"/>
          <w:szCs w:val="32"/>
        </w:rPr>
        <w:t>后</w:t>
      </w:r>
      <w:r>
        <w:rPr>
          <w:rFonts w:ascii="仿宋_GB2312" w:eastAsia="仿宋_GB2312"/>
          <w:sz w:val="32"/>
          <w:szCs w:val="32"/>
        </w:rPr>
        <w:t>，及时对</w:t>
      </w:r>
      <w:r>
        <w:rPr>
          <w:rFonts w:hint="eastAsia" w:ascii="仿宋_GB2312" w:eastAsia="仿宋_GB2312"/>
          <w:sz w:val="32"/>
          <w:szCs w:val="32"/>
        </w:rPr>
        <w:t>开挖塔基周边及</w:t>
      </w:r>
      <w:r>
        <w:rPr>
          <w:rFonts w:ascii="仿宋_GB2312" w:eastAsia="仿宋_GB2312"/>
          <w:sz w:val="32"/>
          <w:szCs w:val="32"/>
        </w:rPr>
        <w:t>各类临时占地进行清理、平整，并结合项目区特点进行生态恢复。</w:t>
      </w:r>
    </w:p>
    <w:p>
      <w:pPr>
        <w:spacing w:line="560" w:lineRule="exact"/>
        <w:ind w:firstLine="640" w:firstLineChars="200"/>
        <w:rPr>
          <w:rFonts w:ascii="仿宋_GB2312" w:eastAsia="仿宋_GB2312"/>
          <w:sz w:val="32"/>
          <w:szCs w:val="32"/>
        </w:rPr>
      </w:pPr>
      <w:r>
        <w:rPr>
          <w:rFonts w:hint="eastAsia" w:ascii="楷体_GB2312" w:hAnsi="楷体" w:eastAsia="楷体_GB2312"/>
          <w:sz w:val="32"/>
          <w:szCs w:val="32"/>
        </w:rPr>
        <w:t>（二）严格落实大气污染防治措施。</w:t>
      </w:r>
      <w:r>
        <w:rPr>
          <w:rFonts w:hint="eastAsia" w:ascii="仿宋_GB2312" w:eastAsia="仿宋_GB2312"/>
          <w:sz w:val="32"/>
          <w:szCs w:val="32"/>
        </w:rPr>
        <w:t>施工期应切实落实扬尘控制措施，建筑施工作业现场、土方临时堆场及</w:t>
      </w:r>
      <w:r>
        <w:rPr>
          <w:rFonts w:ascii="仿宋_GB2312" w:eastAsia="仿宋_GB2312"/>
          <w:sz w:val="32"/>
          <w:szCs w:val="32"/>
        </w:rPr>
        <w:t>施工道路</w:t>
      </w:r>
      <w:r>
        <w:rPr>
          <w:rFonts w:hint="eastAsia" w:ascii="仿宋_GB2312" w:eastAsia="仿宋_GB2312"/>
          <w:sz w:val="32"/>
          <w:szCs w:val="32"/>
        </w:rPr>
        <w:t>应洒水抑尘，施工作业现场和砂石料堆场应集中堆放；物料运输应加盖篷布，同时尽量避免在大风天气进行土方开挖等活动</w:t>
      </w:r>
      <w:r>
        <w:rPr>
          <w:rFonts w:ascii="仿宋_GB2312" w:eastAsia="仿宋_GB2312"/>
          <w:sz w:val="32"/>
          <w:szCs w:val="32"/>
        </w:rPr>
        <w:t>，</w:t>
      </w:r>
      <w:r>
        <w:rPr>
          <w:rFonts w:hint="eastAsia" w:ascii="仿宋_GB2312" w:eastAsia="仿宋_GB2312"/>
          <w:sz w:val="32"/>
          <w:szCs w:val="32"/>
        </w:rPr>
        <w:t>以减少对大气环境的影响。</w:t>
      </w:r>
    </w:p>
    <w:p>
      <w:pPr>
        <w:widowControl/>
        <w:spacing w:line="560" w:lineRule="exact"/>
        <w:ind w:firstLine="645"/>
        <w:rPr>
          <w:rFonts w:ascii="仿宋_GB2312" w:eastAsia="仿宋_GB2312"/>
          <w:sz w:val="32"/>
          <w:szCs w:val="32"/>
        </w:rPr>
      </w:pPr>
      <w:r>
        <w:rPr>
          <w:rFonts w:hint="eastAsia" w:ascii="楷体_GB2312" w:hAnsi="楷体" w:eastAsia="楷体_GB2312"/>
          <w:sz w:val="32"/>
          <w:szCs w:val="32"/>
        </w:rPr>
        <w:t>（三）严格落实地表水环境保护措施。</w:t>
      </w:r>
      <w:r>
        <w:rPr>
          <w:rFonts w:hint="eastAsia" w:ascii="仿宋_GB2312" w:eastAsia="仿宋_GB2312"/>
          <w:sz w:val="32"/>
          <w:szCs w:val="32"/>
        </w:rPr>
        <w:t>施工期施工废水经临时沉淀池收集后循环利用，不外排；施工人员如厕依托已建防渗旱厕，施工结束后临时旱厕清掏用于还田施肥，少量生活污水用于场地泼洒降尘，不外排。</w:t>
      </w:r>
    </w:p>
    <w:p>
      <w:pPr>
        <w:spacing w:line="560" w:lineRule="exact"/>
        <w:ind w:firstLine="640" w:firstLineChars="200"/>
        <w:rPr>
          <w:rFonts w:ascii="仿宋_GB2312" w:eastAsia="仿宋_GB2312"/>
          <w:sz w:val="32"/>
          <w:szCs w:val="32"/>
        </w:rPr>
      </w:pPr>
      <w:r>
        <w:rPr>
          <w:rFonts w:hint="eastAsia" w:ascii="楷体_GB2312" w:hAnsi="楷体" w:eastAsia="楷体_GB2312"/>
          <w:sz w:val="32"/>
          <w:szCs w:val="32"/>
        </w:rPr>
        <w:t>（四）严格落实固体废物处理措施。</w:t>
      </w:r>
      <w:r>
        <w:rPr>
          <w:rFonts w:hint="eastAsia" w:ascii="仿宋_GB2312" w:eastAsia="仿宋_GB2312"/>
          <w:sz w:val="32"/>
          <w:szCs w:val="32"/>
        </w:rPr>
        <w:t>施工期的建筑垃圾尽可能回收利用，无法回收利用的拉运至住建部门指定的地点填埋处置；施工过程中产生的弃方，全部用于场地平整；施工期产生的生活垃圾集中收集后定期清运至共和县生活垃圾填埋场规范处置，禁止随意倾倒。</w:t>
      </w:r>
    </w:p>
    <w:p>
      <w:pPr>
        <w:widowControl/>
        <w:spacing w:line="560" w:lineRule="exact"/>
        <w:ind w:firstLine="640"/>
        <w:rPr>
          <w:rFonts w:ascii="仿宋_GB2312" w:eastAsia="仿宋_GB2312"/>
          <w:sz w:val="32"/>
          <w:szCs w:val="32"/>
        </w:rPr>
      </w:pPr>
      <w:r>
        <w:rPr>
          <w:rFonts w:hint="eastAsia" w:ascii="楷体_GB2312" w:hAnsi="楷体" w:eastAsia="楷体_GB2312"/>
          <w:sz w:val="32"/>
          <w:szCs w:val="32"/>
        </w:rPr>
        <w:t>（五）严格落实电磁辐射和噪声污染防治措施。</w:t>
      </w:r>
      <w:r>
        <w:rPr>
          <w:rFonts w:hint="eastAsia" w:ascii="仿宋_GB2312" w:eastAsia="仿宋_GB2312"/>
          <w:sz w:val="32"/>
          <w:szCs w:val="32"/>
        </w:rPr>
        <w:t>运营期间采取合理措施降低电磁辐射排放，应满足</w:t>
      </w:r>
      <w:r>
        <w:rPr>
          <w:rFonts w:hint="eastAsia" w:ascii="仿宋_GB2312" w:eastAsia="仿宋_GB2312"/>
          <w:color w:val="000000" w:themeColor="text1"/>
          <w:sz w:val="32"/>
          <w:szCs w:val="32"/>
          <w14:textFill>
            <w14:solidFill>
              <w14:schemeClr w14:val="tx1"/>
            </w14:solidFill>
          </w14:textFill>
        </w:rPr>
        <w:t>《电磁环境控制限制》（GB8702-2014）中相应标准限值，并做好监测工作；110kV升压站产生的工频电场和工频磁场分别满足4kV/m、100μT的标准限值要求；</w:t>
      </w:r>
      <w:r>
        <w:rPr>
          <w:rFonts w:hint="eastAsia" w:ascii="仿宋_GB2312" w:eastAsia="仿宋_GB2312"/>
          <w:sz w:val="32"/>
          <w:szCs w:val="32"/>
        </w:rPr>
        <w:t>运营期噪声排放达到《工业企业厂界环境噪声排放标准》（GB12348-2008）中的2类标准。</w:t>
      </w:r>
    </w:p>
    <w:p>
      <w:pPr>
        <w:widowControl/>
        <w:spacing w:line="560" w:lineRule="exact"/>
        <w:ind w:firstLine="640"/>
        <w:rPr>
          <w:rFonts w:hint="eastAsia" w:ascii="黑体" w:hAnsi="黑体" w:eastAsia="黑体" w:cs="仿宋"/>
          <w:kern w:val="0"/>
          <w:sz w:val="32"/>
          <w:szCs w:val="32"/>
        </w:rPr>
      </w:pPr>
      <w:r>
        <w:rPr>
          <w:rFonts w:hint="eastAsia" w:ascii="黑体" w:hAnsi="黑体" w:eastAsia="黑体" w:cs="仿宋"/>
          <w:kern w:val="0"/>
          <w:sz w:val="32"/>
          <w:szCs w:val="32"/>
        </w:rPr>
        <w:t>三、</w:t>
      </w:r>
      <w:r>
        <w:rPr>
          <w:rFonts w:hint="eastAsia" w:ascii="黑体" w:hAnsi="黑体" w:eastAsia="黑体"/>
          <w:sz w:val="32"/>
          <w:szCs w:val="32"/>
        </w:rPr>
        <w:t>项目建设要严格执行环保“三同时”制度。工程建成后须按照《建设项目竣工环境保护验收暂行办法》（国环规环评〔2017〕4号）开展项目</w:t>
      </w:r>
      <w:r>
        <w:rPr>
          <w:rFonts w:ascii="黑体" w:hAnsi="黑体" w:eastAsia="黑体"/>
          <w:sz w:val="32"/>
          <w:szCs w:val="32"/>
        </w:rPr>
        <w:t>环保验收</w:t>
      </w:r>
      <w:r>
        <w:rPr>
          <w:rFonts w:hint="eastAsia" w:ascii="黑体" w:hAnsi="黑体" w:eastAsia="黑体"/>
          <w:sz w:val="32"/>
          <w:szCs w:val="32"/>
        </w:rPr>
        <w:t>，经验收合格并</w:t>
      </w:r>
      <w:r>
        <w:rPr>
          <w:rFonts w:ascii="黑体" w:hAnsi="黑体" w:eastAsia="黑体"/>
          <w:sz w:val="32"/>
          <w:szCs w:val="32"/>
        </w:rPr>
        <w:t>向我局备案</w:t>
      </w:r>
      <w:r>
        <w:rPr>
          <w:rFonts w:hint="eastAsia" w:ascii="黑体" w:hAnsi="黑体" w:eastAsia="黑体"/>
          <w:sz w:val="32"/>
          <w:szCs w:val="32"/>
        </w:rPr>
        <w:t>后方可运行。</w:t>
      </w:r>
    </w:p>
    <w:p>
      <w:pPr>
        <w:widowControl/>
        <w:spacing w:line="560" w:lineRule="exact"/>
        <w:ind w:firstLine="640"/>
        <w:rPr>
          <w:rFonts w:ascii="黑体" w:hAnsi="黑体" w:eastAsia="黑体" w:cs="仿宋"/>
          <w:kern w:val="0"/>
          <w:sz w:val="32"/>
          <w:szCs w:val="32"/>
        </w:rPr>
      </w:pPr>
      <w:r>
        <w:rPr>
          <w:rFonts w:hint="eastAsia" w:ascii="黑体" w:hAnsi="黑体" w:eastAsia="黑体" w:cs="仿宋"/>
          <w:kern w:val="0"/>
          <w:sz w:val="32"/>
          <w:szCs w:val="32"/>
        </w:rPr>
        <w:t>四、项目经批复后如发生变更，你公司应及时履行相关环保手续。</w:t>
      </w:r>
    </w:p>
    <w:p>
      <w:pPr>
        <w:widowControl/>
        <w:spacing w:line="560" w:lineRule="exact"/>
        <w:ind w:firstLine="640"/>
        <w:rPr>
          <w:rFonts w:ascii="Times New Roman" w:hAnsi="Times New Roman" w:eastAsia="仿宋_GB2312"/>
          <w:kern w:val="0"/>
          <w:sz w:val="32"/>
          <w:szCs w:val="32"/>
        </w:rPr>
      </w:pPr>
      <w:r>
        <w:rPr>
          <w:rFonts w:hint="eastAsia" w:ascii="黑体" w:hAnsi="黑体" w:eastAsia="黑体" w:cs="仿宋"/>
          <w:kern w:val="0"/>
          <w:sz w:val="32"/>
          <w:szCs w:val="32"/>
        </w:rPr>
        <w:t>五、请共和县生态环境局负责项目施工期和运营期的环境保护监督检查工作。</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 xml:space="preserve"> </w:t>
      </w:r>
    </w:p>
    <w:p>
      <w:pPr>
        <w:widowControl/>
        <w:spacing w:line="560" w:lineRule="exact"/>
        <w:ind w:right="640"/>
        <w:jc w:val="center"/>
        <w:rPr>
          <w:rFonts w:eastAsia="仿宋_GB2312"/>
          <w:kern w:val="0"/>
          <w:sz w:val="32"/>
          <w:szCs w:val="32"/>
        </w:rPr>
      </w:pPr>
      <w:r>
        <w:rPr>
          <w:rFonts w:hint="eastAsia" w:eastAsia="仿宋_GB2312"/>
          <w:kern w:val="0"/>
          <w:sz w:val="32"/>
          <w:szCs w:val="32"/>
        </w:rPr>
        <w:t xml:space="preserve">                </w:t>
      </w:r>
      <w:r>
        <w:rPr>
          <w:rFonts w:ascii="Times New Roman" w:hAnsi="Times New Roman" w:eastAsia="仿宋_GB2312"/>
          <w:kern w:val="0"/>
          <w:sz w:val="32"/>
          <w:szCs w:val="32"/>
        </w:rPr>
        <w:t xml:space="preserve">    </w:t>
      </w:r>
      <w:r>
        <w:rPr>
          <w:rFonts w:hint="eastAsia" w:eastAsia="仿宋_GB2312"/>
          <w:kern w:val="0"/>
          <w:sz w:val="32"/>
          <w:szCs w:val="32"/>
        </w:rPr>
        <w:t xml:space="preserve"> </w:t>
      </w:r>
    </w:p>
    <w:p>
      <w:pPr>
        <w:widowControl/>
        <w:spacing w:line="560" w:lineRule="exact"/>
        <w:ind w:right="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pPr>
        <w:widowControl/>
        <w:spacing w:line="560" w:lineRule="exact"/>
        <w:ind w:right="640"/>
        <w:rPr>
          <w:rFonts w:hint="eastAsia" w:ascii="仿宋_GB2312" w:hAnsi="仿宋_GB2312" w:eastAsia="仿宋_GB2312" w:cs="仿宋_GB2312"/>
          <w:kern w:val="0"/>
          <w:sz w:val="32"/>
          <w:szCs w:val="32"/>
        </w:rPr>
      </w:pPr>
    </w:p>
    <w:p>
      <w:pPr>
        <w:widowControl/>
        <w:spacing w:line="560" w:lineRule="exact"/>
        <w:ind w:right="640"/>
        <w:rPr>
          <w:rFonts w:hint="eastAsia" w:ascii="仿宋_GB2312" w:hAnsi="仿宋_GB2312" w:eastAsia="仿宋_GB2312" w:cs="仿宋_GB2312"/>
          <w:kern w:val="0"/>
          <w:sz w:val="32"/>
          <w:szCs w:val="32"/>
        </w:rPr>
      </w:pPr>
    </w:p>
    <w:p>
      <w:pPr>
        <w:widowControl/>
        <w:spacing w:line="560" w:lineRule="exact"/>
        <w:ind w:right="640"/>
        <w:rPr>
          <w:rFonts w:hint="eastAsia" w:ascii="仿宋_GB2312" w:hAnsi="仿宋_GB2312" w:eastAsia="仿宋_GB2312" w:cs="仿宋_GB2312"/>
          <w:kern w:val="0"/>
          <w:sz w:val="32"/>
          <w:szCs w:val="32"/>
        </w:rPr>
      </w:pPr>
    </w:p>
    <w:p>
      <w:pPr>
        <w:widowControl/>
        <w:spacing w:line="560" w:lineRule="exact"/>
        <w:ind w:right="640"/>
        <w:rPr>
          <w:rFonts w:ascii="仿宋_GB2312" w:hAnsi="仿宋_GB2312" w:eastAsia="仿宋_GB2312" w:cs="仿宋_GB2312"/>
          <w:kern w:val="0"/>
          <w:sz w:val="32"/>
          <w:szCs w:val="32"/>
        </w:rPr>
      </w:pPr>
    </w:p>
    <w:p>
      <w:pPr>
        <w:widowControl/>
        <w:spacing w:line="560" w:lineRule="exact"/>
        <w:ind w:right="64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2020年7月20日    </w:t>
      </w:r>
    </w:p>
    <w:p>
      <w:pPr>
        <w:widowControl/>
        <w:spacing w:line="560" w:lineRule="exact"/>
        <w:ind w:right="640"/>
        <w:jc w:val="center"/>
        <w:rPr>
          <w:rFonts w:hint="eastAsia" w:ascii="仿宋_GB2312" w:hAnsi="仿宋_GB2312" w:eastAsia="仿宋_GB2312" w:cs="仿宋_GB2312"/>
          <w:kern w:val="0"/>
          <w:sz w:val="32"/>
          <w:szCs w:val="32"/>
        </w:rPr>
      </w:pPr>
    </w:p>
    <w:p>
      <w:pPr>
        <w:widowControl/>
        <w:spacing w:line="560" w:lineRule="exact"/>
        <w:ind w:right="640"/>
        <w:jc w:val="center"/>
        <w:rPr>
          <w:rFonts w:hint="eastAsia" w:ascii="仿宋_GB2312" w:hAnsi="仿宋_GB2312" w:eastAsia="仿宋_GB2312" w:cs="仿宋_GB2312"/>
          <w:kern w:val="0"/>
          <w:sz w:val="32"/>
          <w:szCs w:val="32"/>
        </w:rPr>
      </w:pPr>
    </w:p>
    <w:p>
      <w:pPr>
        <w:widowControl/>
        <w:spacing w:line="560" w:lineRule="exact"/>
        <w:ind w:right="640"/>
        <w:jc w:val="center"/>
        <w:rPr>
          <w:rFonts w:hint="eastAsia" w:ascii="仿宋_GB2312" w:hAnsi="仿宋_GB2312" w:eastAsia="仿宋_GB2312" w:cs="仿宋_GB2312"/>
          <w:kern w:val="0"/>
          <w:sz w:val="32"/>
          <w:szCs w:val="32"/>
        </w:rPr>
      </w:pPr>
    </w:p>
    <w:p>
      <w:pPr>
        <w:widowControl/>
        <w:spacing w:line="560" w:lineRule="exact"/>
        <w:ind w:right="640"/>
        <w:jc w:val="center"/>
        <w:rPr>
          <w:rFonts w:hint="eastAsia" w:ascii="仿宋_GB2312" w:hAnsi="仿宋_GB2312" w:eastAsia="仿宋_GB2312" w:cs="仿宋_GB2312"/>
          <w:kern w:val="0"/>
          <w:sz w:val="32"/>
          <w:szCs w:val="32"/>
        </w:rPr>
      </w:pPr>
    </w:p>
    <w:p>
      <w:pPr>
        <w:widowControl/>
        <w:spacing w:line="560" w:lineRule="exact"/>
        <w:ind w:right="640"/>
        <w:jc w:val="center"/>
        <w:rPr>
          <w:rFonts w:hint="eastAsia" w:ascii="仿宋_GB2312" w:hAnsi="仿宋_GB2312" w:eastAsia="仿宋_GB2312" w:cs="仿宋_GB2312"/>
          <w:kern w:val="0"/>
          <w:sz w:val="32"/>
          <w:szCs w:val="32"/>
        </w:rPr>
      </w:pPr>
    </w:p>
    <w:p>
      <w:pPr>
        <w:widowControl/>
        <w:spacing w:line="560" w:lineRule="exact"/>
        <w:ind w:right="640"/>
        <w:jc w:val="center"/>
        <w:rPr>
          <w:rFonts w:hint="eastAsia" w:ascii="仿宋_GB2312" w:hAnsi="仿宋_GB2312" w:eastAsia="仿宋_GB2312" w:cs="仿宋_GB2312"/>
          <w:kern w:val="0"/>
          <w:sz w:val="32"/>
          <w:szCs w:val="32"/>
        </w:rPr>
      </w:pPr>
    </w:p>
    <w:p>
      <w:pPr>
        <w:widowControl/>
        <w:spacing w:line="560" w:lineRule="exact"/>
        <w:ind w:right="640"/>
        <w:jc w:val="center"/>
        <w:rPr>
          <w:rFonts w:hint="eastAsia" w:ascii="仿宋_GB2312" w:hAnsi="仿宋_GB2312" w:eastAsia="仿宋_GB2312" w:cs="仿宋_GB2312"/>
          <w:kern w:val="0"/>
          <w:sz w:val="32"/>
          <w:szCs w:val="32"/>
        </w:rPr>
      </w:pPr>
    </w:p>
    <w:p>
      <w:pPr>
        <w:widowControl/>
        <w:spacing w:line="560" w:lineRule="exact"/>
        <w:ind w:right="640"/>
        <w:jc w:val="both"/>
        <w:rPr>
          <w:rFonts w:ascii="黑体" w:hAnsi="黑体" w:eastAsia="黑体" w:cs="黑体"/>
          <w:b/>
          <w:sz w:val="32"/>
          <w:szCs w:val="32"/>
        </w:rPr>
      </w:pPr>
      <w:r>
        <w:rPr>
          <w:rFonts w:hint="eastAsia" w:ascii="仿宋_GB2312" w:hAnsi="仿宋_GB2312" w:eastAsia="仿宋_GB2312" w:cs="仿宋_GB2312"/>
          <w:kern w:val="0"/>
          <w:sz w:val="32"/>
          <w:szCs w:val="32"/>
        </w:rPr>
        <w:t xml:space="preserve">    </w:t>
      </w:r>
    </w:p>
    <w:p>
      <w:pPr>
        <w:topLinePunct/>
        <w:spacing w:line="520" w:lineRule="exact"/>
        <w:rPr>
          <w:rFonts w:ascii="仿宋_GB2312" w:hAnsi="仿宋_GB2312" w:eastAsia="仿宋_GB2312" w:cs="仿宋_GB2312"/>
          <w:sz w:val="32"/>
          <w:szCs w:val="32"/>
        </w:rPr>
      </w:pPr>
      <w:r>
        <w:rPr>
          <w:rFonts w:hint="eastAsia" w:ascii="黑体" w:hAnsi="黑体" w:eastAsia="黑体" w:cs="黑体"/>
          <w:b/>
          <w:sz w:val="32"/>
          <w:szCs w:val="32"/>
        </w:rPr>
        <w:t>是否宜公开选项</w:t>
      </w:r>
      <w:r>
        <w:rPr>
          <w:rFonts w:hint="eastAsia" w:ascii="黑体" w:hAnsi="黑体" w:eastAsia="黑体" w:cs="黑体"/>
          <w:sz w:val="32"/>
          <w:szCs w:val="32"/>
        </w:rPr>
        <w:t>：</w:t>
      </w:r>
      <w:r>
        <w:rPr>
          <w:rFonts w:hint="eastAsia" w:ascii="仿宋_GB2312" w:hAnsi="仿宋_GB2312" w:eastAsia="仿宋_GB2312" w:cs="仿宋_GB2312"/>
          <w:sz w:val="32"/>
          <w:szCs w:val="32"/>
        </w:rPr>
        <w:t>宜公开</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trPr>
        <w:tc>
          <w:tcPr>
            <w:tcW w:w="0" w:type="auto"/>
            <w:tcBorders>
              <w:left w:val="nil"/>
              <w:bottom w:val="single" w:color="auto" w:sz="4" w:space="0"/>
              <w:right w:val="nil"/>
            </w:tcBorders>
          </w:tcPr>
          <w:p>
            <w:pPr>
              <w:pStyle w:val="17"/>
              <w:spacing w:line="520" w:lineRule="exact"/>
              <w:ind w:left="0" w:leftChars="0"/>
              <w:jc w:val="left"/>
              <w:rPr>
                <w:rFonts w:ascii="仿宋_GB2312" w:eastAsia="仿宋_GB2312"/>
                <w:sz w:val="28"/>
                <w:szCs w:val="28"/>
              </w:rPr>
            </w:pPr>
            <w:r>
              <w:rPr>
                <w:rFonts w:hint="eastAsia" w:ascii="仿宋_GB2312" w:eastAsia="仿宋_GB2312"/>
                <w:sz w:val="28"/>
                <w:szCs w:val="28"/>
              </w:rPr>
              <w:t>抄送：州</w:t>
            </w:r>
            <w:r>
              <w:rPr>
                <w:rFonts w:ascii="仿宋_GB2312" w:eastAsia="仿宋_GB2312"/>
                <w:sz w:val="28"/>
                <w:szCs w:val="28"/>
              </w:rPr>
              <w:t>生态环境</w:t>
            </w:r>
            <w:r>
              <w:rPr>
                <w:rFonts w:hint="eastAsia" w:ascii="仿宋_GB2312" w:eastAsia="仿宋_GB2312"/>
                <w:sz w:val="28"/>
                <w:szCs w:val="28"/>
              </w:rPr>
              <w:t>综合行政执法支队，共和县生态环境局，青海华顺安全环境技术有限公司，</w:t>
            </w:r>
            <w:r>
              <w:rPr>
                <w:rFonts w:ascii="仿宋_GB2312" w:eastAsia="仿宋_GB2312"/>
                <w:sz w:val="28"/>
                <w:szCs w:val="28"/>
              </w:rPr>
              <w:t>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0" w:type="auto"/>
            <w:tcBorders>
              <w:left w:val="nil"/>
              <w:right w:val="nil"/>
            </w:tcBorders>
          </w:tcPr>
          <w:p>
            <w:pPr>
              <w:pStyle w:val="17"/>
              <w:spacing w:line="520" w:lineRule="exact"/>
              <w:ind w:left="0" w:leftChars="0"/>
              <w:jc w:val="left"/>
              <w:rPr>
                <w:rFonts w:ascii="仿宋_GB2312" w:eastAsia="仿宋_GB2312"/>
                <w:sz w:val="28"/>
                <w:szCs w:val="28"/>
              </w:rPr>
            </w:pPr>
            <w:r>
              <w:rPr>
                <w:rFonts w:hint="eastAsia" w:ascii="仿宋_GB2312" w:hAnsi="仿宋" w:eastAsia="仿宋_GB2312" w:cs="仿宋"/>
                <w:sz w:val="28"/>
                <w:szCs w:val="28"/>
              </w:rPr>
              <w:t>海南州生态环境局                           2020年7月20日印发</w:t>
            </w:r>
          </w:p>
        </w:tc>
      </w:tr>
    </w:tbl>
    <w:p>
      <w:pPr>
        <w:spacing w:line="520" w:lineRule="exact"/>
        <w:rPr>
          <w:rFonts w:ascii="仿宋_GB2312" w:hAnsi="Times New Roman" w:eastAsia="仿宋_GB2312" w:cs="Times New Roman"/>
          <w:kern w:val="0"/>
          <w:sz w:val="32"/>
          <w:szCs w:val="32"/>
          <w:u w:val="single"/>
        </w:rPr>
      </w:pP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092C"/>
    <w:rsid w:val="0000391D"/>
    <w:rsid w:val="0002484E"/>
    <w:rsid w:val="00041CB5"/>
    <w:rsid w:val="0004562D"/>
    <w:rsid w:val="00056ED4"/>
    <w:rsid w:val="000A6857"/>
    <w:rsid w:val="000C2162"/>
    <w:rsid w:val="000C2E01"/>
    <w:rsid w:val="000D3435"/>
    <w:rsid w:val="000D60CD"/>
    <w:rsid w:val="000E031D"/>
    <w:rsid w:val="000F52E7"/>
    <w:rsid w:val="00115F58"/>
    <w:rsid w:val="001213C9"/>
    <w:rsid w:val="001369ED"/>
    <w:rsid w:val="001440AE"/>
    <w:rsid w:val="00161B2B"/>
    <w:rsid w:val="00162DC5"/>
    <w:rsid w:val="00194536"/>
    <w:rsid w:val="001B2CEB"/>
    <w:rsid w:val="001B4BCE"/>
    <w:rsid w:val="001C05E6"/>
    <w:rsid w:val="001D1B2A"/>
    <w:rsid w:val="001D3088"/>
    <w:rsid w:val="001F3463"/>
    <w:rsid w:val="001F4791"/>
    <w:rsid w:val="002332DD"/>
    <w:rsid w:val="00250073"/>
    <w:rsid w:val="00282EC5"/>
    <w:rsid w:val="00285ECD"/>
    <w:rsid w:val="002875C0"/>
    <w:rsid w:val="002B32F4"/>
    <w:rsid w:val="002F50FD"/>
    <w:rsid w:val="00312506"/>
    <w:rsid w:val="00317CA0"/>
    <w:rsid w:val="00341A44"/>
    <w:rsid w:val="00344788"/>
    <w:rsid w:val="00355342"/>
    <w:rsid w:val="00374375"/>
    <w:rsid w:val="0037499E"/>
    <w:rsid w:val="00374F18"/>
    <w:rsid w:val="00382AA6"/>
    <w:rsid w:val="00386248"/>
    <w:rsid w:val="003B283A"/>
    <w:rsid w:val="003C6243"/>
    <w:rsid w:val="003D537A"/>
    <w:rsid w:val="003E7A0D"/>
    <w:rsid w:val="003F5971"/>
    <w:rsid w:val="00405FF0"/>
    <w:rsid w:val="00417780"/>
    <w:rsid w:val="0042258F"/>
    <w:rsid w:val="004507ED"/>
    <w:rsid w:val="00466C06"/>
    <w:rsid w:val="00493D35"/>
    <w:rsid w:val="004C23CE"/>
    <w:rsid w:val="004C3682"/>
    <w:rsid w:val="004C7D66"/>
    <w:rsid w:val="004C7E1F"/>
    <w:rsid w:val="005003C4"/>
    <w:rsid w:val="005161D2"/>
    <w:rsid w:val="00530944"/>
    <w:rsid w:val="00542C4E"/>
    <w:rsid w:val="005579AB"/>
    <w:rsid w:val="00574CFD"/>
    <w:rsid w:val="005971FD"/>
    <w:rsid w:val="005B7BD9"/>
    <w:rsid w:val="005C0C46"/>
    <w:rsid w:val="005C258C"/>
    <w:rsid w:val="005D32C8"/>
    <w:rsid w:val="005E1D93"/>
    <w:rsid w:val="005E40FC"/>
    <w:rsid w:val="005E4951"/>
    <w:rsid w:val="005F1E00"/>
    <w:rsid w:val="005F3AFF"/>
    <w:rsid w:val="006432B2"/>
    <w:rsid w:val="006447AC"/>
    <w:rsid w:val="00647F45"/>
    <w:rsid w:val="00656AC6"/>
    <w:rsid w:val="00662C1A"/>
    <w:rsid w:val="006721E7"/>
    <w:rsid w:val="006A4ABF"/>
    <w:rsid w:val="006E6027"/>
    <w:rsid w:val="006F2E02"/>
    <w:rsid w:val="00716897"/>
    <w:rsid w:val="00716ED4"/>
    <w:rsid w:val="007738B6"/>
    <w:rsid w:val="0077667A"/>
    <w:rsid w:val="00787BCF"/>
    <w:rsid w:val="007B4B2D"/>
    <w:rsid w:val="007C0E7B"/>
    <w:rsid w:val="007E1D5A"/>
    <w:rsid w:val="007F16A7"/>
    <w:rsid w:val="007F2B7A"/>
    <w:rsid w:val="0082393C"/>
    <w:rsid w:val="00845A62"/>
    <w:rsid w:val="0085092C"/>
    <w:rsid w:val="00853B05"/>
    <w:rsid w:val="008627F7"/>
    <w:rsid w:val="008713A8"/>
    <w:rsid w:val="00874A32"/>
    <w:rsid w:val="008B3F03"/>
    <w:rsid w:val="008C0E09"/>
    <w:rsid w:val="008D7565"/>
    <w:rsid w:val="008F562D"/>
    <w:rsid w:val="008F7A4F"/>
    <w:rsid w:val="00916B3E"/>
    <w:rsid w:val="009201B1"/>
    <w:rsid w:val="00930933"/>
    <w:rsid w:val="00933712"/>
    <w:rsid w:val="00952137"/>
    <w:rsid w:val="00955DD0"/>
    <w:rsid w:val="00975F81"/>
    <w:rsid w:val="00984076"/>
    <w:rsid w:val="00990C47"/>
    <w:rsid w:val="00996655"/>
    <w:rsid w:val="009968DC"/>
    <w:rsid w:val="009B0EC2"/>
    <w:rsid w:val="009D1717"/>
    <w:rsid w:val="009D7AD5"/>
    <w:rsid w:val="009E5C29"/>
    <w:rsid w:val="00A238C0"/>
    <w:rsid w:val="00A6034C"/>
    <w:rsid w:val="00A71315"/>
    <w:rsid w:val="00A71BC0"/>
    <w:rsid w:val="00AA268F"/>
    <w:rsid w:val="00AB4D8B"/>
    <w:rsid w:val="00AB4E91"/>
    <w:rsid w:val="00B13B11"/>
    <w:rsid w:val="00B23145"/>
    <w:rsid w:val="00B31F65"/>
    <w:rsid w:val="00B35966"/>
    <w:rsid w:val="00B43F57"/>
    <w:rsid w:val="00B45DB1"/>
    <w:rsid w:val="00B670DC"/>
    <w:rsid w:val="00B907E5"/>
    <w:rsid w:val="00B97224"/>
    <w:rsid w:val="00BA5749"/>
    <w:rsid w:val="00BA7209"/>
    <w:rsid w:val="00BC19DD"/>
    <w:rsid w:val="00BD08B0"/>
    <w:rsid w:val="00BD7947"/>
    <w:rsid w:val="00BF0532"/>
    <w:rsid w:val="00C12720"/>
    <w:rsid w:val="00C26101"/>
    <w:rsid w:val="00C34AE1"/>
    <w:rsid w:val="00C672A7"/>
    <w:rsid w:val="00C81A90"/>
    <w:rsid w:val="00C8491D"/>
    <w:rsid w:val="00CB3747"/>
    <w:rsid w:val="00CB56DF"/>
    <w:rsid w:val="00CD408F"/>
    <w:rsid w:val="00CF1943"/>
    <w:rsid w:val="00D4326A"/>
    <w:rsid w:val="00D44FB8"/>
    <w:rsid w:val="00D46D41"/>
    <w:rsid w:val="00D5123F"/>
    <w:rsid w:val="00D57CB7"/>
    <w:rsid w:val="00D60562"/>
    <w:rsid w:val="00D62074"/>
    <w:rsid w:val="00DA67C2"/>
    <w:rsid w:val="00DA7C5D"/>
    <w:rsid w:val="00DB5897"/>
    <w:rsid w:val="00DC1A71"/>
    <w:rsid w:val="00DC4FE8"/>
    <w:rsid w:val="00DD1ADF"/>
    <w:rsid w:val="00DE007A"/>
    <w:rsid w:val="00DE2456"/>
    <w:rsid w:val="00DE4378"/>
    <w:rsid w:val="00DF3630"/>
    <w:rsid w:val="00E31004"/>
    <w:rsid w:val="00E33CBC"/>
    <w:rsid w:val="00E513FC"/>
    <w:rsid w:val="00E85FB2"/>
    <w:rsid w:val="00E9446B"/>
    <w:rsid w:val="00ED5C3B"/>
    <w:rsid w:val="00EE2DAF"/>
    <w:rsid w:val="00EE4490"/>
    <w:rsid w:val="00F23C3F"/>
    <w:rsid w:val="00F23DA0"/>
    <w:rsid w:val="00F324CF"/>
    <w:rsid w:val="00F356D9"/>
    <w:rsid w:val="00F35815"/>
    <w:rsid w:val="00F51224"/>
    <w:rsid w:val="00F84021"/>
    <w:rsid w:val="00F90B87"/>
    <w:rsid w:val="00F92A9B"/>
    <w:rsid w:val="00F9546E"/>
    <w:rsid w:val="00FA14BB"/>
    <w:rsid w:val="00FB4A94"/>
    <w:rsid w:val="00FE4894"/>
    <w:rsid w:val="00FF0A69"/>
    <w:rsid w:val="02AD162A"/>
    <w:rsid w:val="0E382C89"/>
    <w:rsid w:val="0F6F0871"/>
    <w:rsid w:val="138D1CE9"/>
    <w:rsid w:val="1B7F3768"/>
    <w:rsid w:val="1BAE52EB"/>
    <w:rsid w:val="1CBA2AA9"/>
    <w:rsid w:val="1EF815A9"/>
    <w:rsid w:val="2398175E"/>
    <w:rsid w:val="249A05A8"/>
    <w:rsid w:val="2863047F"/>
    <w:rsid w:val="296F4881"/>
    <w:rsid w:val="2D2705D6"/>
    <w:rsid w:val="3366288D"/>
    <w:rsid w:val="33864D04"/>
    <w:rsid w:val="36BC1F33"/>
    <w:rsid w:val="3BE647A5"/>
    <w:rsid w:val="3F0E558F"/>
    <w:rsid w:val="3FAA5763"/>
    <w:rsid w:val="46433E6E"/>
    <w:rsid w:val="49E53C85"/>
    <w:rsid w:val="52AD7090"/>
    <w:rsid w:val="534A57BB"/>
    <w:rsid w:val="54F622CC"/>
    <w:rsid w:val="55405E3E"/>
    <w:rsid w:val="58C80880"/>
    <w:rsid w:val="5B38472A"/>
    <w:rsid w:val="5D896AC7"/>
    <w:rsid w:val="61494BAA"/>
    <w:rsid w:val="64A85379"/>
    <w:rsid w:val="686C7BDD"/>
    <w:rsid w:val="6C504757"/>
    <w:rsid w:val="6C9A5243"/>
    <w:rsid w:val="6D0E5436"/>
    <w:rsid w:val="709C0F83"/>
    <w:rsid w:val="7281209F"/>
    <w:rsid w:val="7AAC5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p0"/>
    <w:basedOn w:val="1"/>
    <w:qFormat/>
    <w:uiPriority w:val="0"/>
    <w:pPr>
      <w:widowControl/>
    </w:pPr>
    <w:rPr>
      <w:rFonts w:ascii="Times New Roman" w:hAnsi="Times New Roman" w:eastAsia="宋体" w:cs="Times New Roman"/>
      <w:kern w:val="0"/>
      <w:szCs w:val="21"/>
    </w:rPr>
  </w:style>
  <w:style w:type="paragraph" w:customStyle="1" w:styleId="9">
    <w:name w:val="p15"/>
    <w:basedOn w:val="1"/>
    <w:qFormat/>
    <w:uiPriority w:val="0"/>
    <w:pPr>
      <w:widowControl/>
    </w:pPr>
    <w:rPr>
      <w:rFonts w:ascii="Times New Roman" w:hAnsi="Times New Roman" w:eastAsia="宋体" w:cs="Times New Roman"/>
      <w:kern w:val="0"/>
      <w:szCs w:val="21"/>
    </w:rPr>
  </w:style>
  <w:style w:type="paragraph" w:customStyle="1" w:styleId="10">
    <w:name w:val="p16"/>
    <w:basedOn w:val="1"/>
    <w:qFormat/>
    <w:uiPriority w:val="0"/>
    <w:pPr>
      <w:widowControl/>
    </w:pPr>
    <w:rPr>
      <w:rFonts w:ascii="Times New Roman" w:hAnsi="Times New Roman" w:eastAsia="宋体" w:cs="Times New Roman"/>
      <w:kern w:val="0"/>
      <w:szCs w:val="21"/>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5">
    <w:name w:val="日期 Char"/>
    <w:basedOn w:val="7"/>
    <w:link w:val="2"/>
    <w:semiHidden/>
    <w:qFormat/>
    <w:uiPriority w:val="99"/>
  </w:style>
  <w:style w:type="paragraph" w:customStyle="1" w:styleId="16">
    <w:name w:val="p18"/>
    <w:basedOn w:val="1"/>
    <w:qFormat/>
    <w:uiPriority w:val="0"/>
    <w:pPr>
      <w:widowControl/>
    </w:pPr>
    <w:rPr>
      <w:kern w:val="0"/>
      <w:szCs w:val="21"/>
    </w:rPr>
  </w:style>
  <w:style w:type="paragraph" w:customStyle="1" w:styleId="17">
    <w:name w:val="正文文本缩进1"/>
    <w:basedOn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251</Words>
  <Characters>1434</Characters>
  <Lines>11</Lines>
  <Paragraphs>3</Paragraphs>
  <TotalTime>1157</TotalTime>
  <ScaleCrop>false</ScaleCrop>
  <LinksUpToDate>false</LinksUpToDate>
  <CharactersWithSpaces>1682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2020-07-20T08:40:00Z</dcterms:created>
  <dc:creator>lenovo</dc:creator>
  <cp:lastModifiedBy>Administrator</cp:lastModifiedBy>
  <cp:lastPrinted>2020-07-22T01:11:00Z</cp:lastPrinted>
  <dcterms:modified xsi:type="dcterms:W3CDTF">2020-07-28T08:22:27Z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