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仿宋_GB2312" w:eastAsia="仿宋_GB2312"/>
          <w:sz w:val="32"/>
          <w:szCs w:val="32"/>
        </w:rPr>
      </w:pPr>
    </w:p>
    <w:p>
      <w:pPr>
        <w:widowControl/>
        <w:spacing w:line="620" w:lineRule="exact"/>
        <w:jc w:val="center"/>
        <w:rPr>
          <w:rFonts w:ascii="仿宋_GB2312" w:hAnsi="Times New Roman" w:eastAsia="仿宋_GB2312" w:cs="Times New Roman"/>
          <w:kern w:val="0"/>
          <w:sz w:val="32"/>
          <w:szCs w:val="32"/>
        </w:rPr>
      </w:pPr>
    </w:p>
    <w:p>
      <w:pPr>
        <w:widowControl/>
        <w:spacing w:line="620" w:lineRule="exact"/>
        <w:jc w:val="center"/>
        <w:rPr>
          <w:rFonts w:ascii="仿宋_GB2312" w:hAnsi="Times New Roman" w:eastAsia="仿宋_GB2312" w:cs="Times New Roman"/>
          <w:kern w:val="0"/>
          <w:sz w:val="32"/>
          <w:szCs w:val="32"/>
        </w:rPr>
      </w:pPr>
    </w:p>
    <w:p>
      <w:pPr>
        <w:widowControl/>
        <w:spacing w:line="620" w:lineRule="exact"/>
        <w:jc w:val="center"/>
        <w:rPr>
          <w:rFonts w:ascii="仿宋_GB2312" w:hAnsi="Times New Roman" w:eastAsia="仿宋_GB2312" w:cs="Times New Roman"/>
          <w:kern w:val="0"/>
          <w:sz w:val="32"/>
          <w:szCs w:val="32"/>
        </w:rPr>
      </w:pPr>
    </w:p>
    <w:p>
      <w:pPr>
        <w:widowControl/>
        <w:spacing w:line="620" w:lineRule="exact"/>
        <w:rPr>
          <w:rFonts w:ascii="仿宋_GB2312" w:hAnsi="Times New Roman" w:eastAsia="仿宋_GB2312" w:cs="Times New Roman"/>
          <w:kern w:val="0"/>
          <w:sz w:val="32"/>
          <w:szCs w:val="32"/>
        </w:rPr>
      </w:pPr>
    </w:p>
    <w:p>
      <w:pPr>
        <w:widowControl/>
        <w:spacing w:line="620" w:lineRule="exact"/>
        <w:rPr>
          <w:rFonts w:ascii="仿宋_GB2312" w:hAnsi="Times New Roman" w:eastAsia="仿宋_GB2312" w:cs="Times New Roman"/>
          <w:kern w:val="0"/>
          <w:sz w:val="32"/>
          <w:szCs w:val="32"/>
        </w:rPr>
      </w:pPr>
    </w:p>
    <w:p>
      <w:pPr>
        <w:widowControl/>
        <w:spacing w:line="576" w:lineRule="exact"/>
        <w:jc w:val="cente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南生发〔2020〕177号</w:t>
      </w:r>
    </w:p>
    <w:p>
      <w:pPr>
        <w:widowControl/>
        <w:spacing w:line="500" w:lineRule="exact"/>
        <w:jc w:val="center"/>
        <w:rPr>
          <w:rFonts w:ascii="仿宋_GB2312" w:hAnsi="Times New Roman" w:eastAsia="仿宋_GB2312" w:cs="Times New Roman"/>
          <w:color w:val="333333"/>
          <w:kern w:val="0"/>
          <w:sz w:val="32"/>
          <w:szCs w:val="32"/>
        </w:rPr>
      </w:pPr>
    </w:p>
    <w:p>
      <w:pPr>
        <w:widowControl/>
        <w:spacing w:line="5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海南州生态环境局</w:t>
      </w:r>
    </w:p>
    <w:p>
      <w:pPr>
        <w:widowControl/>
        <w:spacing w:line="5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关于华润风电（共和）有限公司共和10万千瓦风电项目110kv升压站工程环境影响报告表的批复</w:t>
      </w:r>
    </w:p>
    <w:p>
      <w:pPr>
        <w:pStyle w:val="9"/>
        <w:autoSpaceDN w:val="0"/>
        <w:spacing w:line="500" w:lineRule="exact"/>
        <w:rPr>
          <w:rFonts w:ascii="仿宋_GB2312" w:eastAsia="仿宋_GB2312"/>
          <w:sz w:val="32"/>
          <w:szCs w:val="32"/>
        </w:rPr>
      </w:pPr>
    </w:p>
    <w:p>
      <w:pPr>
        <w:pStyle w:val="10"/>
        <w:spacing w:line="520" w:lineRule="exact"/>
        <w:rPr>
          <w:rFonts w:ascii="仿宋_GB2312" w:eastAsia="仿宋_GB2312"/>
          <w:sz w:val="32"/>
          <w:szCs w:val="32"/>
        </w:rPr>
      </w:pPr>
      <w:r>
        <w:rPr>
          <w:rFonts w:hint="eastAsia" w:ascii="仿宋_GB2312" w:eastAsia="仿宋_GB2312"/>
          <w:sz w:val="32"/>
          <w:szCs w:val="32"/>
        </w:rPr>
        <w:t>华润风电（共和）有限公司：</w:t>
      </w:r>
    </w:p>
    <w:p>
      <w:pPr>
        <w:widowControl/>
        <w:spacing w:line="520" w:lineRule="exact"/>
        <w:jc w:val="left"/>
        <w:rPr>
          <w:rFonts w:ascii="仿宋_GB2312" w:eastAsia="仿宋_GB2312"/>
          <w:sz w:val="32"/>
          <w:szCs w:val="32"/>
        </w:rPr>
      </w:pPr>
      <w:r>
        <w:rPr>
          <w:rFonts w:hint="eastAsia" w:ascii="仿宋_GB2312" w:eastAsia="仿宋_GB2312"/>
          <w:sz w:val="32"/>
          <w:szCs w:val="32"/>
        </w:rPr>
        <w:t xml:space="preserve">    你公司《关于华润风电（共和）有限公司共和10万千瓦风电项目110kv升压站工程环境影响报告表审批的请示》（华润共</w:t>
      </w:r>
      <w:r>
        <w:rPr>
          <w:rFonts w:hint="eastAsia" w:ascii="仿宋_GB2312" w:hAnsi="Times New Roman" w:eastAsia="仿宋_GB2312" w:cs="Times New Roman"/>
          <w:kern w:val="0"/>
          <w:sz w:val="32"/>
          <w:szCs w:val="32"/>
        </w:rPr>
        <w:t>和字</w:t>
      </w:r>
      <w:r>
        <w:rPr>
          <w:rFonts w:hint="eastAsia" w:ascii="黑体" w:hAnsi="黑体" w:eastAsia="黑体" w:cs="Times New Roman"/>
          <w:kern w:val="0"/>
          <w:sz w:val="32"/>
          <w:szCs w:val="32"/>
        </w:rPr>
        <w:t>﹝</w:t>
      </w:r>
      <w:r>
        <w:rPr>
          <w:rFonts w:hint="eastAsia" w:ascii="仿宋_GB2312" w:hAnsi="Times New Roman" w:eastAsia="仿宋_GB2312" w:cs="Times New Roman"/>
          <w:kern w:val="0"/>
          <w:sz w:val="32"/>
          <w:szCs w:val="32"/>
        </w:rPr>
        <w:t>2020</w:t>
      </w:r>
      <w:r>
        <w:rPr>
          <w:rFonts w:hint="eastAsia" w:ascii="黑体" w:hAnsi="黑体" w:eastAsia="黑体" w:cs="Times New Roman"/>
          <w:kern w:val="0"/>
          <w:sz w:val="32"/>
          <w:szCs w:val="32"/>
        </w:rPr>
        <w:t>﹞</w:t>
      </w:r>
      <w:r>
        <w:rPr>
          <w:rFonts w:hint="eastAsia" w:ascii="仿宋_GB2312" w:hAnsi="Times New Roman" w:eastAsia="仿宋_GB2312" w:cs="Times New Roman"/>
          <w:kern w:val="0"/>
          <w:sz w:val="32"/>
          <w:szCs w:val="32"/>
        </w:rPr>
        <w:t>19号）</w:t>
      </w:r>
      <w:r>
        <w:rPr>
          <w:rFonts w:hint="eastAsia" w:ascii="仿宋_GB2312" w:eastAsia="仿宋_GB2312"/>
          <w:sz w:val="32"/>
          <w:szCs w:val="32"/>
        </w:rPr>
        <w:t>收悉，共和县生态环境局就本项目出具了《关于华润风电（共和）有限公司共和10万千瓦风电项目110kv升压站工程环境影响报告表的预审意见》（共生发</w:t>
      </w:r>
      <w:r>
        <w:rPr>
          <w:rFonts w:hint="eastAsia" w:ascii="黑体" w:hAnsi="黑体" w:eastAsia="黑体"/>
          <w:sz w:val="32"/>
          <w:szCs w:val="32"/>
        </w:rPr>
        <w:t>﹝</w:t>
      </w:r>
      <w:r>
        <w:rPr>
          <w:rFonts w:hint="eastAsia" w:ascii="仿宋_GB2312" w:eastAsia="仿宋_GB2312"/>
          <w:sz w:val="32"/>
          <w:szCs w:val="32"/>
        </w:rPr>
        <w:t>2020</w:t>
      </w:r>
      <w:r>
        <w:rPr>
          <w:rFonts w:hint="eastAsia" w:ascii="黑体" w:hAnsi="黑体" w:eastAsia="黑体"/>
          <w:sz w:val="32"/>
          <w:szCs w:val="32"/>
        </w:rPr>
        <w:t>﹞</w:t>
      </w:r>
      <w:r>
        <w:rPr>
          <w:rFonts w:hint="eastAsia" w:ascii="仿宋_GB2312" w:eastAsia="仿宋_GB2312"/>
          <w:sz w:val="32"/>
          <w:szCs w:val="32"/>
        </w:rPr>
        <w:t>176号）。结合专家意见，经我局研究，现批复如下：</w:t>
      </w:r>
    </w:p>
    <w:p>
      <w:pPr>
        <w:pStyle w:val="10"/>
        <w:spacing w:line="520" w:lineRule="exact"/>
        <w:ind w:firstLine="646"/>
        <w:rPr>
          <w:rFonts w:ascii="黑体" w:hAnsi="黑体" w:eastAsia="黑体"/>
          <w:sz w:val="32"/>
          <w:szCs w:val="32"/>
        </w:rPr>
      </w:pPr>
      <w:r>
        <w:rPr>
          <w:rFonts w:hint="eastAsia" w:ascii="黑体" w:hAnsi="黑体" w:eastAsia="黑体"/>
          <w:sz w:val="32"/>
          <w:szCs w:val="32"/>
        </w:rPr>
        <w:t>一、项目</w:t>
      </w:r>
      <w:r>
        <w:rPr>
          <w:rFonts w:ascii="黑体" w:hAnsi="黑体" w:eastAsia="黑体"/>
          <w:sz w:val="32"/>
          <w:szCs w:val="32"/>
        </w:rPr>
        <w:t>概况</w:t>
      </w:r>
      <w:r>
        <w:rPr>
          <w:rFonts w:hint="eastAsia" w:ascii="黑体" w:hAnsi="黑体" w:eastAsia="黑体"/>
          <w:sz w:val="32"/>
          <w:szCs w:val="32"/>
        </w:rPr>
        <w:t>及审批意见</w:t>
      </w:r>
    </w:p>
    <w:p>
      <w:pPr>
        <w:pStyle w:val="10"/>
        <w:spacing w:line="520" w:lineRule="exact"/>
        <w:ind w:firstLine="646"/>
        <w:rPr>
          <w:rFonts w:ascii="仿宋_GB2312" w:eastAsia="仿宋_GB2312" w:hAnsiTheme="majorEastAsia"/>
          <w:sz w:val="32"/>
          <w:szCs w:val="32"/>
        </w:rPr>
      </w:pPr>
      <w:r>
        <w:rPr>
          <w:rFonts w:hint="eastAsia" w:ascii="仿宋_GB2312" w:eastAsia="仿宋_GB2312"/>
          <w:sz w:val="32"/>
          <w:szCs w:val="32"/>
        </w:rPr>
        <w:t>拟建升压站位于青海省海南州共和县华润风电共和10万千瓦风电场内，升压站地理坐标</w:t>
      </w:r>
      <w:r>
        <w:rPr>
          <w:rFonts w:hint="eastAsia" w:ascii="仿宋_GB2312" w:hAnsi="仿宋_GB2312" w:eastAsia="仿宋_GB2312" w:cs="仿宋_GB2312"/>
          <w:sz w:val="32"/>
          <w:szCs w:val="32"/>
        </w:rPr>
        <w:t>为东经100°00′02″、北纬36°27′7.46″。项目代码：2017-632521-44-02-003751。</w:t>
      </w:r>
      <w:r>
        <w:rPr>
          <w:rFonts w:hint="eastAsia" w:ascii="仿宋_GB2312" w:eastAsia="仿宋_GB2312"/>
          <w:sz w:val="32"/>
          <w:szCs w:val="32"/>
        </w:rPr>
        <w:t>建设</w:t>
      </w:r>
      <w:r>
        <w:rPr>
          <w:rFonts w:ascii="仿宋_GB2312" w:eastAsia="仿宋_GB2312"/>
          <w:sz w:val="32"/>
          <w:szCs w:val="32"/>
        </w:rPr>
        <w:t>内容包括</w:t>
      </w:r>
      <w:r>
        <w:rPr>
          <w:rFonts w:hint="eastAsia" w:ascii="仿宋_GB2312" w:eastAsia="仿宋_GB2312"/>
          <w:sz w:val="32"/>
          <w:szCs w:val="32"/>
        </w:rPr>
        <w:t>：新建110kv升压站1座，安装2台主变压器,每台主变容量</w:t>
      </w:r>
      <w:r>
        <w:rPr>
          <w:rFonts w:hint="eastAsia" w:ascii="仿宋_GB2312" w:eastAsia="仿宋_GB2312"/>
          <w:color w:val="000000" w:themeColor="text1"/>
          <w:sz w:val="32"/>
          <w:szCs w:val="32"/>
        </w:rPr>
        <w:t>50MVA，配套2座事故油池；</w:t>
      </w:r>
      <w:r>
        <w:rPr>
          <w:rFonts w:hint="eastAsia" w:ascii="仿宋_GB2312" w:eastAsia="仿宋_GB2312"/>
          <w:sz w:val="32"/>
          <w:szCs w:val="32"/>
        </w:rPr>
        <w:t>35kv进线4回，110kv出线1回，4组10Mvar的动态无功补偿装置；</w:t>
      </w:r>
      <w:r>
        <w:rPr>
          <w:rFonts w:hint="eastAsia" w:ascii="仿宋_GB2312" w:hAnsi="仿宋" w:eastAsia="仿宋_GB2312"/>
          <w:sz w:val="32"/>
          <w:szCs w:val="32"/>
        </w:rPr>
        <w:t>项目总投资3888.99万元，环保投资70万元，占总投资1.8%。本工程取得海南州发展和改革委员会《关于华润风电（共和）有限公司共和10万千瓦风电项目核准的批复》（南发改能源</w:t>
      </w:r>
      <w:r>
        <w:rPr>
          <w:rFonts w:hint="eastAsia" w:ascii="仿宋_GB2312" w:eastAsia="仿宋_GB2312"/>
          <w:sz w:val="32"/>
          <w:szCs w:val="32"/>
        </w:rPr>
        <w:t>〔2017〕063号</w:t>
      </w:r>
      <w:r>
        <w:rPr>
          <w:rFonts w:hint="eastAsia" w:ascii="仿宋_GB2312" w:hAnsi="仿宋" w:eastAsia="仿宋_GB2312"/>
          <w:sz w:val="32"/>
          <w:szCs w:val="32"/>
        </w:rPr>
        <w:t>）。我局原则同意环境影响报告表中所列建设项目的性质、规模、地点和拟采取的环境保</w:t>
      </w:r>
      <w:r>
        <w:rPr>
          <w:rFonts w:hint="eastAsia" w:ascii="仿宋_GB2312" w:eastAsia="仿宋_GB2312" w:hAnsiTheme="minorHAnsi" w:cstheme="minorBidi"/>
          <w:kern w:val="2"/>
          <w:sz w:val="32"/>
          <w:szCs w:val="32"/>
        </w:rPr>
        <w:t>护措施。</w:t>
      </w:r>
    </w:p>
    <w:p>
      <w:pPr>
        <w:pStyle w:val="10"/>
        <w:spacing w:line="520" w:lineRule="exact"/>
        <w:ind w:firstLine="645"/>
        <w:rPr>
          <w:rFonts w:ascii="黑体" w:hAnsi="黑体" w:eastAsia="黑体" w:cstheme="minorBidi"/>
          <w:kern w:val="2"/>
          <w:sz w:val="32"/>
          <w:szCs w:val="32"/>
        </w:rPr>
      </w:pPr>
      <w:r>
        <w:rPr>
          <w:rFonts w:hint="eastAsia" w:ascii="黑体" w:hAnsi="黑体" w:eastAsia="黑体" w:cstheme="minorBidi"/>
          <w:kern w:val="2"/>
          <w:sz w:val="32"/>
          <w:szCs w:val="32"/>
        </w:rPr>
        <w:t>二、项目建设及运营中应重点做好以下工作</w:t>
      </w:r>
    </w:p>
    <w:p>
      <w:pPr>
        <w:widowControl/>
        <w:spacing w:line="520" w:lineRule="exact"/>
        <w:ind w:firstLine="645"/>
        <w:rPr>
          <w:rFonts w:hint="eastAsia" w:ascii="仿宋_GB2312" w:hAnsi="仿宋" w:eastAsia="仿宋_GB2312" w:cs="Times New Roman"/>
          <w:kern w:val="0"/>
          <w:sz w:val="32"/>
          <w:szCs w:val="32"/>
          <w:lang w:val="en-US" w:eastAsia="zh-CN" w:bidi="ar-SA"/>
        </w:rPr>
      </w:pPr>
      <w:r>
        <w:rPr>
          <w:rFonts w:hint="eastAsia" w:ascii="楷体_GB2312" w:hAnsi="楷体" w:eastAsia="楷体_GB2312"/>
          <w:sz w:val="32"/>
          <w:szCs w:val="32"/>
        </w:rPr>
        <w:t>（一）严格落实生态环境保护和恢复措施。</w:t>
      </w:r>
      <w:r>
        <w:rPr>
          <w:rFonts w:hint="eastAsia" w:ascii="仿宋_GB2312" w:hAnsi="仿宋" w:eastAsia="仿宋_GB2312" w:cs="Times New Roman"/>
          <w:kern w:val="0"/>
          <w:sz w:val="32"/>
          <w:szCs w:val="32"/>
          <w:lang w:val="en-US" w:eastAsia="zh-CN" w:bidi="ar-SA"/>
        </w:rPr>
        <w:t>施工期要全面落实生态环境保护措施，控制施工运输车辆行驶路线，减少对地表的扰动和破坏。本项目使用商品混凝土，施工营地内不设置混凝土搅拌站。施工结束后结合升压站周边环境特点开展土地平整和覆土绿化工作。</w:t>
      </w:r>
    </w:p>
    <w:p>
      <w:pPr>
        <w:widowControl/>
        <w:spacing w:line="520" w:lineRule="exact"/>
        <w:ind w:firstLine="645"/>
        <w:rPr>
          <w:rFonts w:ascii="仿宋_GB2312" w:eastAsia="仿宋_GB2312"/>
          <w:sz w:val="32"/>
          <w:szCs w:val="32"/>
        </w:rPr>
      </w:pPr>
      <w:r>
        <w:rPr>
          <w:rFonts w:hint="eastAsia" w:ascii="楷体_GB2312" w:hAnsi="楷体" w:eastAsia="楷体_GB2312"/>
          <w:sz w:val="32"/>
          <w:szCs w:val="32"/>
        </w:rPr>
        <w:t>（二）严格落实大气污染防治措施。</w:t>
      </w:r>
      <w:r>
        <w:rPr>
          <w:rFonts w:hint="eastAsia" w:ascii="仿宋_GB2312" w:eastAsia="仿宋_GB2312"/>
          <w:sz w:val="32"/>
          <w:szCs w:val="32"/>
        </w:rPr>
        <w:t>施工期</w:t>
      </w:r>
      <w:r>
        <w:rPr>
          <w:rFonts w:hint="eastAsia" w:ascii="仿宋_GB2312" w:hAnsi="仿宋_GB2312" w:eastAsia="仿宋_GB2312" w:cs="仿宋_GB2312"/>
          <w:color w:val="000000"/>
          <w:sz w:val="32"/>
          <w:szCs w:val="32"/>
        </w:rPr>
        <w:t>落实大气污染</w:t>
      </w:r>
      <w:r>
        <w:rPr>
          <w:rFonts w:ascii="仿宋_GB2312" w:hAnsi="仿宋_GB2312" w:eastAsia="仿宋_GB2312" w:cs="仿宋_GB2312"/>
          <w:color w:val="000000"/>
          <w:sz w:val="32"/>
          <w:szCs w:val="32"/>
        </w:rPr>
        <w:t>防治措施，</w:t>
      </w:r>
      <w:r>
        <w:rPr>
          <w:rFonts w:hint="eastAsia" w:ascii="仿宋_GB2312" w:hAnsi="仿宋_GB2312" w:eastAsia="仿宋_GB2312" w:cs="仿宋_GB2312"/>
          <w:color w:val="000000"/>
          <w:sz w:val="32"/>
          <w:szCs w:val="32"/>
        </w:rPr>
        <w:t>严格落实</w:t>
      </w:r>
      <w:r>
        <w:rPr>
          <w:rFonts w:hint="eastAsia" w:ascii="仿宋_GB2312" w:eastAsia="仿宋_GB2312"/>
          <w:color w:val="000000"/>
          <w:sz w:val="32"/>
          <w:szCs w:val="32"/>
        </w:rPr>
        <w:t>扬尘控制措施，规范建筑材料堆场，</w:t>
      </w:r>
      <w:r>
        <w:rPr>
          <w:rFonts w:hint="eastAsia" w:ascii="仿宋_GB2312" w:eastAsia="仿宋_GB2312"/>
          <w:sz w:val="32"/>
          <w:szCs w:val="32"/>
        </w:rPr>
        <w:t>施工作业现场和砂石料堆场应采取洒水抑尘措施；物料运输应加盖篷布，同时尽量避免在大风天气进行土方开挖等活动，施工期</w:t>
      </w:r>
      <w:r>
        <w:rPr>
          <w:rFonts w:ascii="仿宋_GB2312" w:eastAsia="仿宋_GB2312"/>
          <w:sz w:val="32"/>
          <w:szCs w:val="32"/>
        </w:rPr>
        <w:t>要定期洒水降尘，</w:t>
      </w:r>
      <w:r>
        <w:rPr>
          <w:rFonts w:hint="eastAsia" w:ascii="仿宋_GB2312" w:eastAsia="仿宋_GB2312"/>
          <w:sz w:val="32"/>
          <w:szCs w:val="32"/>
        </w:rPr>
        <w:t>以减少对大气环境的影响。</w:t>
      </w:r>
    </w:p>
    <w:p>
      <w:pPr>
        <w:widowControl/>
        <w:spacing w:line="520" w:lineRule="exact"/>
        <w:ind w:firstLine="645"/>
        <w:rPr>
          <w:rFonts w:ascii="仿宋_GB2312" w:eastAsia="仿宋_GB2312"/>
          <w:sz w:val="32"/>
          <w:szCs w:val="32"/>
        </w:rPr>
      </w:pPr>
      <w:r>
        <w:rPr>
          <w:rFonts w:hint="eastAsia" w:ascii="楷体_GB2312" w:hAnsi="楷体" w:eastAsia="楷体_GB2312"/>
          <w:sz w:val="32"/>
          <w:szCs w:val="32"/>
        </w:rPr>
        <w:t>（三）严格落实地表水环境保护措施。</w:t>
      </w:r>
      <w:r>
        <w:rPr>
          <w:rFonts w:hint="eastAsia" w:ascii="仿宋_GB2312" w:eastAsia="仿宋_GB2312"/>
          <w:sz w:val="32"/>
          <w:szCs w:val="32"/>
        </w:rPr>
        <w:t>施工营地设有临时沉淀池，施工废水经沉淀处理后循环使用，不外排；施工期设防渗旱厕，定期清掏，不得随意外排。</w:t>
      </w:r>
    </w:p>
    <w:p>
      <w:pPr>
        <w:widowControl/>
        <w:spacing w:line="520" w:lineRule="exact"/>
        <w:ind w:firstLine="640"/>
        <w:rPr>
          <w:rFonts w:ascii="楷体_GB2312" w:hAnsi="楷体" w:eastAsia="楷体_GB2312"/>
          <w:sz w:val="32"/>
          <w:szCs w:val="32"/>
        </w:rPr>
      </w:pPr>
      <w:r>
        <w:rPr>
          <w:rFonts w:hint="eastAsia" w:ascii="楷体_GB2312" w:hAnsi="楷体" w:eastAsia="楷体_GB2312"/>
          <w:sz w:val="32"/>
          <w:szCs w:val="32"/>
        </w:rPr>
        <w:t>（四）严格落实固体废物处理措施。</w:t>
      </w:r>
      <w:r>
        <w:rPr>
          <w:rFonts w:hint="eastAsia" w:ascii="仿宋_GB2312" w:eastAsia="仿宋_GB2312"/>
          <w:sz w:val="32"/>
          <w:szCs w:val="32"/>
        </w:rPr>
        <w:t>施工期设备安装产生的废包装纸盒、塑料、木材等回收利用，无法回收的及时清运至住建部门制定的地点填埋处置</w:t>
      </w:r>
      <w:r>
        <w:rPr>
          <w:rFonts w:hint="eastAsia" w:ascii="仿宋_GB2312" w:eastAsia="仿宋_GB2312"/>
          <w:color w:val="000000" w:themeColor="text1"/>
          <w:sz w:val="32"/>
          <w:szCs w:val="32"/>
        </w:rPr>
        <w:t>。</w:t>
      </w:r>
      <w:r>
        <w:rPr>
          <w:rFonts w:hint="eastAsia" w:ascii="仿宋_GB2312" w:eastAsia="仿宋_GB2312"/>
          <w:sz w:val="32"/>
          <w:szCs w:val="32"/>
        </w:rPr>
        <w:t>按规范要求设置主变事故油池，运营期产生的废变压器油属危险废物，应交由有资质的第三方处置清运，危险废物转移时严格按照《青海省环境保护厅关于全面启用危险废物转移电子联单管理工作的通知》（青环发</w:t>
      </w:r>
      <w:r>
        <w:rPr>
          <w:rFonts w:hint="eastAsia" w:ascii="宋体" w:hAnsi="宋体" w:eastAsia="宋体"/>
          <w:sz w:val="32"/>
          <w:szCs w:val="32"/>
        </w:rPr>
        <w:t>﹝</w:t>
      </w:r>
      <w:r>
        <w:rPr>
          <w:rFonts w:hint="eastAsia" w:ascii="仿宋_GB2312" w:eastAsia="仿宋_GB2312"/>
          <w:sz w:val="32"/>
          <w:szCs w:val="32"/>
        </w:rPr>
        <w:t>2017</w:t>
      </w:r>
      <w:r>
        <w:rPr>
          <w:rFonts w:hint="eastAsia" w:ascii="宋体" w:hAnsi="宋体" w:eastAsia="宋体"/>
          <w:sz w:val="32"/>
          <w:szCs w:val="32"/>
        </w:rPr>
        <w:t>﹞</w:t>
      </w:r>
      <w:r>
        <w:rPr>
          <w:rFonts w:hint="eastAsia" w:ascii="仿宋_GB2312" w:eastAsia="仿宋_GB2312"/>
          <w:sz w:val="32"/>
          <w:szCs w:val="32"/>
        </w:rPr>
        <w:t>398号）文件要求执行。</w:t>
      </w:r>
    </w:p>
    <w:p>
      <w:pPr>
        <w:widowControl/>
        <w:spacing w:line="520" w:lineRule="exact"/>
        <w:ind w:firstLine="640" w:firstLineChars="200"/>
        <w:rPr>
          <w:rFonts w:ascii="仿宋_GB2312" w:eastAsia="仿宋_GB2312"/>
          <w:sz w:val="32"/>
          <w:szCs w:val="32"/>
        </w:rPr>
      </w:pPr>
      <w:r>
        <w:rPr>
          <w:rFonts w:hint="eastAsia" w:ascii="楷体_GB2312" w:hAnsi="楷体" w:eastAsia="楷体_GB2312"/>
          <w:sz w:val="32"/>
          <w:szCs w:val="32"/>
        </w:rPr>
        <w:t>（五）电磁辐射环境影响及噪声执行标准。</w:t>
      </w:r>
      <w:r>
        <w:rPr>
          <w:rFonts w:hint="eastAsia" w:ascii="仿宋_GB2312" w:eastAsia="仿宋_GB2312"/>
          <w:sz w:val="32"/>
          <w:szCs w:val="32"/>
        </w:rPr>
        <w:t>110kV升压站产生的工频电场和工频磁场分别满足4kV/m、100μT的标准限值要求；施工期噪声满足《建筑施工场界噪声排放标准》（GB12523-2011）限值，运营期噪声排放达到《工业企业厂界环境噪声排放标准》（GB12348-2008）中的2类标准。</w:t>
      </w:r>
    </w:p>
    <w:p>
      <w:pPr>
        <w:widowControl/>
        <w:spacing w:line="520" w:lineRule="exact"/>
        <w:ind w:firstLine="640"/>
        <w:rPr>
          <w:rFonts w:ascii="黑体" w:hAnsi="黑体" w:eastAsia="黑体" w:cs="仿宋"/>
          <w:kern w:val="0"/>
          <w:sz w:val="32"/>
          <w:szCs w:val="32"/>
        </w:rPr>
      </w:pPr>
      <w:r>
        <w:rPr>
          <w:rFonts w:hint="eastAsia" w:ascii="黑体" w:hAnsi="黑体" w:eastAsia="黑体" w:cs="仿宋"/>
          <w:kern w:val="0"/>
          <w:sz w:val="32"/>
          <w:szCs w:val="32"/>
        </w:rPr>
        <w:t>三、</w:t>
      </w:r>
      <w:r>
        <w:rPr>
          <w:rFonts w:hint="eastAsia" w:ascii="黑体" w:hAnsi="黑体" w:eastAsia="黑体"/>
          <w:sz w:val="32"/>
          <w:szCs w:val="32"/>
        </w:rPr>
        <w:t>项目建设应严格执行环保“三同时”制度。工程建成后须按照《建设项目竣工环境保护验收暂行办法》（国环规环评〔2017〕4号）开展项目</w:t>
      </w:r>
      <w:r>
        <w:rPr>
          <w:rFonts w:ascii="黑体" w:hAnsi="黑体" w:eastAsia="黑体"/>
          <w:sz w:val="32"/>
          <w:szCs w:val="32"/>
        </w:rPr>
        <w:t>环保验收</w:t>
      </w:r>
      <w:r>
        <w:rPr>
          <w:rFonts w:hint="eastAsia" w:ascii="黑体" w:hAnsi="黑体" w:eastAsia="黑体"/>
          <w:sz w:val="32"/>
          <w:szCs w:val="32"/>
        </w:rPr>
        <w:t>，经验收合格并</w:t>
      </w:r>
      <w:r>
        <w:rPr>
          <w:rFonts w:ascii="黑体" w:hAnsi="黑体" w:eastAsia="黑体"/>
          <w:sz w:val="32"/>
          <w:szCs w:val="32"/>
        </w:rPr>
        <w:t>向我局备案</w:t>
      </w:r>
      <w:r>
        <w:rPr>
          <w:rFonts w:hint="eastAsia" w:ascii="黑体" w:hAnsi="黑体" w:eastAsia="黑体"/>
          <w:sz w:val="32"/>
          <w:szCs w:val="32"/>
        </w:rPr>
        <w:t>后方可运行。</w:t>
      </w:r>
    </w:p>
    <w:p>
      <w:pPr>
        <w:widowControl/>
        <w:spacing w:line="520" w:lineRule="exact"/>
        <w:ind w:firstLine="640"/>
        <w:rPr>
          <w:rFonts w:ascii="黑体" w:hAnsi="黑体" w:eastAsia="黑体" w:cs="仿宋"/>
          <w:kern w:val="0"/>
          <w:sz w:val="32"/>
          <w:szCs w:val="32"/>
        </w:rPr>
      </w:pPr>
      <w:r>
        <w:rPr>
          <w:rFonts w:hint="eastAsia" w:ascii="黑体" w:hAnsi="黑体" w:eastAsia="黑体" w:cs="仿宋"/>
          <w:kern w:val="0"/>
          <w:sz w:val="32"/>
          <w:szCs w:val="32"/>
        </w:rPr>
        <w:t>四、项目经批复后如发生变更，你公司应及时履行相关环保手续。</w:t>
      </w:r>
    </w:p>
    <w:p>
      <w:pPr>
        <w:widowControl/>
        <w:spacing w:line="520" w:lineRule="exact"/>
        <w:ind w:firstLine="640"/>
        <w:rPr>
          <w:rFonts w:ascii="Times New Roman" w:hAnsi="Times New Roman" w:eastAsia="仿宋_GB2312"/>
          <w:kern w:val="0"/>
          <w:sz w:val="32"/>
          <w:szCs w:val="32"/>
        </w:rPr>
      </w:pPr>
      <w:bookmarkStart w:id="0" w:name="_GoBack"/>
      <w:r>
        <w:rPr>
          <w:rFonts w:hint="eastAsia" w:ascii="黑体" w:hAnsi="黑体" w:eastAsia="黑体" w:cs="仿宋"/>
          <w:kern w:val="0"/>
          <w:sz w:val="32"/>
          <w:szCs w:val="32"/>
        </w:rPr>
        <w:t>五、请共和县生态环境局负责项目施工期和运营期的环境保护监督检查工作。</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 xml:space="preserve"> </w:t>
      </w:r>
    </w:p>
    <w:bookmarkEnd w:id="0"/>
    <w:p>
      <w:pPr>
        <w:widowControl/>
        <w:spacing w:line="576" w:lineRule="exact"/>
        <w:ind w:right="640"/>
        <w:jc w:val="center"/>
        <w:rPr>
          <w:rFonts w:eastAsia="仿宋_GB2312"/>
          <w:kern w:val="0"/>
          <w:sz w:val="32"/>
          <w:szCs w:val="32"/>
        </w:rPr>
      </w:pPr>
      <w:r>
        <w:rPr>
          <w:rFonts w:hint="eastAsia" w:eastAsia="仿宋_GB2312"/>
          <w:kern w:val="0"/>
          <w:sz w:val="32"/>
          <w:szCs w:val="32"/>
        </w:rPr>
        <w:t xml:space="preserve">                </w:t>
      </w:r>
      <w:r>
        <w:rPr>
          <w:rFonts w:ascii="Times New Roman" w:hAnsi="Times New Roman" w:eastAsia="仿宋_GB2312"/>
          <w:kern w:val="0"/>
          <w:sz w:val="32"/>
          <w:szCs w:val="32"/>
        </w:rPr>
        <w:t xml:space="preserve">    </w:t>
      </w:r>
      <w:r>
        <w:rPr>
          <w:rFonts w:hint="eastAsia" w:eastAsia="仿宋_GB2312"/>
          <w:kern w:val="0"/>
          <w:sz w:val="32"/>
          <w:szCs w:val="32"/>
        </w:rPr>
        <w:t xml:space="preserve"> </w:t>
      </w:r>
    </w:p>
    <w:p>
      <w:pPr>
        <w:widowControl/>
        <w:spacing w:line="576" w:lineRule="exact"/>
        <w:ind w:right="64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2020年7月20日    </w:t>
      </w:r>
    </w:p>
    <w:p>
      <w:pPr>
        <w:topLinePunct/>
        <w:spacing w:line="576" w:lineRule="exact"/>
        <w:rPr>
          <w:rFonts w:ascii="仿宋_GB2312" w:hAnsi="仿宋_GB2312" w:eastAsia="仿宋_GB2312" w:cs="仿宋_GB2312"/>
          <w:sz w:val="32"/>
          <w:szCs w:val="32"/>
        </w:rPr>
      </w:pPr>
      <w:r>
        <w:rPr>
          <w:rFonts w:hint="eastAsia" w:ascii="黑体" w:hAnsi="黑体" w:eastAsia="黑体" w:cs="黑体"/>
          <w:b/>
          <w:sz w:val="32"/>
          <w:szCs w:val="32"/>
        </w:rPr>
        <w:t>是否宜公开选项</w:t>
      </w:r>
      <w:r>
        <w:rPr>
          <w:rFonts w:hint="eastAsia" w:ascii="黑体" w:hAnsi="黑体" w:eastAsia="黑体" w:cs="黑体"/>
          <w:sz w:val="32"/>
          <w:szCs w:val="32"/>
        </w:rPr>
        <w:t>：</w:t>
      </w:r>
      <w:r>
        <w:rPr>
          <w:rFonts w:hint="eastAsia" w:ascii="仿宋_GB2312" w:hAnsi="仿宋_GB2312" w:eastAsia="仿宋_GB2312" w:cs="仿宋_GB2312"/>
          <w:sz w:val="32"/>
          <w:szCs w:val="32"/>
        </w:rPr>
        <w:t>宜公开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tcBorders>
              <w:left w:val="nil"/>
              <w:bottom w:val="single" w:color="auto" w:sz="4" w:space="0"/>
              <w:right w:val="nil"/>
            </w:tcBorders>
          </w:tcPr>
          <w:p>
            <w:pPr>
              <w:pStyle w:val="2"/>
              <w:spacing w:line="360" w:lineRule="exact"/>
              <w:ind w:left="0" w:leftChars="0"/>
              <w:jc w:val="left"/>
              <w:rPr>
                <w:rFonts w:ascii="仿宋_GB2312" w:eastAsia="仿宋_GB2312"/>
                <w:sz w:val="28"/>
                <w:szCs w:val="28"/>
              </w:rPr>
            </w:pPr>
            <w:r>
              <w:rPr>
                <w:rFonts w:hint="eastAsia" w:ascii="仿宋_GB2312" w:eastAsia="仿宋_GB2312"/>
                <w:sz w:val="28"/>
                <w:szCs w:val="28"/>
              </w:rPr>
              <w:t>抄送：州</w:t>
            </w:r>
            <w:r>
              <w:rPr>
                <w:rFonts w:ascii="仿宋_GB2312" w:eastAsia="仿宋_GB2312"/>
                <w:sz w:val="28"/>
                <w:szCs w:val="28"/>
              </w:rPr>
              <w:t>生态环境</w:t>
            </w:r>
            <w:r>
              <w:rPr>
                <w:rFonts w:hint="eastAsia" w:ascii="仿宋_GB2312" w:eastAsia="仿宋_GB2312"/>
                <w:sz w:val="28"/>
                <w:szCs w:val="28"/>
              </w:rPr>
              <w:t>综合行政执法支队，共和县生态环境局，众旺达（宁夏）技术咨询有限公司，</w:t>
            </w:r>
            <w:r>
              <w:rPr>
                <w:rFonts w:ascii="仿宋_GB2312" w:eastAsia="仿宋_GB2312"/>
                <w:sz w:val="28"/>
                <w:szCs w:val="28"/>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tcBorders>
              <w:left w:val="nil"/>
              <w:right w:val="nil"/>
            </w:tcBorders>
          </w:tcPr>
          <w:p>
            <w:pPr>
              <w:pStyle w:val="2"/>
              <w:ind w:left="0" w:leftChars="0" w:firstLine="140" w:firstLineChars="50"/>
              <w:jc w:val="left"/>
              <w:rPr>
                <w:rFonts w:ascii="仿宋_GB2312" w:eastAsia="仿宋_GB2312"/>
                <w:sz w:val="28"/>
                <w:szCs w:val="28"/>
              </w:rPr>
            </w:pPr>
            <w:r>
              <w:rPr>
                <w:rFonts w:hint="eastAsia" w:ascii="仿宋_GB2312" w:hAnsi="仿宋" w:eastAsia="仿宋_GB2312" w:cs="仿宋"/>
                <w:sz w:val="28"/>
                <w:szCs w:val="28"/>
              </w:rPr>
              <w:t>海南州生态环境局                         2020年7月20日印发</w:t>
            </w:r>
          </w:p>
        </w:tc>
      </w:tr>
    </w:tbl>
    <w:p>
      <w:pPr>
        <w:spacing w:line="560" w:lineRule="exact"/>
        <w:rPr>
          <w:rFonts w:ascii="仿宋_GB2312" w:hAnsi="Times New Roman" w:eastAsia="仿宋_GB2312" w:cs="Times New Roman"/>
          <w:kern w:val="0"/>
          <w:sz w:val="32"/>
          <w:szCs w:val="32"/>
          <w:u w:val="single"/>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092C"/>
    <w:rsid w:val="0000391D"/>
    <w:rsid w:val="0002484E"/>
    <w:rsid w:val="00041CB5"/>
    <w:rsid w:val="0004562D"/>
    <w:rsid w:val="00045793"/>
    <w:rsid w:val="00066070"/>
    <w:rsid w:val="00077418"/>
    <w:rsid w:val="000C2162"/>
    <w:rsid w:val="000C2E01"/>
    <w:rsid w:val="000D3435"/>
    <w:rsid w:val="000D60CD"/>
    <w:rsid w:val="000E031D"/>
    <w:rsid w:val="000F52E7"/>
    <w:rsid w:val="00115F58"/>
    <w:rsid w:val="001213C9"/>
    <w:rsid w:val="001369ED"/>
    <w:rsid w:val="001440AE"/>
    <w:rsid w:val="00155D23"/>
    <w:rsid w:val="00162DC5"/>
    <w:rsid w:val="00194536"/>
    <w:rsid w:val="001B2CEB"/>
    <w:rsid w:val="001B4BCE"/>
    <w:rsid w:val="001C05E6"/>
    <w:rsid w:val="001D1B2A"/>
    <w:rsid w:val="001D3088"/>
    <w:rsid w:val="001F3463"/>
    <w:rsid w:val="001F4791"/>
    <w:rsid w:val="00207844"/>
    <w:rsid w:val="002102D0"/>
    <w:rsid w:val="002332DD"/>
    <w:rsid w:val="00250073"/>
    <w:rsid w:val="00282EC5"/>
    <w:rsid w:val="00285ECD"/>
    <w:rsid w:val="002875C0"/>
    <w:rsid w:val="002B32F4"/>
    <w:rsid w:val="002F50FD"/>
    <w:rsid w:val="0031216F"/>
    <w:rsid w:val="00312506"/>
    <w:rsid w:val="00317CA0"/>
    <w:rsid w:val="00340DCA"/>
    <w:rsid w:val="00341A44"/>
    <w:rsid w:val="00344788"/>
    <w:rsid w:val="00355342"/>
    <w:rsid w:val="00355479"/>
    <w:rsid w:val="00374375"/>
    <w:rsid w:val="0037499E"/>
    <w:rsid w:val="00374F18"/>
    <w:rsid w:val="00382AA6"/>
    <w:rsid w:val="00386248"/>
    <w:rsid w:val="003B283A"/>
    <w:rsid w:val="003C6243"/>
    <w:rsid w:val="003D537A"/>
    <w:rsid w:val="003E7A0D"/>
    <w:rsid w:val="003F5971"/>
    <w:rsid w:val="00405FF0"/>
    <w:rsid w:val="00406617"/>
    <w:rsid w:val="00417780"/>
    <w:rsid w:val="0042258F"/>
    <w:rsid w:val="004507ED"/>
    <w:rsid w:val="00466C06"/>
    <w:rsid w:val="004B3192"/>
    <w:rsid w:val="004C23CE"/>
    <w:rsid w:val="004C3682"/>
    <w:rsid w:val="004C7D66"/>
    <w:rsid w:val="004C7E1F"/>
    <w:rsid w:val="004D068F"/>
    <w:rsid w:val="004D6ADA"/>
    <w:rsid w:val="004D7D4A"/>
    <w:rsid w:val="004E65CC"/>
    <w:rsid w:val="005003C4"/>
    <w:rsid w:val="005161D2"/>
    <w:rsid w:val="00530944"/>
    <w:rsid w:val="00542C4E"/>
    <w:rsid w:val="00574CFD"/>
    <w:rsid w:val="005971FD"/>
    <w:rsid w:val="005B5E00"/>
    <w:rsid w:val="005C0C46"/>
    <w:rsid w:val="005C258C"/>
    <w:rsid w:val="005C29AA"/>
    <w:rsid w:val="005E1D93"/>
    <w:rsid w:val="005E40FC"/>
    <w:rsid w:val="005E4951"/>
    <w:rsid w:val="005F1E00"/>
    <w:rsid w:val="005F3AFF"/>
    <w:rsid w:val="00630EDB"/>
    <w:rsid w:val="006432B2"/>
    <w:rsid w:val="00645C1C"/>
    <w:rsid w:val="00647F45"/>
    <w:rsid w:val="00656AC6"/>
    <w:rsid w:val="00662C1A"/>
    <w:rsid w:val="006721E7"/>
    <w:rsid w:val="0068252F"/>
    <w:rsid w:val="006A4ABF"/>
    <w:rsid w:val="006E6027"/>
    <w:rsid w:val="006F2E02"/>
    <w:rsid w:val="00716897"/>
    <w:rsid w:val="0073516E"/>
    <w:rsid w:val="00753BAE"/>
    <w:rsid w:val="00753F44"/>
    <w:rsid w:val="007738B6"/>
    <w:rsid w:val="0077667A"/>
    <w:rsid w:val="00787BCF"/>
    <w:rsid w:val="007B4B2D"/>
    <w:rsid w:val="007C0E7B"/>
    <w:rsid w:val="007E1D5A"/>
    <w:rsid w:val="007F16A7"/>
    <w:rsid w:val="007F2B7A"/>
    <w:rsid w:val="00820F35"/>
    <w:rsid w:val="0082393C"/>
    <w:rsid w:val="008242D6"/>
    <w:rsid w:val="00845A62"/>
    <w:rsid w:val="0085092C"/>
    <w:rsid w:val="00853B05"/>
    <w:rsid w:val="00854CE5"/>
    <w:rsid w:val="008713A8"/>
    <w:rsid w:val="00874A32"/>
    <w:rsid w:val="008B3F03"/>
    <w:rsid w:val="008C0E09"/>
    <w:rsid w:val="008D7565"/>
    <w:rsid w:val="008F562D"/>
    <w:rsid w:val="008F7A4F"/>
    <w:rsid w:val="00916B3E"/>
    <w:rsid w:val="009201B1"/>
    <w:rsid w:val="00933712"/>
    <w:rsid w:val="00946A75"/>
    <w:rsid w:val="00955DD0"/>
    <w:rsid w:val="00975F81"/>
    <w:rsid w:val="00986D2D"/>
    <w:rsid w:val="00996655"/>
    <w:rsid w:val="009968DC"/>
    <w:rsid w:val="009B0EC2"/>
    <w:rsid w:val="009D1717"/>
    <w:rsid w:val="009D7AD5"/>
    <w:rsid w:val="009E444D"/>
    <w:rsid w:val="009E5C29"/>
    <w:rsid w:val="00A26E5D"/>
    <w:rsid w:val="00A6034C"/>
    <w:rsid w:val="00A71315"/>
    <w:rsid w:val="00A71BC0"/>
    <w:rsid w:val="00A857C6"/>
    <w:rsid w:val="00AA268F"/>
    <w:rsid w:val="00AA4B95"/>
    <w:rsid w:val="00AB4D8B"/>
    <w:rsid w:val="00AB4E91"/>
    <w:rsid w:val="00B13B11"/>
    <w:rsid w:val="00B23145"/>
    <w:rsid w:val="00B31F65"/>
    <w:rsid w:val="00B43F57"/>
    <w:rsid w:val="00B45DB1"/>
    <w:rsid w:val="00B670DC"/>
    <w:rsid w:val="00B6779C"/>
    <w:rsid w:val="00B97224"/>
    <w:rsid w:val="00B97A27"/>
    <w:rsid w:val="00BA5749"/>
    <w:rsid w:val="00BA7209"/>
    <w:rsid w:val="00BC19DD"/>
    <w:rsid w:val="00BD08B0"/>
    <w:rsid w:val="00BD7947"/>
    <w:rsid w:val="00BF0532"/>
    <w:rsid w:val="00C12720"/>
    <w:rsid w:val="00C26101"/>
    <w:rsid w:val="00C34AE1"/>
    <w:rsid w:val="00C672A7"/>
    <w:rsid w:val="00C81A90"/>
    <w:rsid w:val="00C8491D"/>
    <w:rsid w:val="00CA583F"/>
    <w:rsid w:val="00CC7BE1"/>
    <w:rsid w:val="00CD408F"/>
    <w:rsid w:val="00CF1943"/>
    <w:rsid w:val="00D4326A"/>
    <w:rsid w:val="00D44FB8"/>
    <w:rsid w:val="00D5123F"/>
    <w:rsid w:val="00D57CB7"/>
    <w:rsid w:val="00D60562"/>
    <w:rsid w:val="00D62074"/>
    <w:rsid w:val="00DA4D39"/>
    <w:rsid w:val="00DA67C2"/>
    <w:rsid w:val="00DA7C5D"/>
    <w:rsid w:val="00DB5897"/>
    <w:rsid w:val="00DC1A71"/>
    <w:rsid w:val="00DC4FE8"/>
    <w:rsid w:val="00DD1ADF"/>
    <w:rsid w:val="00DE007A"/>
    <w:rsid w:val="00DE4378"/>
    <w:rsid w:val="00DF3630"/>
    <w:rsid w:val="00E31004"/>
    <w:rsid w:val="00E33CBC"/>
    <w:rsid w:val="00E513FC"/>
    <w:rsid w:val="00E803AF"/>
    <w:rsid w:val="00E9446B"/>
    <w:rsid w:val="00ED5C3B"/>
    <w:rsid w:val="00EE2DAF"/>
    <w:rsid w:val="00EE4490"/>
    <w:rsid w:val="00F23C3F"/>
    <w:rsid w:val="00F23DA0"/>
    <w:rsid w:val="00F324CF"/>
    <w:rsid w:val="00F356D9"/>
    <w:rsid w:val="00F35815"/>
    <w:rsid w:val="00F51224"/>
    <w:rsid w:val="00F84021"/>
    <w:rsid w:val="00F90B87"/>
    <w:rsid w:val="00F92A9B"/>
    <w:rsid w:val="00F9546E"/>
    <w:rsid w:val="00FA14BB"/>
    <w:rsid w:val="00FA1E85"/>
    <w:rsid w:val="00FB4A94"/>
    <w:rsid w:val="00FE4894"/>
    <w:rsid w:val="00FF0A69"/>
    <w:rsid w:val="052F1BA3"/>
    <w:rsid w:val="0869656A"/>
    <w:rsid w:val="099C1903"/>
    <w:rsid w:val="0E351881"/>
    <w:rsid w:val="166262BA"/>
    <w:rsid w:val="1EFB0F7D"/>
    <w:rsid w:val="1F1811D8"/>
    <w:rsid w:val="23315CD9"/>
    <w:rsid w:val="2E030D0C"/>
    <w:rsid w:val="36057C47"/>
    <w:rsid w:val="44AE5A54"/>
    <w:rsid w:val="45C915FE"/>
    <w:rsid w:val="46AE3E01"/>
    <w:rsid w:val="488B65B3"/>
    <w:rsid w:val="48F4657A"/>
    <w:rsid w:val="4A2B0632"/>
    <w:rsid w:val="4F625EEC"/>
    <w:rsid w:val="515D398C"/>
    <w:rsid w:val="54991982"/>
    <w:rsid w:val="54EB004E"/>
    <w:rsid w:val="59854931"/>
    <w:rsid w:val="5DBC7005"/>
    <w:rsid w:val="61F512BB"/>
    <w:rsid w:val="628C01FF"/>
    <w:rsid w:val="6F324EF8"/>
    <w:rsid w:val="74C20327"/>
    <w:rsid w:val="74CD7F99"/>
    <w:rsid w:val="767517B2"/>
    <w:rsid w:val="77502B32"/>
    <w:rsid w:val="7B92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1"/>
    <w:basedOn w:val="1"/>
    <w:qFormat/>
    <w:uiPriority w:val="0"/>
    <w:pPr>
      <w:ind w:left="420" w:leftChars="200"/>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p0"/>
    <w:basedOn w:val="1"/>
    <w:qFormat/>
    <w:uiPriority w:val="0"/>
    <w:pPr>
      <w:widowControl/>
    </w:pPr>
    <w:rPr>
      <w:rFonts w:ascii="Times New Roman" w:hAnsi="Times New Roman" w:eastAsia="宋体" w:cs="Times New Roman"/>
      <w:kern w:val="0"/>
      <w:szCs w:val="21"/>
    </w:rPr>
  </w:style>
  <w:style w:type="paragraph" w:customStyle="1" w:styleId="10">
    <w:name w:val="p15"/>
    <w:basedOn w:val="1"/>
    <w:qFormat/>
    <w:uiPriority w:val="0"/>
    <w:pPr>
      <w:widowControl/>
    </w:pPr>
    <w:rPr>
      <w:rFonts w:ascii="Times New Roman" w:hAnsi="Times New Roman" w:eastAsia="宋体" w:cs="Times New Roman"/>
      <w:kern w:val="0"/>
      <w:szCs w:val="21"/>
    </w:rPr>
  </w:style>
  <w:style w:type="paragraph" w:customStyle="1" w:styleId="11">
    <w:name w:val="p16"/>
    <w:basedOn w:val="1"/>
    <w:qFormat/>
    <w:uiPriority w:val="0"/>
    <w:pPr>
      <w:widowControl/>
    </w:pPr>
    <w:rPr>
      <w:rFonts w:ascii="Times New Roman" w:hAnsi="Times New Roman" w:eastAsia="宋体" w:cs="Times New Roman"/>
      <w:kern w:val="0"/>
      <w:szCs w:val="21"/>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批注框文本 Char"/>
    <w:basedOn w:val="8"/>
    <w:link w:val="4"/>
    <w:semiHidden/>
    <w:qFormat/>
    <w:uiPriority w:val="99"/>
    <w:rPr>
      <w:sz w:val="18"/>
      <w:szCs w:val="1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日期 Char"/>
    <w:basedOn w:val="8"/>
    <w:link w:val="3"/>
    <w:semiHidden/>
    <w:qFormat/>
    <w:uiPriority w:val="99"/>
  </w:style>
  <w:style w:type="paragraph" w:customStyle="1" w:styleId="17">
    <w:name w:val="p18"/>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241</Words>
  <Characters>1376</Characters>
  <Lines>11</Lines>
  <Paragraphs>3</Paragraphs>
  <TotalTime>694</TotalTime>
  <ScaleCrop>false</ScaleCrop>
  <LinksUpToDate>false</LinksUpToDate>
  <CharactersWithSpaces>1614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2020-07-20T00:46:00Z</dcterms:created>
  <dc:creator>lenovo</dc:creator>
  <cp:lastModifiedBy>Administrator</cp:lastModifiedBy>
  <cp:lastPrinted>2020-07-30T02:44:01Z</cp:lastPrinted>
  <dcterms:modified xsi:type="dcterms:W3CDTF">2020-07-30T07:00:14Z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