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7A45AD">
      <w:pPr>
        <w:ind w:left="0" w:leftChars="0" w:firstLine="0" w:firstLineChars="0"/>
        <w:rPr>
          <w:rFonts w:ascii="仿宋_GB2312" w:hAnsi="仿宋_GB2312" w:eastAsia="仿宋_GB2312" w:cs="仿宋_GB2312"/>
          <w:sz w:val="36"/>
          <w:szCs w:val="36"/>
        </w:rPr>
      </w:pPr>
      <w:bookmarkStart w:id="0" w:name="_Hlk57883707"/>
    </w:p>
    <w:p w14:paraId="2919E3DC">
      <w:pPr>
        <w:keepNext w:val="0"/>
        <w:keepLines w:val="0"/>
        <w:pageBreakBefore w:val="0"/>
        <w:widowControl w:val="0"/>
        <w:kinsoku/>
        <w:wordWrap/>
        <w:overflowPunct/>
        <w:topLinePunct w:val="0"/>
        <w:autoSpaceDE/>
        <w:autoSpaceDN/>
        <w:bidi w:val="0"/>
        <w:ind w:firstLine="0" w:firstLineChars="0"/>
        <w:textAlignment w:val="auto"/>
        <w:rPr>
          <w:rFonts w:ascii="仿宋_GB2312" w:hAnsi="仿宋_GB2312" w:eastAsia="仿宋_GB2312" w:cs="仿宋_GB2312"/>
          <w:sz w:val="36"/>
          <w:szCs w:val="36"/>
        </w:rPr>
      </w:pPr>
    </w:p>
    <w:bookmarkEnd w:id="0"/>
    <w:p w14:paraId="61075C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45D0C6FE">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eastAsia" w:ascii="楷体_GB2312" w:eastAsia="楷体_GB2312"/>
          <w:bCs/>
          <w:sz w:val="48"/>
          <w:szCs w:val="48"/>
        </w:rPr>
      </w:pPr>
      <w:r>
        <w:rPr>
          <w:rFonts w:hint="eastAsia" w:ascii="楷体_GB2312" w:eastAsia="楷体_GB2312"/>
          <w:bCs/>
          <w:sz w:val="48"/>
          <w:szCs w:val="48"/>
        </w:rPr>
        <w:t>（生态影响类）</w:t>
      </w:r>
    </w:p>
    <w:p w14:paraId="1AD5597C">
      <w:pPr>
        <w:ind w:left="0" w:leftChars="0" w:firstLine="0" w:firstLineChars="0"/>
        <w:rPr>
          <w:rFonts w:eastAsia="仿宋"/>
          <w:sz w:val="44"/>
          <w:szCs w:val="44"/>
        </w:rPr>
      </w:pPr>
      <w:bookmarkStart w:id="1" w:name="_Hlk57883728"/>
    </w:p>
    <w:p w14:paraId="6F889EAA">
      <w:pPr>
        <w:ind w:firstLine="1040"/>
        <w:rPr>
          <w:rFonts w:eastAsia="仿宋"/>
          <w:sz w:val="44"/>
          <w:szCs w:val="44"/>
        </w:rPr>
      </w:pPr>
    </w:p>
    <w:p w14:paraId="4D41CF37">
      <w:pPr>
        <w:ind w:firstLine="1040"/>
        <w:rPr>
          <w:rFonts w:eastAsia="仿宋"/>
          <w:sz w:val="44"/>
          <w:szCs w:val="44"/>
        </w:rPr>
      </w:pPr>
    </w:p>
    <w:bookmarkEnd w:id="1"/>
    <w:p w14:paraId="18D94E42">
      <w:pPr>
        <w:adjustRightInd w:val="0"/>
        <w:snapToGrid w:val="0"/>
        <w:spacing w:line="288" w:lineRule="auto"/>
        <w:ind w:firstLine="720" w:firstLineChars="200"/>
        <w:rPr>
          <w:rFonts w:hint="eastAsia"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青海省同德县河北乡吾达洼建筑用</w:t>
      </w:r>
    </w:p>
    <w:p w14:paraId="3510EFC5">
      <w:pPr>
        <w:adjustRightInd w:val="0"/>
        <w:snapToGrid w:val="0"/>
        <w:spacing w:line="288" w:lineRule="auto"/>
        <w:ind w:firstLine="2520" w:firstLineChars="700"/>
        <w:rPr>
          <w:rFonts w:hint="default" w:ascii="仿宋_GB2312" w:eastAsia="仿宋_GB2312"/>
          <w:sz w:val="36"/>
          <w:szCs w:val="36"/>
          <w:u w:val="single"/>
          <w:lang w:val="en-US"/>
        </w:rPr>
      </w:pPr>
      <w:r>
        <w:rPr>
          <w:rFonts w:hint="eastAsia" w:ascii="仿宋_GB2312" w:eastAsia="仿宋_GB2312"/>
          <w:sz w:val="36"/>
          <w:szCs w:val="36"/>
          <w:u w:val="single"/>
          <w:lang w:val="en-US" w:eastAsia="zh-CN"/>
        </w:rPr>
        <w:t xml:space="preserve">砂岩矿工程项目                </w:t>
      </w:r>
    </w:p>
    <w:p w14:paraId="47C8395B">
      <w:pPr>
        <w:adjustRightInd w:val="0"/>
        <w:snapToGrid w:val="0"/>
        <w:spacing w:line="288" w:lineRule="auto"/>
        <w:ind w:firstLine="720" w:firstLineChars="200"/>
        <w:rPr>
          <w:rFonts w:hint="default" w:ascii="仿宋_GB2312" w:eastAsia="仿宋_GB2312"/>
          <w:sz w:val="36"/>
          <w:szCs w:val="36"/>
          <w:u w:val="single"/>
          <w:lang w:val="en-US"/>
        </w:rPr>
      </w:pPr>
      <w:r>
        <w:rPr>
          <w:rFonts w:hint="eastAsia" w:ascii="仿宋_GB2312" w:eastAsia="仿宋_GB2312"/>
          <w:sz w:val="36"/>
          <w:szCs w:val="36"/>
        </w:rPr>
        <w:t>建设单位：</w:t>
      </w:r>
      <w:r>
        <w:rPr>
          <w:rFonts w:hint="eastAsia" w:ascii="仿宋_GB2312" w:eastAsia="仿宋_GB2312"/>
          <w:sz w:val="36"/>
          <w:szCs w:val="36"/>
          <w:u w:val="single"/>
          <w:lang w:eastAsia="zh-CN"/>
        </w:rPr>
        <w:t>青海省湟源公路工程建设有限公司</w:t>
      </w:r>
    </w:p>
    <w:p w14:paraId="31266074">
      <w:pPr>
        <w:adjustRightInd w:val="0"/>
        <w:snapToGrid w:val="0"/>
        <w:spacing w:line="288" w:lineRule="auto"/>
        <w:ind w:firstLine="720" w:firstLineChars="200"/>
        <w:rPr>
          <w:rFonts w:hint="eastAsia" w:ascii="仿宋_GB2312" w:eastAsia="仿宋_GB2312"/>
          <w:sz w:val="36"/>
          <w:szCs w:val="36"/>
          <w:u w:val="single"/>
          <w:lang w:val="en-US" w:eastAsia="zh-CN"/>
        </w:rPr>
      </w:pPr>
      <w:r>
        <w:rPr>
          <w:rFonts w:hint="eastAsia" w:ascii="仿宋_GB2312" w:eastAsia="仿宋_GB2312"/>
          <w:sz w:val="36"/>
          <w:szCs w:val="36"/>
        </w:rPr>
        <w:t>编制日期：</w:t>
      </w:r>
      <w:r>
        <w:rPr>
          <w:rFonts w:hint="eastAsia" w:ascii="仿宋_GB2312" w:eastAsia="仿宋_GB2312"/>
          <w:sz w:val="36"/>
          <w:szCs w:val="36"/>
          <w:u w:val="single"/>
          <w:lang w:val="en-US" w:eastAsia="zh-CN"/>
        </w:rPr>
        <w:t>2024.08</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p>
    <w:p w14:paraId="547411F1">
      <w:pPr>
        <w:adjustRightInd w:val="0"/>
        <w:snapToGrid w:val="0"/>
        <w:spacing w:line="288" w:lineRule="auto"/>
        <w:ind w:firstLine="1040"/>
        <w:rPr>
          <w:rFonts w:ascii="仿宋_GB2312" w:eastAsia="仿宋_GB2312"/>
          <w:sz w:val="36"/>
          <w:szCs w:val="36"/>
          <w:u w:val="single"/>
        </w:rPr>
      </w:pPr>
    </w:p>
    <w:p w14:paraId="6DAA8003">
      <w:pPr>
        <w:adjustRightInd w:val="0"/>
        <w:snapToGrid w:val="0"/>
        <w:spacing w:line="288" w:lineRule="auto"/>
        <w:ind w:firstLine="1040"/>
        <w:rPr>
          <w:rFonts w:ascii="仿宋_GB2312" w:eastAsia="仿宋_GB2312"/>
          <w:sz w:val="36"/>
          <w:szCs w:val="36"/>
        </w:rPr>
      </w:pPr>
    </w:p>
    <w:p w14:paraId="1C2ED2B0">
      <w:pPr>
        <w:adjustRightInd w:val="0"/>
        <w:snapToGrid w:val="0"/>
        <w:spacing w:line="288" w:lineRule="auto"/>
        <w:ind w:firstLine="1040"/>
        <w:rPr>
          <w:rFonts w:ascii="仿宋_GB2312" w:eastAsia="仿宋_GB2312"/>
          <w:sz w:val="36"/>
          <w:szCs w:val="36"/>
        </w:rPr>
      </w:pPr>
    </w:p>
    <w:p w14:paraId="431E50EE">
      <w:pPr>
        <w:adjustRightInd w:val="0"/>
        <w:snapToGrid w:val="0"/>
        <w:spacing w:line="288" w:lineRule="auto"/>
        <w:ind w:firstLine="1040"/>
        <w:rPr>
          <w:rFonts w:hint="eastAsia" w:ascii="仿宋_GB2312" w:eastAsia="仿宋_GB2312"/>
          <w:sz w:val="36"/>
          <w:szCs w:val="36"/>
        </w:rPr>
      </w:pPr>
    </w:p>
    <w:p w14:paraId="6AA0EA0B">
      <w:pPr>
        <w:adjustRightInd w:val="0"/>
        <w:snapToGrid w:val="0"/>
        <w:spacing w:line="288" w:lineRule="auto"/>
        <w:ind w:firstLine="1040"/>
        <w:rPr>
          <w:rFonts w:hint="eastAsia" w:ascii="仿宋_GB2312" w:eastAsia="仿宋_GB2312"/>
          <w:sz w:val="36"/>
          <w:szCs w:val="36"/>
        </w:rPr>
      </w:pPr>
    </w:p>
    <w:p w14:paraId="35F7EE8E">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7715A7F6">
      <w:pPr>
        <w:adjustRightInd w:val="0"/>
        <w:snapToGrid w:val="0"/>
        <w:spacing w:line="288" w:lineRule="auto"/>
        <w:ind w:firstLine="1040"/>
        <w:rPr>
          <w:rFonts w:ascii="仿宋_GB2312" w:eastAsia="仿宋_GB2312"/>
          <w:sz w:val="36"/>
          <w:szCs w:val="36"/>
        </w:rPr>
      </w:pPr>
    </w:p>
    <w:p w14:paraId="659E5888">
      <w:pPr>
        <w:pStyle w:val="19"/>
        <w:rPr>
          <w:rFonts w:ascii="仿宋_GB2312" w:eastAsia="仿宋_GB2312"/>
          <w:sz w:val="36"/>
          <w:szCs w:val="36"/>
        </w:rPr>
        <w:sectPr>
          <w:footerReference r:id="rId5" w:type="default"/>
          <w:footerReference r:id="rId6" w:type="even"/>
          <w:pgSz w:w="11906" w:h="16838"/>
          <w:pgMar w:top="1440" w:right="1440" w:bottom="1440" w:left="1701" w:header="851" w:footer="1077" w:gutter="0"/>
          <w:pgBorders>
            <w:top w:val="none" w:sz="0" w:space="0"/>
            <w:left w:val="none" w:sz="0" w:space="0"/>
            <w:bottom w:val="none" w:sz="0" w:space="0"/>
            <w:right w:val="none" w:sz="0" w:space="0"/>
          </w:pgBorders>
          <w:pgNumType w:start="21"/>
          <w:cols w:space="720" w:num="1"/>
          <w:docGrid w:linePitch="312" w:charSpace="0"/>
        </w:sectPr>
      </w:pPr>
    </w:p>
    <w:p w14:paraId="7DA5A75F">
      <w:pPr>
        <w:pStyle w:val="19"/>
        <w:rPr>
          <w:rFonts w:ascii="仿宋_GB2312" w:eastAsia="仿宋_GB2312"/>
          <w:sz w:val="36"/>
          <w:szCs w:val="36"/>
        </w:rPr>
      </w:pPr>
    </w:p>
    <w:p w14:paraId="6E9ABCB1">
      <w:pPr>
        <w:pStyle w:val="19"/>
        <w:rPr>
          <w:rFonts w:ascii="仿宋_GB2312" w:eastAsia="仿宋_GB2312"/>
          <w:sz w:val="36"/>
          <w:szCs w:val="36"/>
        </w:rPr>
        <w:sectPr>
          <w:footerReference r:id="rId7" w:type="default"/>
          <w:pgSz w:w="11906" w:h="16838"/>
          <w:pgMar w:top="1440" w:right="1440" w:bottom="1440" w:left="1701" w:header="851" w:footer="1077" w:gutter="0"/>
          <w:pgBorders>
            <w:top w:val="none" w:sz="0" w:space="0"/>
            <w:left w:val="none" w:sz="0" w:space="0"/>
            <w:bottom w:val="none" w:sz="0" w:space="0"/>
            <w:right w:val="none" w:sz="0" w:space="0"/>
          </w:pgBorders>
          <w:pgNumType w:start="1"/>
          <w:cols w:space="720" w:num="1"/>
          <w:docGrid w:linePitch="312" w:charSpace="0"/>
        </w:sectPr>
      </w:pPr>
    </w:p>
    <w:p w14:paraId="6E7CFCCD">
      <w:pPr>
        <w:pStyle w:val="2"/>
        <w:bidi w:val="0"/>
      </w:pPr>
      <w:r>
        <w:rPr>
          <w:rFonts w:hint="eastAsia"/>
        </w:rPr>
        <w:t>一、建设项目基本情况</w:t>
      </w:r>
    </w:p>
    <w:tbl>
      <w:tblPr>
        <w:tblStyle w:val="23"/>
        <w:tblW w:w="8864"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94"/>
        <w:gridCol w:w="2276"/>
        <w:gridCol w:w="2094"/>
        <w:gridCol w:w="2800"/>
      </w:tblGrid>
      <w:tr w14:paraId="7A68C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1694" w:type="dxa"/>
            <w:noWrap w:val="0"/>
            <w:tcMar>
              <w:top w:w="16" w:type="dxa"/>
              <w:left w:w="16" w:type="dxa"/>
              <w:right w:w="16" w:type="dxa"/>
            </w:tcMar>
            <w:vAlign w:val="center"/>
          </w:tcPr>
          <w:p w14:paraId="7D8BA767">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建设项目名称</w:t>
            </w:r>
          </w:p>
        </w:tc>
        <w:tc>
          <w:tcPr>
            <w:tcW w:w="7170" w:type="dxa"/>
            <w:gridSpan w:val="3"/>
            <w:noWrap w:val="0"/>
            <w:vAlign w:val="center"/>
          </w:tcPr>
          <w:p w14:paraId="336734E2">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青海省同德县河北乡吾达洼建筑用砂岩矿工程项目</w:t>
            </w:r>
          </w:p>
        </w:tc>
      </w:tr>
      <w:tr w14:paraId="5E0F4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1" w:hRule="atLeast"/>
        </w:trPr>
        <w:tc>
          <w:tcPr>
            <w:tcW w:w="1694" w:type="dxa"/>
            <w:noWrap w:val="0"/>
            <w:tcMar>
              <w:top w:w="16" w:type="dxa"/>
              <w:left w:w="16" w:type="dxa"/>
              <w:right w:w="16" w:type="dxa"/>
            </w:tcMar>
            <w:vAlign w:val="center"/>
          </w:tcPr>
          <w:p w14:paraId="6246D8CE">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项目代码</w:t>
            </w:r>
          </w:p>
        </w:tc>
        <w:tc>
          <w:tcPr>
            <w:tcW w:w="7170" w:type="dxa"/>
            <w:gridSpan w:val="3"/>
            <w:noWrap w:val="0"/>
            <w:vAlign w:val="center"/>
          </w:tcPr>
          <w:p w14:paraId="6BC69C42">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2406-632522-04-05-177915</w:t>
            </w:r>
          </w:p>
        </w:tc>
      </w:tr>
      <w:tr w14:paraId="51DCE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694" w:type="dxa"/>
            <w:noWrap w:val="0"/>
            <w:tcMar>
              <w:top w:w="16" w:type="dxa"/>
              <w:left w:w="16" w:type="dxa"/>
              <w:right w:w="16" w:type="dxa"/>
            </w:tcMar>
            <w:vAlign w:val="center"/>
          </w:tcPr>
          <w:p w14:paraId="1C58D35A">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建设单位联系人</w:t>
            </w:r>
          </w:p>
        </w:tc>
        <w:tc>
          <w:tcPr>
            <w:tcW w:w="2276" w:type="dxa"/>
            <w:noWrap w:val="0"/>
            <w:vAlign w:val="center"/>
          </w:tcPr>
          <w:p w14:paraId="296A77EC">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eastAsia="zh-CN"/>
              </w:rPr>
              <w:t>袁富鹏</w:t>
            </w:r>
          </w:p>
        </w:tc>
        <w:tc>
          <w:tcPr>
            <w:tcW w:w="2094" w:type="dxa"/>
            <w:noWrap w:val="0"/>
            <w:vAlign w:val="center"/>
          </w:tcPr>
          <w:p w14:paraId="5E1DCEAE">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联系方式</w:t>
            </w:r>
          </w:p>
        </w:tc>
        <w:tc>
          <w:tcPr>
            <w:tcW w:w="2800" w:type="dxa"/>
            <w:noWrap w:val="0"/>
            <w:vAlign w:val="center"/>
          </w:tcPr>
          <w:p w14:paraId="3EDCE884">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eastAsia="zh-CN"/>
              </w:rPr>
              <w:t>17709721476</w:t>
            </w:r>
          </w:p>
        </w:tc>
      </w:tr>
      <w:tr w14:paraId="7DC3B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4" w:hRule="atLeast"/>
        </w:trPr>
        <w:tc>
          <w:tcPr>
            <w:tcW w:w="1694" w:type="dxa"/>
            <w:noWrap w:val="0"/>
            <w:tcMar>
              <w:top w:w="16" w:type="dxa"/>
              <w:left w:w="16" w:type="dxa"/>
              <w:right w:w="16" w:type="dxa"/>
            </w:tcMar>
            <w:vAlign w:val="center"/>
          </w:tcPr>
          <w:p w14:paraId="1812539F">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建设地点</w:t>
            </w:r>
          </w:p>
        </w:tc>
        <w:tc>
          <w:tcPr>
            <w:tcW w:w="7170" w:type="dxa"/>
            <w:gridSpan w:val="3"/>
            <w:noWrap w:val="0"/>
            <w:vAlign w:val="center"/>
          </w:tcPr>
          <w:p w14:paraId="475EB400">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u w:val="none"/>
              </w:rPr>
              <w:t>青海省同德县河北乡东北侧约23km处</w:t>
            </w:r>
          </w:p>
        </w:tc>
      </w:tr>
      <w:tr w14:paraId="44A96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2" w:hRule="atLeast"/>
        </w:trPr>
        <w:tc>
          <w:tcPr>
            <w:tcW w:w="1694" w:type="dxa"/>
            <w:noWrap w:val="0"/>
            <w:tcMar>
              <w:top w:w="16" w:type="dxa"/>
              <w:left w:w="16" w:type="dxa"/>
              <w:right w:w="16" w:type="dxa"/>
            </w:tcMar>
            <w:vAlign w:val="center"/>
          </w:tcPr>
          <w:p w14:paraId="3A727AA8">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地理坐标</w:t>
            </w:r>
          </w:p>
        </w:tc>
        <w:tc>
          <w:tcPr>
            <w:tcW w:w="7170" w:type="dxa"/>
            <w:gridSpan w:val="3"/>
            <w:noWrap w:val="0"/>
            <w:vAlign w:val="center"/>
          </w:tcPr>
          <w:p w14:paraId="55733C81">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w:t>
            </w:r>
            <w:r>
              <w:rPr>
                <w:rFonts w:hint="default" w:ascii="Times New Roman" w:hAnsi="Times New Roman" w:eastAsia="宋体" w:cs="Times New Roman"/>
                <w:szCs w:val="21"/>
                <w:u w:val="single"/>
                <w:lang w:val="en-US" w:eastAsia="zh-CN"/>
              </w:rPr>
              <w:t>100</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rPr>
              <w:t>度</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u w:val="single"/>
                <w:lang w:val="en-US" w:eastAsia="zh-CN"/>
              </w:rPr>
              <w:t>54</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rPr>
              <w:t>分</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u w:val="single"/>
                <w:lang w:val="en-US" w:eastAsia="zh-CN"/>
              </w:rPr>
              <w:t>21</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rPr>
              <w:t>秒，</w:t>
            </w:r>
            <w:r>
              <w:rPr>
                <w:rFonts w:hint="default" w:ascii="Times New Roman" w:hAnsi="Times New Roman" w:eastAsia="宋体" w:cs="Times New Roman"/>
                <w:szCs w:val="21"/>
                <w:u w:val="single"/>
                <w:lang w:val="en-US" w:eastAsia="zh-CN"/>
              </w:rPr>
              <w:t>34</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rPr>
              <w:t>度</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u w:val="single"/>
                <w:lang w:val="en-US" w:eastAsia="zh-CN"/>
              </w:rPr>
              <w:t>54</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rPr>
              <w:t>分</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u w:val="single"/>
                <w:lang w:val="en-US" w:eastAsia="zh-CN"/>
              </w:rPr>
              <w:t>33</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rPr>
              <w:t>秒）</w:t>
            </w:r>
          </w:p>
        </w:tc>
      </w:tr>
      <w:tr w14:paraId="04B2A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9" w:hRule="atLeast"/>
        </w:trPr>
        <w:tc>
          <w:tcPr>
            <w:tcW w:w="1694" w:type="dxa"/>
            <w:noWrap w:val="0"/>
            <w:tcMar>
              <w:top w:w="16" w:type="dxa"/>
              <w:left w:w="16" w:type="dxa"/>
              <w:right w:w="16" w:type="dxa"/>
            </w:tcMar>
            <w:vAlign w:val="center"/>
          </w:tcPr>
          <w:p w14:paraId="6DC387BA">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建设项目</w:t>
            </w:r>
          </w:p>
          <w:p w14:paraId="57950879">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行业类别</w:t>
            </w:r>
          </w:p>
        </w:tc>
        <w:tc>
          <w:tcPr>
            <w:tcW w:w="2276" w:type="dxa"/>
            <w:noWrap w:val="0"/>
            <w:vAlign w:val="center"/>
          </w:tcPr>
          <w:p w14:paraId="7283CA3F">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color w:val="000000"/>
                <w:kern w:val="0"/>
                <w:szCs w:val="21"/>
                <w:lang w:val="en-US" w:eastAsia="zh-CN" w:bidi="ar"/>
              </w:rPr>
              <w:t>八</w:t>
            </w:r>
            <w:r>
              <w:rPr>
                <w:rFonts w:hint="default" w:ascii="Times New Roman" w:hAnsi="Times New Roman" w:eastAsia="宋体" w:cs="Times New Roman"/>
                <w:color w:val="000000"/>
                <w:kern w:val="0"/>
                <w:szCs w:val="21"/>
                <w:lang w:bidi="ar"/>
              </w:rPr>
              <w:t>、非金属矿</w:t>
            </w:r>
            <w:r>
              <w:rPr>
                <w:rFonts w:hint="default" w:ascii="Times New Roman" w:hAnsi="Times New Roman" w:eastAsia="宋体" w:cs="Times New Roman"/>
                <w:color w:val="000000"/>
                <w:kern w:val="0"/>
                <w:szCs w:val="21"/>
                <w:lang w:val="en-US" w:eastAsia="zh-CN" w:bidi="ar"/>
              </w:rPr>
              <w:t>采选业10——11.土砂石开采101（不含河道采砂项目）——其他</w:t>
            </w:r>
          </w:p>
        </w:tc>
        <w:tc>
          <w:tcPr>
            <w:tcW w:w="2094" w:type="dxa"/>
            <w:noWrap w:val="0"/>
            <w:vAlign w:val="center"/>
          </w:tcPr>
          <w:p w14:paraId="74446BB9">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用地（用海）面积（m</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）/长度（km）</w:t>
            </w:r>
          </w:p>
        </w:tc>
        <w:tc>
          <w:tcPr>
            <w:tcW w:w="2800" w:type="dxa"/>
            <w:noWrap w:val="0"/>
            <w:vAlign w:val="center"/>
          </w:tcPr>
          <w:p w14:paraId="3DCB7803">
            <w:pPr>
              <w:keepNext w:val="0"/>
              <w:keepLines w:val="0"/>
              <w:pageBreakBefore w:val="0"/>
              <w:widowControl w:val="0"/>
              <w:suppressLineNumbers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color w:val="0000FC"/>
                <w:szCs w:val="21"/>
                <w:u w:val="none"/>
                <w:lang w:val="en-US" w:eastAsia="zh-CN"/>
              </w:rPr>
              <w:t>418796</w:t>
            </w:r>
            <w:r>
              <w:rPr>
                <w:rFonts w:hint="default" w:ascii="Times New Roman" w:hAnsi="Times New Roman" w:eastAsia="宋体" w:cs="Times New Roman"/>
                <w:szCs w:val="21"/>
                <w:u w:val="none"/>
                <w:lang w:val="en-US" w:eastAsia="zh-CN"/>
              </w:rPr>
              <w:t>m</w:t>
            </w:r>
            <w:r>
              <w:rPr>
                <w:rFonts w:hint="default" w:ascii="Times New Roman" w:hAnsi="Times New Roman" w:eastAsia="宋体" w:cs="Times New Roman"/>
                <w:szCs w:val="21"/>
                <w:u w:val="none"/>
                <w:vertAlign w:val="superscript"/>
                <w:lang w:val="en-US" w:eastAsia="zh-CN"/>
              </w:rPr>
              <w:t>2</w:t>
            </w:r>
          </w:p>
        </w:tc>
      </w:tr>
      <w:tr w14:paraId="16BCB3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694" w:type="dxa"/>
            <w:noWrap w:val="0"/>
            <w:tcMar>
              <w:top w:w="16" w:type="dxa"/>
              <w:left w:w="16" w:type="dxa"/>
              <w:right w:w="16" w:type="dxa"/>
            </w:tcMar>
            <w:vAlign w:val="center"/>
          </w:tcPr>
          <w:p w14:paraId="659712AC">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建设性质</w:t>
            </w:r>
          </w:p>
        </w:tc>
        <w:tc>
          <w:tcPr>
            <w:tcW w:w="2276" w:type="dxa"/>
            <w:noWrap w:val="0"/>
            <w:vAlign w:val="center"/>
          </w:tcPr>
          <w:p w14:paraId="7706CC7B">
            <w:pPr>
              <w:keepNext w:val="0"/>
              <w:keepLines w:val="0"/>
              <w:pageBreakBefore w:val="0"/>
              <w:widowControl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新建（迁建）</w:t>
            </w:r>
          </w:p>
          <w:p w14:paraId="5BC80D79">
            <w:pPr>
              <w:keepNext w:val="0"/>
              <w:keepLines w:val="0"/>
              <w:pageBreakBefore w:val="0"/>
              <w:widowControl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□改建</w:t>
            </w:r>
          </w:p>
          <w:p w14:paraId="600E64D1">
            <w:pPr>
              <w:keepNext w:val="0"/>
              <w:keepLines w:val="0"/>
              <w:pageBreakBefore w:val="0"/>
              <w:widowControl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□扩建</w:t>
            </w:r>
          </w:p>
          <w:p w14:paraId="0AB470C1">
            <w:pPr>
              <w:keepNext w:val="0"/>
              <w:keepLines w:val="0"/>
              <w:pageBreakBefore w:val="0"/>
              <w:widowControl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□技术改造</w:t>
            </w:r>
          </w:p>
        </w:tc>
        <w:tc>
          <w:tcPr>
            <w:tcW w:w="2094" w:type="dxa"/>
            <w:noWrap w:val="0"/>
            <w:vAlign w:val="center"/>
          </w:tcPr>
          <w:p w14:paraId="3E68FC75">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建设项目</w:t>
            </w:r>
          </w:p>
          <w:p w14:paraId="09377DCD">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申报情形</w:t>
            </w:r>
          </w:p>
        </w:tc>
        <w:tc>
          <w:tcPr>
            <w:tcW w:w="2800" w:type="dxa"/>
            <w:noWrap w:val="0"/>
            <w:vAlign w:val="center"/>
          </w:tcPr>
          <w:p w14:paraId="35E30532">
            <w:pPr>
              <w:keepNext w:val="0"/>
              <w:keepLines w:val="0"/>
              <w:pageBreakBefore w:val="0"/>
              <w:widowControl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首次申报项目</w:t>
            </w:r>
          </w:p>
          <w:p w14:paraId="300B2E0B">
            <w:pPr>
              <w:keepNext w:val="0"/>
              <w:keepLines w:val="0"/>
              <w:pageBreakBefore w:val="0"/>
              <w:widowControl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□不予批准后再次申报项目</w:t>
            </w:r>
          </w:p>
          <w:p w14:paraId="4D01921D">
            <w:pPr>
              <w:keepNext w:val="0"/>
              <w:keepLines w:val="0"/>
              <w:pageBreakBefore w:val="0"/>
              <w:widowControl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□超五年重新审核项目</w:t>
            </w:r>
          </w:p>
          <w:p w14:paraId="36E16CDC">
            <w:pPr>
              <w:keepNext w:val="0"/>
              <w:keepLines w:val="0"/>
              <w:pageBreakBefore w:val="0"/>
              <w:widowControl w:val="0"/>
              <w:kinsoku/>
              <w:wordWrap/>
              <w:overflowPunct/>
              <w:topLinePunct w:val="0"/>
              <w:bidi w:val="0"/>
              <w:adjustRightInd/>
              <w:snapToGrid/>
              <w:spacing w:line="288" w:lineRule="auto"/>
              <w:ind w:firstLine="0" w:firstLineChars="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□重大变动重新报批项目</w:t>
            </w:r>
          </w:p>
        </w:tc>
      </w:tr>
      <w:tr w14:paraId="69C54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53" w:hRule="atLeast"/>
        </w:trPr>
        <w:tc>
          <w:tcPr>
            <w:tcW w:w="1694" w:type="dxa"/>
            <w:noWrap w:val="0"/>
            <w:tcMar>
              <w:top w:w="16" w:type="dxa"/>
              <w:left w:w="16" w:type="dxa"/>
              <w:right w:w="16" w:type="dxa"/>
            </w:tcMar>
            <w:vAlign w:val="center"/>
          </w:tcPr>
          <w:p w14:paraId="4F16322A">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项目审批（核准/备案）部门</w:t>
            </w:r>
          </w:p>
        </w:tc>
        <w:tc>
          <w:tcPr>
            <w:tcW w:w="2276" w:type="dxa"/>
            <w:noWrap w:val="0"/>
            <w:vAlign w:val="center"/>
          </w:tcPr>
          <w:p w14:paraId="205F0A79">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同德县发展和改革局</w:t>
            </w:r>
          </w:p>
        </w:tc>
        <w:tc>
          <w:tcPr>
            <w:tcW w:w="2094" w:type="dxa"/>
            <w:noWrap w:val="0"/>
            <w:vAlign w:val="center"/>
          </w:tcPr>
          <w:p w14:paraId="32B57389">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项目审批（核准/</w:t>
            </w:r>
          </w:p>
          <w:p w14:paraId="721610AC">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备案）文号</w:t>
            </w:r>
          </w:p>
        </w:tc>
        <w:tc>
          <w:tcPr>
            <w:tcW w:w="2800" w:type="dxa"/>
            <w:noWrap w:val="0"/>
            <w:vAlign w:val="center"/>
          </w:tcPr>
          <w:p w14:paraId="53CC3379">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r>
      <w:tr w14:paraId="20B5E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1" w:hRule="atLeast"/>
        </w:trPr>
        <w:tc>
          <w:tcPr>
            <w:tcW w:w="1694" w:type="dxa"/>
            <w:noWrap w:val="0"/>
            <w:tcMar>
              <w:top w:w="16" w:type="dxa"/>
              <w:left w:w="16" w:type="dxa"/>
              <w:right w:w="16" w:type="dxa"/>
            </w:tcMar>
            <w:vAlign w:val="center"/>
          </w:tcPr>
          <w:p w14:paraId="24D6E051">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总投资（万元）</w:t>
            </w:r>
          </w:p>
        </w:tc>
        <w:tc>
          <w:tcPr>
            <w:tcW w:w="2276" w:type="dxa"/>
            <w:noWrap w:val="0"/>
            <w:vAlign w:val="center"/>
          </w:tcPr>
          <w:p w14:paraId="5779CB82">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3518</w:t>
            </w:r>
          </w:p>
        </w:tc>
        <w:tc>
          <w:tcPr>
            <w:tcW w:w="2094" w:type="dxa"/>
            <w:noWrap w:val="0"/>
            <w:tcMar>
              <w:top w:w="16" w:type="dxa"/>
              <w:left w:w="16" w:type="dxa"/>
              <w:right w:w="16" w:type="dxa"/>
            </w:tcMar>
            <w:vAlign w:val="center"/>
          </w:tcPr>
          <w:p w14:paraId="7C6603FC">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环保投资（万元）</w:t>
            </w:r>
          </w:p>
        </w:tc>
        <w:tc>
          <w:tcPr>
            <w:tcW w:w="2800" w:type="dxa"/>
            <w:noWrap w:val="0"/>
            <w:vAlign w:val="center"/>
          </w:tcPr>
          <w:p w14:paraId="0EC86C0B">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145.5</w:t>
            </w:r>
          </w:p>
        </w:tc>
      </w:tr>
      <w:tr w14:paraId="176AB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694" w:type="dxa"/>
            <w:noWrap w:val="0"/>
            <w:tcMar>
              <w:top w:w="16" w:type="dxa"/>
              <w:left w:w="16" w:type="dxa"/>
              <w:right w:w="16" w:type="dxa"/>
            </w:tcMar>
            <w:vAlign w:val="center"/>
          </w:tcPr>
          <w:p w14:paraId="2BA34F50">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环保投资占比（%）</w:t>
            </w:r>
          </w:p>
        </w:tc>
        <w:tc>
          <w:tcPr>
            <w:tcW w:w="2276" w:type="dxa"/>
            <w:noWrap w:val="0"/>
            <w:vAlign w:val="center"/>
          </w:tcPr>
          <w:p w14:paraId="59FA7257">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4.14</w:t>
            </w:r>
          </w:p>
        </w:tc>
        <w:tc>
          <w:tcPr>
            <w:tcW w:w="2094" w:type="dxa"/>
            <w:noWrap w:val="0"/>
            <w:tcMar>
              <w:top w:w="16" w:type="dxa"/>
              <w:left w:w="16" w:type="dxa"/>
              <w:right w:w="16" w:type="dxa"/>
            </w:tcMar>
            <w:vAlign w:val="center"/>
          </w:tcPr>
          <w:p w14:paraId="27846FC5">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rPr>
              <w:t>施工工期</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月</w:t>
            </w:r>
            <w:r>
              <w:rPr>
                <w:rFonts w:hint="default" w:ascii="Times New Roman" w:hAnsi="Times New Roman" w:eastAsia="宋体" w:cs="Times New Roman"/>
                <w:szCs w:val="21"/>
                <w:lang w:eastAsia="zh-CN"/>
              </w:rPr>
              <w:t>）</w:t>
            </w:r>
          </w:p>
        </w:tc>
        <w:tc>
          <w:tcPr>
            <w:tcW w:w="2800" w:type="dxa"/>
            <w:noWrap w:val="0"/>
            <w:vAlign w:val="center"/>
          </w:tcPr>
          <w:p w14:paraId="6802F8B4">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w:t>
            </w:r>
          </w:p>
        </w:tc>
      </w:tr>
      <w:tr w14:paraId="097AB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96" w:hRule="atLeast"/>
        </w:trPr>
        <w:tc>
          <w:tcPr>
            <w:tcW w:w="1694" w:type="dxa"/>
            <w:noWrap w:val="0"/>
            <w:tcMar>
              <w:top w:w="16" w:type="dxa"/>
              <w:left w:w="16" w:type="dxa"/>
              <w:right w:w="16" w:type="dxa"/>
            </w:tcMar>
            <w:vAlign w:val="center"/>
          </w:tcPr>
          <w:p w14:paraId="193FE0E9">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是否开工建设</w:t>
            </w:r>
          </w:p>
        </w:tc>
        <w:tc>
          <w:tcPr>
            <w:tcW w:w="7170" w:type="dxa"/>
            <w:gridSpan w:val="3"/>
            <w:noWrap w:val="0"/>
            <w:vAlign w:val="center"/>
          </w:tcPr>
          <w:p w14:paraId="319A3178">
            <w:pPr>
              <w:keepNext w:val="0"/>
              <w:keepLines w:val="0"/>
              <w:pageBreakBefore w:val="0"/>
              <w:widowControl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否</w:t>
            </w:r>
          </w:p>
          <w:p w14:paraId="50D813D1">
            <w:pPr>
              <w:keepNext w:val="0"/>
              <w:keepLines w:val="0"/>
              <w:pageBreakBefore w:val="0"/>
              <w:widowControl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□是：</w:t>
            </w:r>
            <w:r>
              <w:rPr>
                <w:rFonts w:hint="default" w:ascii="Times New Roman" w:hAnsi="Times New Roman" w:eastAsia="宋体" w:cs="Times New Roman"/>
                <w:szCs w:val="21"/>
                <w:u w:val="single"/>
              </w:rPr>
              <w:t xml:space="preserve">                             </w:t>
            </w:r>
          </w:p>
        </w:tc>
      </w:tr>
      <w:tr w14:paraId="02A59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1" w:hRule="atLeast"/>
        </w:trPr>
        <w:tc>
          <w:tcPr>
            <w:tcW w:w="1694" w:type="dxa"/>
            <w:noWrap w:val="0"/>
            <w:tcMar>
              <w:top w:w="16" w:type="dxa"/>
              <w:left w:w="16" w:type="dxa"/>
              <w:right w:w="16" w:type="dxa"/>
            </w:tcMar>
            <w:vAlign w:val="center"/>
          </w:tcPr>
          <w:p w14:paraId="6935D9FA">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专项评价设置情况</w:t>
            </w:r>
          </w:p>
        </w:tc>
        <w:tc>
          <w:tcPr>
            <w:tcW w:w="7170" w:type="dxa"/>
            <w:gridSpan w:val="3"/>
            <w:noWrap w:val="0"/>
            <w:tcMar>
              <w:top w:w="16" w:type="dxa"/>
              <w:left w:w="16" w:type="dxa"/>
              <w:right w:w="16" w:type="dxa"/>
            </w:tcMar>
            <w:vAlign w:val="center"/>
          </w:tcPr>
          <w:p w14:paraId="67D97A1A">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w:t>
            </w:r>
          </w:p>
        </w:tc>
      </w:tr>
      <w:tr w14:paraId="7D76D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1" w:hRule="atLeast"/>
        </w:trPr>
        <w:tc>
          <w:tcPr>
            <w:tcW w:w="1694" w:type="dxa"/>
            <w:noWrap w:val="0"/>
            <w:tcMar>
              <w:top w:w="16" w:type="dxa"/>
              <w:left w:w="16" w:type="dxa"/>
              <w:right w:w="16" w:type="dxa"/>
            </w:tcMar>
            <w:vAlign w:val="center"/>
          </w:tcPr>
          <w:p w14:paraId="6EBABD2F">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color w:val="FF0000"/>
                <w:szCs w:val="21"/>
                <w:highlight w:val="none"/>
              </w:rPr>
              <w:t>规划情况</w:t>
            </w:r>
          </w:p>
        </w:tc>
        <w:tc>
          <w:tcPr>
            <w:tcW w:w="7170" w:type="dxa"/>
            <w:gridSpan w:val="3"/>
            <w:noWrap w:val="0"/>
            <w:tcMar>
              <w:top w:w="16" w:type="dxa"/>
              <w:left w:w="16" w:type="dxa"/>
              <w:right w:w="16" w:type="dxa"/>
            </w:tcMar>
            <w:vAlign w:val="center"/>
          </w:tcPr>
          <w:p w14:paraId="35543355">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color w:val="FF0000"/>
                <w:kern w:val="0"/>
                <w:szCs w:val="21"/>
                <w:lang w:val="en-US" w:eastAsia="zh-CN"/>
              </w:rPr>
            </w:pPr>
            <w:r>
              <w:rPr>
                <w:rFonts w:hint="default" w:ascii="Times New Roman" w:hAnsi="Times New Roman" w:eastAsia="宋体" w:cs="Times New Roman"/>
                <w:color w:val="FF0000"/>
                <w:kern w:val="0"/>
                <w:szCs w:val="21"/>
                <w:lang w:val="en-US" w:eastAsia="zh-CN"/>
              </w:rPr>
              <w:t>《青海省矿产资源总体规划（2021</w:t>
            </w:r>
            <w:r>
              <w:rPr>
                <w:rFonts w:hint="eastAsia" w:cs="Times New Roman"/>
                <w:color w:val="FF0000"/>
                <w:kern w:val="0"/>
                <w:szCs w:val="21"/>
                <w:lang w:val="en-US" w:eastAsia="zh-CN"/>
              </w:rPr>
              <w:t>-</w:t>
            </w:r>
            <w:r>
              <w:rPr>
                <w:rFonts w:hint="default" w:ascii="Times New Roman" w:hAnsi="Times New Roman" w:eastAsia="宋体" w:cs="Times New Roman"/>
                <w:color w:val="FF0000"/>
                <w:kern w:val="0"/>
                <w:szCs w:val="21"/>
                <w:lang w:val="en-US" w:eastAsia="zh-CN"/>
              </w:rPr>
              <w:t>2025年）》</w:t>
            </w:r>
          </w:p>
          <w:p w14:paraId="550E81FE">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color w:val="FF0000"/>
                <w:kern w:val="0"/>
                <w:szCs w:val="21"/>
                <w:lang w:val="en-US" w:eastAsia="zh-CN"/>
              </w:rPr>
            </w:pPr>
            <w:r>
              <w:rPr>
                <w:rFonts w:hint="default" w:ascii="Times New Roman" w:hAnsi="Times New Roman" w:eastAsia="宋体" w:cs="Times New Roman"/>
                <w:color w:val="FF0000"/>
                <w:kern w:val="0"/>
                <w:szCs w:val="21"/>
                <w:lang w:val="en-US" w:eastAsia="zh-CN"/>
              </w:rPr>
              <w:t>《同德县矿产资源总体规划（2021-2025）》</w:t>
            </w:r>
          </w:p>
          <w:p w14:paraId="458ED47A">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color w:val="FF0000"/>
                <w:kern w:val="0"/>
                <w:szCs w:val="21"/>
                <w:lang w:val="en-US" w:eastAsia="zh-CN"/>
              </w:rPr>
              <w:t>《同德县国土空间总体规划</w:t>
            </w:r>
            <w:r>
              <w:rPr>
                <w:rFonts w:hint="eastAsia" w:cs="Times New Roman"/>
                <w:color w:val="FF0000"/>
                <w:kern w:val="0"/>
                <w:szCs w:val="21"/>
                <w:lang w:val="en-US" w:eastAsia="zh-CN"/>
              </w:rPr>
              <w:t>（</w:t>
            </w:r>
            <w:r>
              <w:rPr>
                <w:rFonts w:hint="default" w:ascii="Times New Roman" w:hAnsi="Times New Roman" w:eastAsia="宋体" w:cs="Times New Roman"/>
                <w:color w:val="FF0000"/>
                <w:kern w:val="0"/>
                <w:szCs w:val="21"/>
                <w:lang w:val="en-US" w:eastAsia="zh-CN"/>
              </w:rPr>
              <w:t>2021-2035年</w:t>
            </w:r>
            <w:r>
              <w:rPr>
                <w:rFonts w:hint="eastAsia" w:cs="Times New Roman"/>
                <w:color w:val="FF0000"/>
                <w:kern w:val="0"/>
                <w:szCs w:val="21"/>
                <w:lang w:val="en-US" w:eastAsia="zh-CN"/>
              </w:rPr>
              <w:t>）</w:t>
            </w:r>
            <w:r>
              <w:rPr>
                <w:rFonts w:hint="default" w:ascii="Times New Roman" w:hAnsi="Times New Roman" w:eastAsia="宋体" w:cs="Times New Roman"/>
                <w:color w:val="FF0000"/>
                <w:kern w:val="0"/>
                <w:szCs w:val="21"/>
                <w:lang w:val="en-US" w:eastAsia="zh-CN"/>
              </w:rPr>
              <w:t>》</w:t>
            </w:r>
          </w:p>
        </w:tc>
      </w:tr>
      <w:tr w14:paraId="23D8E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5" w:hRule="atLeast"/>
        </w:trPr>
        <w:tc>
          <w:tcPr>
            <w:tcW w:w="1694" w:type="dxa"/>
            <w:noWrap w:val="0"/>
            <w:tcMar>
              <w:top w:w="16" w:type="dxa"/>
              <w:left w:w="16" w:type="dxa"/>
              <w:right w:w="16" w:type="dxa"/>
            </w:tcMar>
            <w:vAlign w:val="center"/>
          </w:tcPr>
          <w:p w14:paraId="331C94FC">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规划环境影响</w:t>
            </w:r>
          </w:p>
          <w:p w14:paraId="42076338">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color w:val="FF0000"/>
                <w:kern w:val="0"/>
                <w:szCs w:val="21"/>
              </w:rPr>
            </w:pPr>
            <w:r>
              <w:rPr>
                <w:rFonts w:hint="default" w:ascii="Times New Roman" w:hAnsi="Times New Roman" w:eastAsia="宋体" w:cs="Times New Roman"/>
                <w:color w:val="FF0000"/>
                <w:szCs w:val="21"/>
              </w:rPr>
              <w:t>评价情况</w:t>
            </w:r>
          </w:p>
        </w:tc>
        <w:tc>
          <w:tcPr>
            <w:tcW w:w="7170" w:type="dxa"/>
            <w:gridSpan w:val="3"/>
            <w:noWrap w:val="0"/>
            <w:tcMar>
              <w:top w:w="16" w:type="dxa"/>
              <w:left w:w="16" w:type="dxa"/>
              <w:right w:w="16" w:type="dxa"/>
            </w:tcMar>
            <w:vAlign w:val="center"/>
          </w:tcPr>
          <w:p w14:paraId="2CCF41DA">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color w:val="FF0000"/>
                <w:kern w:val="0"/>
                <w:szCs w:val="21"/>
                <w:lang w:val="en-US" w:eastAsia="zh-CN"/>
              </w:rPr>
            </w:pPr>
            <w:r>
              <w:rPr>
                <w:color w:val="FF0000"/>
                <w:highlight w:val="none"/>
                <w:u w:val="none"/>
              </w:rPr>
              <w:t>《青海省矿产资源总体规划（2021-2025年）环境影响报告书》于2022年7月21日通过环保部审查，文号：环审</w:t>
            </w:r>
            <w:r>
              <w:rPr>
                <w:rFonts w:hint="eastAsia"/>
                <w:color w:val="FF0000"/>
                <w:highlight w:val="none"/>
                <w:u w:val="none"/>
                <w:lang w:eastAsia="zh-CN"/>
              </w:rPr>
              <w:t>〔</w:t>
            </w:r>
            <w:r>
              <w:rPr>
                <w:color w:val="FF0000"/>
                <w:highlight w:val="none"/>
                <w:u w:val="none"/>
              </w:rPr>
              <w:t>2022</w:t>
            </w:r>
            <w:r>
              <w:rPr>
                <w:rFonts w:hint="eastAsia"/>
                <w:color w:val="FF0000"/>
                <w:highlight w:val="none"/>
                <w:u w:val="none"/>
                <w:lang w:eastAsia="zh-CN"/>
              </w:rPr>
              <w:t>〕</w:t>
            </w:r>
            <w:r>
              <w:rPr>
                <w:color w:val="FF0000"/>
                <w:highlight w:val="none"/>
                <w:u w:val="none"/>
              </w:rPr>
              <w:t>111号</w:t>
            </w:r>
          </w:p>
        </w:tc>
      </w:tr>
      <w:tr w14:paraId="740D81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0" w:hRule="atLeast"/>
        </w:trPr>
        <w:tc>
          <w:tcPr>
            <w:tcW w:w="1694" w:type="dxa"/>
            <w:noWrap w:val="0"/>
            <w:tcMar>
              <w:top w:w="16" w:type="dxa"/>
              <w:left w:w="16" w:type="dxa"/>
              <w:right w:w="16" w:type="dxa"/>
            </w:tcMar>
            <w:vAlign w:val="center"/>
          </w:tcPr>
          <w:p w14:paraId="097BAE0B">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规划及</w:t>
            </w:r>
            <w:r>
              <w:rPr>
                <w:rFonts w:hint="default" w:ascii="Times New Roman" w:hAnsi="Times New Roman" w:eastAsia="宋体" w:cs="Times New Roman"/>
                <w:szCs w:val="21"/>
              </w:rPr>
              <w:t>规划环境影响评价</w:t>
            </w:r>
            <w:r>
              <w:rPr>
                <w:rFonts w:hint="default" w:ascii="Times New Roman" w:hAnsi="Times New Roman" w:eastAsia="宋体" w:cs="Times New Roman"/>
                <w:kern w:val="0"/>
                <w:szCs w:val="21"/>
              </w:rPr>
              <w:t>符合性分析</w:t>
            </w:r>
          </w:p>
        </w:tc>
        <w:tc>
          <w:tcPr>
            <w:tcW w:w="7170" w:type="dxa"/>
            <w:gridSpan w:val="3"/>
            <w:noWrap w:val="0"/>
            <w:tcMar>
              <w:top w:w="16" w:type="dxa"/>
              <w:left w:w="16" w:type="dxa"/>
              <w:right w:w="16" w:type="dxa"/>
            </w:tcMar>
            <w:vAlign w:val="center"/>
          </w:tcPr>
          <w:p w14:paraId="11DAD8D3">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FF0000"/>
                <w:kern w:val="0"/>
                <w:sz w:val="24"/>
                <w:szCs w:val="24"/>
                <w:lang w:val="en-US" w:eastAsia="zh-CN"/>
              </w:rPr>
            </w:pPr>
            <w:r>
              <w:rPr>
                <w:rFonts w:hint="default" w:ascii="Times New Roman" w:hAnsi="Times New Roman" w:eastAsia="宋体" w:cs="Times New Roman"/>
                <w:b/>
                <w:bCs/>
                <w:color w:val="FF0000"/>
                <w:kern w:val="0"/>
                <w:szCs w:val="21"/>
                <w:lang w:val="en-US" w:eastAsia="zh-CN"/>
              </w:rPr>
              <w:t>1、与《青海省矿产资源总体规划（2021-2025年）》符合性分析</w:t>
            </w:r>
          </w:p>
          <w:p w14:paraId="4D9B31C0">
            <w:pPr>
              <w:pStyle w:val="20"/>
              <w:keepNext w:val="0"/>
              <w:keepLines w:val="0"/>
              <w:pageBreakBefore w:val="0"/>
              <w:widowControl w:val="0"/>
              <w:numPr>
                <w:ilvl w:val="0"/>
                <w:numId w:val="0"/>
              </w:numPr>
              <w:kinsoku/>
              <w:wordWrap/>
              <w:overflowPunct w:val="0"/>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cs="Times New Roman"/>
                <w:color w:val="FF0000"/>
                <w:sz w:val="24"/>
                <w:szCs w:val="24"/>
                <w:highlight w:val="none"/>
                <w:vertAlign w:val="baseline"/>
                <w:lang w:val="en-US" w:eastAsia="zh-CN"/>
              </w:rPr>
            </w:pPr>
            <w:r>
              <w:rPr>
                <w:rFonts w:hint="eastAsia" w:ascii="Times New Roman" w:hAnsi="Times New Roman" w:cs="Times New Roman"/>
                <w:color w:val="FF0000"/>
                <w:sz w:val="24"/>
                <w:szCs w:val="24"/>
                <w:highlight w:val="none"/>
                <w:vertAlign w:val="baseline"/>
                <w:lang w:val="en-US" w:eastAsia="zh-CN"/>
              </w:rPr>
              <w:t>《青海省矿产资源总体规划》（2021-2035年），已获自然资源部批准，2022年9月23日由青海省政府办公厅发布实施。</w:t>
            </w:r>
            <w:r>
              <w:rPr>
                <w:color w:val="FF0000"/>
                <w:highlight w:val="none"/>
                <w:u w:val="none"/>
              </w:rPr>
              <w:t>本项目与</w:t>
            </w:r>
            <w:r>
              <w:rPr>
                <w:rFonts w:hint="eastAsia"/>
                <w:color w:val="FF0000"/>
                <w:highlight w:val="none"/>
                <w:u w:val="none"/>
                <w:lang w:val="en-US" w:eastAsia="zh-CN"/>
              </w:rPr>
              <w:t>该</w:t>
            </w:r>
            <w:r>
              <w:rPr>
                <w:color w:val="FF0000"/>
                <w:highlight w:val="none"/>
                <w:u w:val="none"/>
              </w:rPr>
              <w:t>规划符合性分析</w:t>
            </w:r>
            <w:r>
              <w:rPr>
                <w:rFonts w:hint="eastAsia"/>
                <w:color w:val="FF0000"/>
                <w:highlight w:val="none"/>
                <w:u w:val="none"/>
                <w:lang w:val="en-US" w:eastAsia="zh-CN"/>
              </w:rPr>
              <w:t>详</w:t>
            </w:r>
            <w:r>
              <w:rPr>
                <w:color w:val="FF0000"/>
                <w:highlight w:val="none"/>
                <w:u w:val="none"/>
              </w:rPr>
              <w:t>见表1</w:t>
            </w:r>
            <w:r>
              <w:rPr>
                <w:rFonts w:hint="eastAsia"/>
                <w:color w:val="FF0000"/>
                <w:highlight w:val="none"/>
                <w:u w:val="none"/>
                <w:lang w:val="en-US" w:eastAsia="zh-CN"/>
              </w:rPr>
              <w:t>-1</w:t>
            </w:r>
            <w:r>
              <w:rPr>
                <w:color w:val="FF0000"/>
                <w:highlight w:val="none"/>
                <w:u w:val="none"/>
              </w:rPr>
              <w:t>。</w:t>
            </w:r>
          </w:p>
          <w:p w14:paraId="2B8E4731">
            <w:pPr>
              <w:pStyle w:val="5"/>
              <w:bidi w:val="0"/>
              <w:rPr>
                <w:rFonts w:hint="eastAsia" w:ascii="Times New Roman" w:hAnsi="Times New Roman" w:eastAsia="宋体" w:cs="Times New Roman"/>
                <w:b/>
                <w:bCs/>
                <w:color w:val="FF0000"/>
                <w:kern w:val="0"/>
                <w:szCs w:val="21"/>
                <w:lang w:val="en-US" w:eastAsia="zh-CN" w:bidi="ar-SA"/>
              </w:rPr>
            </w:pPr>
            <w:r>
              <w:rPr>
                <w:rFonts w:hint="eastAsia"/>
                <w:lang w:val="en-US" w:eastAsia="zh-CN"/>
              </w:rPr>
              <w:t>表1-1  与《青海省矿产资源总体规划（2021-2025年）》的符合性分析</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28" w:type="dxa"/>
                <w:bottom w:w="57" w:type="dxa"/>
                <w:right w:w="28" w:type="dxa"/>
              </w:tblCellMar>
            </w:tblPr>
            <w:tblGrid>
              <w:gridCol w:w="591"/>
              <w:gridCol w:w="3817"/>
              <w:gridCol w:w="1907"/>
              <w:gridCol w:w="819"/>
            </w:tblGrid>
            <w:tr w14:paraId="3EC66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278" w:hRule="atLeast"/>
                <w:tblHeader/>
                <w:jc w:val="center"/>
              </w:trPr>
              <w:tc>
                <w:tcPr>
                  <w:tcW w:w="414" w:type="pct"/>
                  <w:tcBorders>
                    <w:tl2br w:val="nil"/>
                    <w:tr2bl w:val="nil"/>
                  </w:tcBorders>
                  <w:noWrap w:val="0"/>
                  <w:vAlign w:val="center"/>
                </w:tcPr>
                <w:p w14:paraId="6F59F43A">
                  <w:pPr>
                    <w:pStyle w:val="66"/>
                    <w:keepNext w:val="0"/>
                    <w:keepLines w:val="0"/>
                    <w:pageBreakBefore w:val="0"/>
                    <w:widowControl w:val="0"/>
                    <w:wordWrap/>
                    <w:overflowPunct w:val="0"/>
                    <w:bidi w:val="0"/>
                    <w:jc w:val="center"/>
                    <w:rPr>
                      <w:rFonts w:hint="default" w:ascii="Times New Roman" w:hAnsi="Times New Roman" w:eastAsia="宋体" w:cs="Times New Roman"/>
                      <w:b/>
                      <w:bCs/>
                      <w:color w:val="FF0000"/>
                      <w:sz w:val="21"/>
                      <w:szCs w:val="21"/>
                      <w:highlight w:val="none"/>
                      <w:u w:val="none"/>
                      <w:lang w:val="en-US" w:eastAsia="zh-CN"/>
                    </w:rPr>
                  </w:pPr>
                  <w:r>
                    <w:rPr>
                      <w:rFonts w:hint="default" w:ascii="Times New Roman" w:hAnsi="Times New Roman" w:eastAsia="宋体" w:cs="Times New Roman"/>
                      <w:b/>
                      <w:bCs/>
                      <w:color w:val="FF0000"/>
                      <w:sz w:val="21"/>
                      <w:szCs w:val="21"/>
                      <w:highlight w:val="none"/>
                      <w:u w:val="none"/>
                      <w:lang w:val="en-US" w:eastAsia="zh-CN"/>
                    </w:rPr>
                    <w:t>项目</w:t>
                  </w:r>
                </w:p>
              </w:tc>
              <w:tc>
                <w:tcPr>
                  <w:tcW w:w="2674" w:type="pct"/>
                  <w:tcBorders>
                    <w:tl2br w:val="nil"/>
                    <w:tr2bl w:val="nil"/>
                  </w:tcBorders>
                  <w:noWrap w:val="0"/>
                  <w:vAlign w:val="center"/>
                </w:tcPr>
                <w:p w14:paraId="7BFE9E51">
                  <w:pPr>
                    <w:pStyle w:val="66"/>
                    <w:keepNext w:val="0"/>
                    <w:keepLines w:val="0"/>
                    <w:pageBreakBefore w:val="0"/>
                    <w:widowControl w:val="0"/>
                    <w:wordWrap/>
                    <w:overflowPunct w:val="0"/>
                    <w:bidi w:val="0"/>
                    <w:jc w:val="center"/>
                    <w:rPr>
                      <w:rFonts w:hint="default" w:ascii="Times New Roman" w:hAnsi="Times New Roman" w:eastAsia="宋体" w:cs="Times New Roman"/>
                      <w:b/>
                      <w:bCs/>
                      <w:color w:val="FF0000"/>
                      <w:sz w:val="21"/>
                      <w:szCs w:val="21"/>
                      <w:highlight w:val="none"/>
                      <w:u w:val="none"/>
                      <w:lang w:val="en-US" w:eastAsia="zh-CN"/>
                    </w:rPr>
                  </w:pPr>
                  <w:r>
                    <w:rPr>
                      <w:rFonts w:hint="default" w:ascii="Times New Roman" w:hAnsi="Times New Roman" w:eastAsia="宋体" w:cs="Times New Roman"/>
                      <w:b/>
                      <w:bCs/>
                      <w:color w:val="FF0000"/>
                      <w:sz w:val="21"/>
                      <w:szCs w:val="21"/>
                      <w:highlight w:val="none"/>
                      <w:u w:val="none"/>
                      <w:lang w:val="en-US" w:eastAsia="zh-CN"/>
                    </w:rPr>
                    <w:t>具体要求</w:t>
                  </w:r>
                </w:p>
              </w:tc>
              <w:tc>
                <w:tcPr>
                  <w:tcW w:w="1336" w:type="pct"/>
                  <w:tcBorders>
                    <w:tl2br w:val="nil"/>
                    <w:tr2bl w:val="nil"/>
                  </w:tcBorders>
                  <w:noWrap w:val="0"/>
                  <w:vAlign w:val="center"/>
                </w:tcPr>
                <w:p w14:paraId="64E8FCA3">
                  <w:pPr>
                    <w:pStyle w:val="66"/>
                    <w:keepNext w:val="0"/>
                    <w:keepLines w:val="0"/>
                    <w:pageBreakBefore w:val="0"/>
                    <w:widowControl w:val="0"/>
                    <w:wordWrap/>
                    <w:overflowPunct w:val="0"/>
                    <w:bidi w:val="0"/>
                    <w:jc w:val="center"/>
                    <w:rPr>
                      <w:rFonts w:hint="default" w:ascii="Times New Roman" w:hAnsi="Times New Roman" w:eastAsia="宋体" w:cs="Times New Roman"/>
                      <w:b/>
                      <w:bCs/>
                      <w:color w:val="FF0000"/>
                      <w:sz w:val="21"/>
                      <w:szCs w:val="21"/>
                      <w:highlight w:val="none"/>
                      <w:u w:val="none"/>
                      <w:lang w:val="en-US" w:eastAsia="zh-CN"/>
                    </w:rPr>
                  </w:pPr>
                  <w:r>
                    <w:rPr>
                      <w:rFonts w:hint="default" w:ascii="Times New Roman" w:hAnsi="Times New Roman" w:eastAsia="宋体" w:cs="Times New Roman"/>
                      <w:b/>
                      <w:bCs/>
                      <w:color w:val="FF0000"/>
                      <w:sz w:val="21"/>
                      <w:szCs w:val="21"/>
                      <w:highlight w:val="none"/>
                      <w:u w:val="none"/>
                      <w:lang w:val="en-US" w:eastAsia="zh-CN"/>
                    </w:rPr>
                    <w:t>本项目</w:t>
                  </w:r>
                </w:p>
              </w:tc>
              <w:tc>
                <w:tcPr>
                  <w:tcW w:w="573" w:type="pct"/>
                  <w:tcBorders>
                    <w:tl2br w:val="nil"/>
                    <w:tr2bl w:val="nil"/>
                  </w:tcBorders>
                  <w:noWrap w:val="0"/>
                  <w:vAlign w:val="center"/>
                </w:tcPr>
                <w:p w14:paraId="694219A5">
                  <w:pPr>
                    <w:pStyle w:val="66"/>
                    <w:keepNext w:val="0"/>
                    <w:keepLines w:val="0"/>
                    <w:pageBreakBefore w:val="0"/>
                    <w:widowControl w:val="0"/>
                    <w:wordWrap/>
                    <w:overflowPunct w:val="0"/>
                    <w:bidi w:val="0"/>
                    <w:jc w:val="center"/>
                    <w:rPr>
                      <w:rFonts w:hint="default" w:ascii="Times New Roman" w:hAnsi="Times New Roman" w:eastAsia="宋体" w:cs="Times New Roman"/>
                      <w:b/>
                      <w:bCs/>
                      <w:color w:val="FF0000"/>
                      <w:sz w:val="21"/>
                      <w:szCs w:val="21"/>
                      <w:highlight w:val="none"/>
                      <w:u w:val="none"/>
                      <w:lang w:val="en-US" w:eastAsia="zh-CN"/>
                    </w:rPr>
                  </w:pPr>
                  <w:r>
                    <w:rPr>
                      <w:rFonts w:hint="default" w:ascii="Times New Roman" w:hAnsi="Times New Roman" w:eastAsia="宋体" w:cs="Times New Roman"/>
                      <w:b/>
                      <w:bCs/>
                      <w:color w:val="FF0000"/>
                      <w:sz w:val="21"/>
                      <w:szCs w:val="21"/>
                      <w:highlight w:val="none"/>
                      <w:u w:val="none"/>
                      <w:lang w:val="en-US" w:eastAsia="zh-CN"/>
                    </w:rPr>
                    <w:t>符合性</w:t>
                  </w:r>
                </w:p>
              </w:tc>
            </w:tr>
            <w:tr w14:paraId="730D0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1331" w:hRule="atLeast"/>
                <w:jc w:val="center"/>
              </w:trPr>
              <w:tc>
                <w:tcPr>
                  <w:tcW w:w="414" w:type="pct"/>
                  <w:vMerge w:val="restart"/>
                  <w:tcBorders>
                    <w:tl2br w:val="nil"/>
                    <w:tr2bl w:val="nil"/>
                  </w:tcBorders>
                  <w:noWrap w:val="0"/>
                  <w:vAlign w:val="center"/>
                </w:tcPr>
                <w:p w14:paraId="196E9970">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重要矿种开发方向</w:t>
                  </w:r>
                </w:p>
              </w:tc>
              <w:tc>
                <w:tcPr>
                  <w:tcW w:w="2674" w:type="pct"/>
                  <w:tcBorders>
                    <w:tl2br w:val="nil"/>
                    <w:tr2bl w:val="nil"/>
                  </w:tcBorders>
                  <w:noWrap w:val="0"/>
                  <w:vAlign w:val="center"/>
                </w:tcPr>
                <w:p w14:paraId="7EB65FA6">
                  <w:pPr>
                    <w:pStyle w:val="66"/>
                    <w:keepNext w:val="0"/>
                    <w:keepLines w:val="0"/>
                    <w:pageBreakBefore w:val="0"/>
                    <w:widowControl w:val="0"/>
                    <w:wordWrap/>
                    <w:overflowPunct w:val="0"/>
                    <w:bidi w:val="0"/>
                    <w:jc w:val="both"/>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重点开发矿种：钾盐、锂（盐）、石油、天然气、煤炭、地下热水、铁、钛、铜、镍、金、硼、晶质石墨、萤石、银、铅、锌、镁盐、盐矿、石灰岩、石英岩、建筑用砂、地下水、矿泉水等。</w:t>
                  </w:r>
                </w:p>
              </w:tc>
              <w:tc>
                <w:tcPr>
                  <w:tcW w:w="1336" w:type="pct"/>
                  <w:vMerge w:val="restart"/>
                  <w:tcBorders>
                    <w:tl2br w:val="nil"/>
                    <w:tr2bl w:val="nil"/>
                  </w:tcBorders>
                  <w:noWrap w:val="0"/>
                  <w:vAlign w:val="center"/>
                </w:tcPr>
                <w:p w14:paraId="50847ABA">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项目为</w:t>
                  </w:r>
                  <w:r>
                    <w:rPr>
                      <w:rFonts w:hint="eastAsia" w:ascii="Times New Roman" w:hAnsi="Times New Roman" w:eastAsia="宋体" w:cs="Times New Roman"/>
                      <w:color w:val="FF0000"/>
                      <w:sz w:val="21"/>
                      <w:szCs w:val="21"/>
                      <w:highlight w:val="none"/>
                      <w:u w:val="none"/>
                      <w:lang w:val="en-US" w:eastAsia="zh-CN"/>
                    </w:rPr>
                    <w:t>土砂石建筑用砂</w:t>
                  </w:r>
                  <w:r>
                    <w:rPr>
                      <w:rFonts w:hint="default" w:ascii="Times New Roman" w:hAnsi="Times New Roman" w:eastAsia="宋体" w:cs="Times New Roman"/>
                      <w:color w:val="FF0000"/>
                      <w:sz w:val="21"/>
                      <w:szCs w:val="21"/>
                      <w:highlight w:val="none"/>
                      <w:u w:val="none"/>
                      <w:lang w:val="en-US" w:eastAsia="zh-CN"/>
                    </w:rPr>
                    <w:t>开采项目，属于规划的重点开发矿种。不属于限制范围</w:t>
                  </w:r>
                  <w:r>
                    <w:rPr>
                      <w:rFonts w:hint="eastAsia" w:ascii="Times New Roman" w:hAnsi="Times New Roman" w:eastAsia="宋体" w:cs="Times New Roman"/>
                      <w:color w:val="FF0000"/>
                      <w:sz w:val="21"/>
                      <w:szCs w:val="21"/>
                      <w:highlight w:val="none"/>
                      <w:u w:val="none"/>
                      <w:lang w:val="en-US" w:eastAsia="zh-CN"/>
                    </w:rPr>
                    <w:t>，</w:t>
                  </w:r>
                  <w:r>
                    <w:rPr>
                      <w:rFonts w:hint="default" w:ascii="Times New Roman" w:hAnsi="Times New Roman" w:eastAsia="宋体" w:cs="Times New Roman"/>
                      <w:color w:val="FF0000"/>
                      <w:sz w:val="21"/>
                      <w:szCs w:val="21"/>
                      <w:highlight w:val="none"/>
                      <w:u w:val="none"/>
                      <w:lang w:val="en-US" w:eastAsia="zh-CN"/>
                    </w:rPr>
                    <w:t>不属于禁止类项目</w:t>
                  </w:r>
                  <w:r>
                    <w:rPr>
                      <w:rFonts w:hint="eastAsia" w:ascii="Times New Roman" w:hAnsi="Times New Roman" w:eastAsia="宋体" w:cs="Times New Roman"/>
                      <w:color w:val="FF0000"/>
                      <w:sz w:val="21"/>
                      <w:szCs w:val="21"/>
                      <w:highlight w:val="none"/>
                      <w:u w:val="none"/>
                      <w:lang w:val="en-US" w:eastAsia="zh-CN"/>
                    </w:rPr>
                    <w:t>。</w:t>
                  </w:r>
                </w:p>
              </w:tc>
              <w:tc>
                <w:tcPr>
                  <w:tcW w:w="573" w:type="pct"/>
                  <w:vMerge w:val="restart"/>
                  <w:tcBorders>
                    <w:tl2br w:val="nil"/>
                    <w:tr2bl w:val="nil"/>
                  </w:tcBorders>
                  <w:noWrap w:val="0"/>
                  <w:vAlign w:val="center"/>
                </w:tcPr>
                <w:p w14:paraId="31F460EB">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符合</w:t>
                  </w:r>
                </w:p>
              </w:tc>
            </w:tr>
            <w:tr w14:paraId="40907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14" w:type="pct"/>
                  <w:vMerge w:val="continue"/>
                  <w:tcBorders>
                    <w:tl2br w:val="nil"/>
                    <w:tr2bl w:val="nil"/>
                  </w:tcBorders>
                  <w:noWrap w:val="0"/>
                  <w:vAlign w:val="center"/>
                </w:tcPr>
                <w:p w14:paraId="6AEC8EEE">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2674" w:type="pct"/>
                  <w:tcBorders>
                    <w:tl2br w:val="nil"/>
                    <w:tr2bl w:val="nil"/>
                  </w:tcBorders>
                  <w:noWrap w:val="0"/>
                  <w:vAlign w:val="center"/>
                </w:tcPr>
                <w:p w14:paraId="1A6E6A39">
                  <w:pPr>
                    <w:pStyle w:val="66"/>
                    <w:keepNext w:val="0"/>
                    <w:keepLines w:val="0"/>
                    <w:pageBreakBefore w:val="0"/>
                    <w:widowControl w:val="0"/>
                    <w:wordWrap/>
                    <w:overflowPunct w:val="0"/>
                    <w:bidi w:val="0"/>
                    <w:jc w:val="both"/>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限制开采矿种：砷、石棉等，严格执行国家实行开采总量控制的矿种。</w:t>
                  </w:r>
                </w:p>
              </w:tc>
              <w:tc>
                <w:tcPr>
                  <w:tcW w:w="1336" w:type="pct"/>
                  <w:vMerge w:val="continue"/>
                  <w:tcBorders>
                    <w:tl2br w:val="nil"/>
                    <w:tr2bl w:val="nil"/>
                  </w:tcBorders>
                  <w:noWrap w:val="0"/>
                  <w:vAlign w:val="center"/>
                </w:tcPr>
                <w:p w14:paraId="2D34847C">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573" w:type="pct"/>
                  <w:vMerge w:val="continue"/>
                  <w:tcBorders>
                    <w:tl2br w:val="nil"/>
                    <w:tr2bl w:val="nil"/>
                  </w:tcBorders>
                  <w:noWrap w:val="0"/>
                  <w:vAlign w:val="center"/>
                </w:tcPr>
                <w:p w14:paraId="35908EF9">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r>
            <w:tr w14:paraId="7677D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14" w:type="pct"/>
                  <w:vMerge w:val="continue"/>
                  <w:tcBorders>
                    <w:tl2br w:val="nil"/>
                    <w:tr2bl w:val="nil"/>
                  </w:tcBorders>
                  <w:noWrap w:val="0"/>
                  <w:vAlign w:val="center"/>
                </w:tcPr>
                <w:p w14:paraId="102361ED">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2674" w:type="pct"/>
                  <w:tcBorders>
                    <w:tl2br w:val="nil"/>
                    <w:tr2bl w:val="nil"/>
                  </w:tcBorders>
                  <w:noWrap w:val="0"/>
                  <w:vAlign w:val="center"/>
                </w:tcPr>
                <w:p w14:paraId="2E5A6429">
                  <w:pPr>
                    <w:pStyle w:val="66"/>
                    <w:keepNext w:val="0"/>
                    <w:keepLines w:val="0"/>
                    <w:pageBreakBefore w:val="0"/>
                    <w:widowControl w:val="0"/>
                    <w:wordWrap/>
                    <w:overflowPunct w:val="0"/>
                    <w:bidi w:val="0"/>
                    <w:jc w:val="both"/>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禁止开采矿种：汞、砂金、泥炭和可耕地砂石（粘土）等。</w:t>
                  </w:r>
                </w:p>
              </w:tc>
              <w:tc>
                <w:tcPr>
                  <w:tcW w:w="1336" w:type="pct"/>
                  <w:vMerge w:val="continue"/>
                  <w:tcBorders>
                    <w:tl2br w:val="nil"/>
                    <w:tr2bl w:val="nil"/>
                  </w:tcBorders>
                  <w:noWrap w:val="0"/>
                  <w:vAlign w:val="center"/>
                </w:tcPr>
                <w:p w14:paraId="64088977">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573" w:type="pct"/>
                  <w:vMerge w:val="continue"/>
                  <w:tcBorders>
                    <w:tl2br w:val="nil"/>
                    <w:tr2bl w:val="nil"/>
                  </w:tcBorders>
                  <w:noWrap w:val="0"/>
                  <w:vAlign w:val="center"/>
                </w:tcPr>
                <w:p w14:paraId="6BA44F27">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r>
            <w:tr w14:paraId="6BF29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14" w:type="pct"/>
                  <w:vMerge w:val="restart"/>
                  <w:tcBorders>
                    <w:tl2br w:val="nil"/>
                    <w:tr2bl w:val="nil"/>
                  </w:tcBorders>
                  <w:noWrap w:val="0"/>
                  <w:vAlign w:val="center"/>
                </w:tcPr>
                <w:p w14:paraId="10EFEADB">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矿产资源开发规划分区及要求</w:t>
                  </w:r>
                </w:p>
              </w:tc>
              <w:tc>
                <w:tcPr>
                  <w:tcW w:w="2674" w:type="pct"/>
                  <w:tcBorders>
                    <w:tl2br w:val="nil"/>
                    <w:tr2bl w:val="nil"/>
                  </w:tcBorders>
                  <w:noWrap w:val="0"/>
                  <w:vAlign w:val="center"/>
                </w:tcPr>
                <w:p w14:paraId="018CC10D">
                  <w:pPr>
                    <w:pStyle w:val="66"/>
                    <w:keepNext w:val="0"/>
                    <w:keepLines w:val="0"/>
                    <w:pageBreakBefore w:val="0"/>
                    <w:widowControl w:val="0"/>
                    <w:wordWrap/>
                    <w:overflowPunct w:val="0"/>
                    <w:bidi w:val="0"/>
                    <w:jc w:val="both"/>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青海省“十四五”矿产资源勘查开发立足于“一盆一区两屏障”，构建“南北保护，西部开发，东部协调发展”的新格局。“一盆”是指青海西部柴达木盆地及周缘，“一区”是指青海东部河湟谷地和共和盆地，“两屏障”是指青海南部三江源和青海北部祁连山两个生态安全屏障。</w:t>
                  </w:r>
                </w:p>
                <w:p w14:paraId="77D12075">
                  <w:pPr>
                    <w:pStyle w:val="66"/>
                    <w:keepNext w:val="0"/>
                    <w:keepLines w:val="0"/>
                    <w:pageBreakBefore w:val="0"/>
                    <w:widowControl w:val="0"/>
                    <w:wordWrap/>
                    <w:overflowPunct w:val="0"/>
                    <w:bidi w:val="0"/>
                    <w:jc w:val="both"/>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“南北保护”是指三江源和祁连山生态保护区，坚持生态保护优先，生态保护红线内勘查开发严格落实国家差别化管理相关要求，确保生态环境功能不降低，做好矿区生态保护修复，筑牢国家生态安全屏障。</w:t>
                  </w:r>
                </w:p>
                <w:p w14:paraId="5770D510">
                  <w:pPr>
                    <w:pStyle w:val="66"/>
                    <w:keepNext w:val="0"/>
                    <w:keepLines w:val="0"/>
                    <w:pageBreakBefore w:val="0"/>
                    <w:widowControl w:val="0"/>
                    <w:wordWrap/>
                    <w:overflowPunct w:val="0"/>
                    <w:bidi w:val="0"/>
                    <w:jc w:val="both"/>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“西部开发”是指柴达木盆地及周缘地区，这里是矿产资源丰富、开发利用活动和资源型产业集中区，具备一定生态环境承载能力，适合进一步规模化开发。</w:t>
                  </w:r>
                </w:p>
                <w:p w14:paraId="38EB8A4F">
                  <w:pPr>
                    <w:pStyle w:val="66"/>
                    <w:keepNext w:val="0"/>
                    <w:keepLines w:val="0"/>
                    <w:pageBreakBefore w:val="0"/>
                    <w:widowControl w:val="0"/>
                    <w:wordWrap/>
                    <w:overflowPunct w:val="0"/>
                    <w:bidi w:val="0"/>
                    <w:jc w:val="both"/>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东部协调发展”是指河湟谷地及共和盆地，要加快区域协调和绿色高效发展，这里具有一定矿产资源禀赋基础，开发强度相对较高，区位优势明显，交通便利，基础设施配套相对完善，资源环境承载能力和国土空间开发适宜性总体较高，是青海省重点城镇化开发建设区域。</w:t>
                  </w:r>
                </w:p>
              </w:tc>
              <w:tc>
                <w:tcPr>
                  <w:tcW w:w="1336" w:type="pct"/>
                  <w:tcBorders>
                    <w:tl2br w:val="nil"/>
                    <w:tr2bl w:val="nil"/>
                  </w:tcBorders>
                  <w:noWrap w:val="0"/>
                  <w:vAlign w:val="center"/>
                </w:tcPr>
                <w:p w14:paraId="6A2E8A46">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本项目位于</w:t>
                  </w:r>
                  <w:r>
                    <w:rPr>
                      <w:rFonts w:hint="eastAsia" w:ascii="Times New Roman" w:hAnsi="Times New Roman" w:eastAsia="宋体" w:cs="Times New Roman"/>
                      <w:color w:val="FF0000"/>
                      <w:sz w:val="21"/>
                      <w:szCs w:val="21"/>
                      <w:highlight w:val="none"/>
                      <w:u w:val="none"/>
                      <w:lang w:val="en-US" w:eastAsia="zh-CN"/>
                    </w:rPr>
                    <w:t>同德县河北乡</w:t>
                  </w:r>
                  <w:r>
                    <w:rPr>
                      <w:rFonts w:hint="default" w:ascii="Times New Roman" w:hAnsi="Times New Roman" w:eastAsia="宋体" w:cs="Times New Roman"/>
                      <w:color w:val="FF0000"/>
                      <w:sz w:val="21"/>
                      <w:szCs w:val="21"/>
                      <w:highlight w:val="none"/>
                      <w:u w:val="none"/>
                      <w:lang w:val="en-US" w:eastAsia="zh-CN"/>
                    </w:rPr>
                    <w:t>，</w:t>
                  </w:r>
                  <w:r>
                    <w:rPr>
                      <w:rFonts w:hint="eastAsia" w:ascii="Times New Roman" w:hAnsi="Times New Roman" w:eastAsia="宋体" w:cs="Times New Roman"/>
                      <w:color w:val="FF0000"/>
                      <w:sz w:val="21"/>
                      <w:szCs w:val="21"/>
                      <w:highlight w:val="none"/>
                      <w:u w:val="none"/>
                      <w:lang w:val="en-US" w:eastAsia="zh-CN"/>
                    </w:rPr>
                    <w:t>不涉及生态保护红线，</w:t>
                  </w:r>
                  <w:r>
                    <w:rPr>
                      <w:rFonts w:hint="default" w:ascii="Times New Roman" w:hAnsi="Times New Roman" w:eastAsia="宋体" w:cs="Times New Roman"/>
                      <w:color w:val="FF0000"/>
                      <w:sz w:val="21"/>
                      <w:szCs w:val="21"/>
                      <w:highlight w:val="none"/>
                      <w:u w:val="none"/>
                      <w:lang w:val="en-US" w:eastAsia="zh-CN"/>
                    </w:rPr>
                    <w:t>符合规划。</w:t>
                  </w:r>
                </w:p>
              </w:tc>
              <w:tc>
                <w:tcPr>
                  <w:tcW w:w="573" w:type="pct"/>
                  <w:tcBorders>
                    <w:tl2br w:val="nil"/>
                    <w:tr2bl w:val="nil"/>
                  </w:tcBorders>
                  <w:noWrap w:val="0"/>
                  <w:vAlign w:val="center"/>
                </w:tcPr>
                <w:p w14:paraId="66FADE87">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符合</w:t>
                  </w:r>
                </w:p>
              </w:tc>
            </w:tr>
            <w:tr w14:paraId="58AF4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14" w:type="pct"/>
                  <w:vMerge w:val="continue"/>
                  <w:tcBorders>
                    <w:tl2br w:val="nil"/>
                    <w:tr2bl w:val="nil"/>
                  </w:tcBorders>
                  <w:noWrap w:val="0"/>
                  <w:vAlign w:val="center"/>
                </w:tcPr>
                <w:p w14:paraId="55D77344">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2674" w:type="pct"/>
                  <w:tcBorders>
                    <w:tl2br w:val="nil"/>
                    <w:tr2bl w:val="nil"/>
                  </w:tcBorders>
                  <w:noWrap w:val="0"/>
                  <w:vAlign w:val="center"/>
                </w:tcPr>
                <w:p w14:paraId="7445A6D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lang w:val="en-US" w:eastAsia="zh-CN"/>
                    </w:rPr>
                    <w:t>实行总量调控。到“十四五”末，全省矿产资源年开采总量达到1.5亿吨，对国家实行保护性开采的特定矿种实行总量调控。加强开采管理，合理控制新设采矿权数量，按照保持矿产资源开采总量与经济社会发展需要相适应的原则，采取有效措施，鼓励增加大中型矿山，减少小矿山数量。</w:t>
                  </w:r>
                </w:p>
              </w:tc>
              <w:tc>
                <w:tcPr>
                  <w:tcW w:w="1336" w:type="pct"/>
                  <w:vMerge w:val="restart"/>
                  <w:tcBorders>
                    <w:tl2br w:val="nil"/>
                    <w:tr2bl w:val="nil"/>
                  </w:tcBorders>
                  <w:noWrap w:val="0"/>
                  <w:vAlign w:val="center"/>
                </w:tcPr>
                <w:p w14:paraId="26F87EB9">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矿区</w:t>
                  </w:r>
                  <w:r>
                    <w:rPr>
                      <w:rFonts w:hint="eastAsia" w:ascii="Times New Roman" w:hAnsi="Times New Roman" w:eastAsia="宋体" w:cs="Times New Roman"/>
                      <w:color w:val="FF0000"/>
                      <w:sz w:val="21"/>
                      <w:szCs w:val="21"/>
                      <w:highlight w:val="none"/>
                      <w:u w:val="none"/>
                      <w:lang w:val="en-US" w:eastAsia="zh-CN"/>
                    </w:rPr>
                    <w:t>建设100</w:t>
                  </w:r>
                  <w:r>
                    <w:rPr>
                      <w:rFonts w:hint="default" w:ascii="Times New Roman" w:hAnsi="Times New Roman" w:eastAsia="宋体" w:cs="Times New Roman"/>
                      <w:color w:val="FF0000"/>
                      <w:sz w:val="21"/>
                      <w:szCs w:val="21"/>
                      <w:highlight w:val="none"/>
                      <w:u w:val="none"/>
                      <w:lang w:val="en-US" w:eastAsia="zh-CN"/>
                    </w:rPr>
                    <w:t>万</w:t>
                  </w:r>
                  <w:r>
                    <w:rPr>
                      <w:rFonts w:hint="eastAsia" w:ascii="Times New Roman" w:hAnsi="Times New Roman" w:eastAsia="宋体" w:cs="Times New Roman"/>
                      <w:color w:val="FF0000"/>
                      <w:sz w:val="21"/>
                      <w:szCs w:val="21"/>
                      <w:highlight w:val="none"/>
                      <w:u w:val="none"/>
                      <w:lang w:val="en-US" w:eastAsia="zh-CN"/>
                    </w:rPr>
                    <w:t>立方米</w:t>
                  </w:r>
                  <w:r>
                    <w:rPr>
                      <w:rFonts w:hint="default" w:ascii="Times New Roman" w:hAnsi="Times New Roman" w:eastAsia="宋体" w:cs="Times New Roman"/>
                      <w:color w:val="FF0000"/>
                      <w:sz w:val="21"/>
                      <w:szCs w:val="21"/>
                      <w:highlight w:val="none"/>
                      <w:u w:val="none"/>
                      <w:lang w:val="en-US" w:eastAsia="zh-CN"/>
                    </w:rPr>
                    <w:t>/年</w:t>
                  </w:r>
                  <w:r>
                    <w:rPr>
                      <w:rFonts w:hint="eastAsia" w:ascii="Times New Roman" w:hAnsi="Times New Roman" w:eastAsia="宋体" w:cs="Times New Roman"/>
                      <w:color w:val="FF0000"/>
                      <w:sz w:val="21"/>
                      <w:szCs w:val="21"/>
                      <w:highlight w:val="none"/>
                      <w:u w:val="none"/>
                      <w:lang w:val="en-US" w:eastAsia="zh-CN"/>
                    </w:rPr>
                    <w:t>，矿石密度约为1.6t/m</w:t>
                  </w:r>
                  <w:r>
                    <w:rPr>
                      <w:rFonts w:hint="eastAsia" w:ascii="Times New Roman" w:hAnsi="Times New Roman" w:eastAsia="宋体" w:cs="Times New Roman"/>
                      <w:color w:val="FF0000"/>
                      <w:sz w:val="21"/>
                      <w:szCs w:val="21"/>
                      <w:highlight w:val="none"/>
                      <w:u w:val="none"/>
                      <w:vertAlign w:val="superscript"/>
                      <w:lang w:val="en-US" w:eastAsia="zh-CN"/>
                    </w:rPr>
                    <w:t>3</w:t>
                  </w:r>
                  <w:r>
                    <w:rPr>
                      <w:rFonts w:hint="eastAsia" w:ascii="Times New Roman" w:hAnsi="Times New Roman" w:eastAsia="宋体" w:cs="Times New Roman"/>
                      <w:color w:val="FF0000"/>
                      <w:sz w:val="21"/>
                      <w:szCs w:val="21"/>
                      <w:highlight w:val="none"/>
                      <w:u w:val="none"/>
                      <w:lang w:val="en-US" w:eastAsia="zh-CN"/>
                    </w:rPr>
                    <w:t>，则年开采矿石量为160万t，</w:t>
                  </w:r>
                  <w:r>
                    <w:rPr>
                      <w:rFonts w:hint="eastAsia" w:cs="Times New Roman"/>
                      <w:color w:val="0000FF"/>
                      <w:sz w:val="21"/>
                      <w:szCs w:val="21"/>
                      <w:highlight w:val="none"/>
                      <w:u w:val="none"/>
                      <w:lang w:val="en-US" w:eastAsia="zh-CN"/>
                    </w:rPr>
                    <w:t>根据《矿山生产建设规模分类一览表》（国土资发〔2004〕208号）中对建筑用砂、砖瓦粘土矿石年生产≥30万吨属于大型矿山，因此，本项目</w:t>
                  </w:r>
                  <w:r>
                    <w:rPr>
                      <w:rFonts w:hint="default" w:ascii="Times New Roman" w:hAnsi="Times New Roman" w:eastAsia="宋体" w:cs="Times New Roman"/>
                      <w:color w:val="0000FF"/>
                      <w:sz w:val="21"/>
                      <w:szCs w:val="21"/>
                      <w:highlight w:val="none"/>
                      <w:u w:val="none"/>
                      <w:lang w:val="en-US" w:eastAsia="zh-CN"/>
                    </w:rPr>
                    <w:t>属于大型矿山</w:t>
                  </w:r>
                  <w:r>
                    <w:rPr>
                      <w:rFonts w:hint="eastAsia" w:cs="Times New Roman"/>
                      <w:color w:val="0000FF"/>
                      <w:sz w:val="21"/>
                      <w:szCs w:val="21"/>
                      <w:highlight w:val="none"/>
                      <w:u w:val="none"/>
                      <w:lang w:val="en-US" w:eastAsia="zh-CN"/>
                    </w:rPr>
                    <w:t>开采，符合规划要求</w:t>
                  </w:r>
                  <w:r>
                    <w:rPr>
                      <w:rFonts w:hint="default" w:ascii="Times New Roman" w:hAnsi="Times New Roman" w:eastAsia="宋体" w:cs="Times New Roman"/>
                      <w:color w:val="0000FF"/>
                      <w:sz w:val="21"/>
                      <w:szCs w:val="21"/>
                      <w:highlight w:val="none"/>
                      <w:u w:val="none"/>
                      <w:lang w:val="en-US" w:eastAsia="zh-CN"/>
                    </w:rPr>
                    <w:t>。</w:t>
                  </w:r>
                </w:p>
              </w:tc>
              <w:tc>
                <w:tcPr>
                  <w:tcW w:w="573" w:type="pct"/>
                  <w:tcBorders>
                    <w:tl2br w:val="nil"/>
                    <w:tr2bl w:val="nil"/>
                  </w:tcBorders>
                  <w:noWrap w:val="0"/>
                  <w:vAlign w:val="center"/>
                </w:tcPr>
                <w:p w14:paraId="40F36F93">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符合</w:t>
                  </w:r>
                </w:p>
              </w:tc>
            </w:tr>
            <w:tr w14:paraId="42C8A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425" w:hRule="atLeast"/>
                <w:jc w:val="center"/>
              </w:trPr>
              <w:tc>
                <w:tcPr>
                  <w:tcW w:w="414" w:type="pct"/>
                  <w:vMerge w:val="continue"/>
                  <w:tcBorders>
                    <w:tl2br w:val="nil"/>
                    <w:tr2bl w:val="nil"/>
                  </w:tcBorders>
                  <w:noWrap w:val="0"/>
                  <w:vAlign w:val="center"/>
                </w:tcPr>
                <w:p w14:paraId="1246071C">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2674" w:type="pct"/>
                  <w:tcBorders>
                    <w:tl2br w:val="nil"/>
                    <w:tr2bl w:val="nil"/>
                  </w:tcBorders>
                  <w:noWrap w:val="0"/>
                  <w:vAlign w:val="center"/>
                </w:tcPr>
                <w:p w14:paraId="31A49D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lang w:val="en-US" w:eastAsia="zh-CN"/>
                    </w:rPr>
                    <w:t>优化规模结构。按照矿山开采规模与矿床（区）资源储量规模相适应的原则，新建矿山严格执行国家最低开采规模标准，已建矿山不符合最低开采规模要求的，要通过技术改造，逐步达到最低开采规模。到2025年，大中型矿山比例达到40%。</w:t>
                  </w:r>
                </w:p>
              </w:tc>
              <w:tc>
                <w:tcPr>
                  <w:tcW w:w="1336" w:type="pct"/>
                  <w:vMerge w:val="continue"/>
                  <w:tcBorders>
                    <w:tl2br w:val="nil"/>
                    <w:tr2bl w:val="nil"/>
                  </w:tcBorders>
                  <w:noWrap w:val="0"/>
                  <w:vAlign w:val="center"/>
                </w:tcPr>
                <w:p w14:paraId="53A06F7E">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573" w:type="pct"/>
                  <w:tcBorders>
                    <w:tl2br w:val="nil"/>
                    <w:tr2bl w:val="nil"/>
                  </w:tcBorders>
                  <w:noWrap w:val="0"/>
                  <w:vAlign w:val="center"/>
                </w:tcPr>
                <w:p w14:paraId="780C495A">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符合</w:t>
                  </w:r>
                </w:p>
              </w:tc>
            </w:tr>
            <w:tr w14:paraId="5CD7F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14" w:type="pct"/>
                  <w:vMerge w:val="continue"/>
                  <w:tcBorders>
                    <w:tl2br w:val="nil"/>
                    <w:tr2bl w:val="nil"/>
                  </w:tcBorders>
                  <w:noWrap w:val="0"/>
                  <w:vAlign w:val="center"/>
                </w:tcPr>
                <w:p w14:paraId="6057D143">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2674" w:type="pct"/>
                  <w:tcBorders>
                    <w:tl2br w:val="nil"/>
                    <w:tr2bl w:val="nil"/>
                  </w:tcBorders>
                  <w:noWrap w:val="0"/>
                  <w:vAlign w:val="center"/>
                </w:tcPr>
                <w:p w14:paraId="3D2D702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lang w:val="en-US" w:eastAsia="zh-CN"/>
                    </w:rPr>
                    <w:t>提高综合利用水平。持续提高矿山企业矿产资源节约集约循环利用水平，构建绿色低碳循环发展的矿业经济体系，加强矿山固体废弃物、尾矿资源和废水利用，全面提高矿产资源综合利用率。</w:t>
                  </w:r>
                </w:p>
              </w:tc>
              <w:tc>
                <w:tcPr>
                  <w:tcW w:w="1336" w:type="pct"/>
                  <w:tcBorders>
                    <w:tl2br w:val="nil"/>
                    <w:tr2bl w:val="nil"/>
                  </w:tcBorders>
                  <w:noWrap w:val="0"/>
                  <w:vAlign w:val="center"/>
                </w:tcPr>
                <w:p w14:paraId="49820341">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本工程采用机械化采矿，矿区废石多途径利用：近期临时堆存，远期回填矿区、道路维护等；</w:t>
                  </w:r>
                  <w:r>
                    <w:rPr>
                      <w:rFonts w:hint="eastAsia" w:ascii="Times New Roman" w:hAnsi="Times New Roman" w:eastAsia="宋体" w:cs="Times New Roman"/>
                      <w:color w:val="FF0000"/>
                      <w:sz w:val="21"/>
                      <w:szCs w:val="21"/>
                      <w:highlight w:val="none"/>
                      <w:u w:val="none"/>
                      <w:lang w:val="en-US" w:eastAsia="zh-CN"/>
                    </w:rPr>
                    <w:t>冲洗废水循环利用，</w:t>
                  </w:r>
                  <w:r>
                    <w:rPr>
                      <w:rFonts w:hint="default" w:ascii="Times New Roman" w:hAnsi="Times New Roman" w:eastAsia="宋体" w:cs="Times New Roman"/>
                      <w:color w:val="FF0000"/>
                      <w:sz w:val="21"/>
                      <w:szCs w:val="21"/>
                      <w:highlight w:val="none"/>
                      <w:u w:val="none"/>
                      <w:lang w:val="en-US" w:eastAsia="zh-CN"/>
                    </w:rPr>
                    <w:t>无外排水。</w:t>
                  </w:r>
                </w:p>
              </w:tc>
              <w:tc>
                <w:tcPr>
                  <w:tcW w:w="573" w:type="pct"/>
                  <w:tcBorders>
                    <w:tl2br w:val="nil"/>
                    <w:tr2bl w:val="nil"/>
                  </w:tcBorders>
                  <w:noWrap w:val="0"/>
                  <w:vAlign w:val="center"/>
                </w:tcPr>
                <w:p w14:paraId="7ED53F40">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符合</w:t>
                  </w:r>
                </w:p>
              </w:tc>
            </w:tr>
            <w:tr w14:paraId="59D36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14" w:type="pct"/>
                  <w:vMerge w:val="continue"/>
                  <w:tcBorders>
                    <w:tl2br w:val="nil"/>
                    <w:tr2bl w:val="nil"/>
                  </w:tcBorders>
                  <w:noWrap w:val="0"/>
                  <w:vAlign w:val="center"/>
                </w:tcPr>
                <w:p w14:paraId="7AA983DF">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2674" w:type="pct"/>
                  <w:tcBorders>
                    <w:tl2br w:val="nil"/>
                    <w:tr2bl w:val="nil"/>
                  </w:tcBorders>
                  <w:noWrap w:val="0"/>
                  <w:vAlign w:val="center"/>
                </w:tcPr>
                <w:p w14:paraId="1AD8015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rPr>
                    <w:t>严格执行矿产资源开发准入条件。针对开发规划分区，设置差异性的准入条件。能源资源基地和国家规划矿区，严格采矿权出让权限，执行最低开采规模和总量调控。重点开采区内，优先保证重要矿种矿业权设置需要，符合国家产业布局要求和资源合理利用要求。严格开发利用方案的编制，采矿方法和选矿工艺的设计必须达到国家规定的最低开采回采率、选矿回收率、综合利用率等指标要求。严格矿山环境恢复治理和土地复垦方案的编制，矿山设计要符合绿色矿山建设标准要求，持续提升矿产资源开发利用水平和循环利用水平。逐步退出资源枯竭、长期停产、不符合资源保护和环境要求的矿山，进一步优化规划布局和矿业权结构</w:t>
                  </w:r>
                  <w:r>
                    <w:rPr>
                      <w:rFonts w:hint="default" w:ascii="Times New Roman" w:hAnsi="Times New Roman" w:eastAsia="宋体" w:cs="Times New Roman"/>
                      <w:color w:val="FF0000"/>
                      <w:sz w:val="21"/>
                      <w:szCs w:val="21"/>
                      <w:highlight w:val="none"/>
                      <w:lang w:val="en-US" w:eastAsia="zh-CN"/>
                    </w:rPr>
                    <w:t>。</w:t>
                  </w:r>
                </w:p>
              </w:tc>
              <w:tc>
                <w:tcPr>
                  <w:tcW w:w="1336" w:type="pct"/>
                  <w:tcBorders>
                    <w:tl2br w:val="nil"/>
                    <w:tr2bl w:val="nil"/>
                  </w:tcBorders>
                  <w:noWrap w:val="0"/>
                  <w:vAlign w:val="center"/>
                </w:tcPr>
                <w:p w14:paraId="6F49EDDE">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（1）</w:t>
                  </w:r>
                  <w:r>
                    <w:rPr>
                      <w:rFonts w:hint="eastAsia" w:ascii="Times New Roman" w:hAnsi="Times New Roman" w:eastAsia="宋体" w:cs="Times New Roman"/>
                      <w:color w:val="FF0000"/>
                      <w:sz w:val="21"/>
                      <w:szCs w:val="21"/>
                      <w:highlight w:val="none"/>
                      <w:u w:val="none"/>
                      <w:lang w:val="en-US" w:eastAsia="zh-CN"/>
                    </w:rPr>
                    <w:t>本项目</w:t>
                  </w:r>
                  <w:r>
                    <w:rPr>
                      <w:rFonts w:hint="default" w:ascii="Times New Roman" w:hAnsi="Times New Roman" w:eastAsia="宋体" w:cs="Times New Roman"/>
                      <w:color w:val="FF0000"/>
                      <w:sz w:val="21"/>
                      <w:szCs w:val="21"/>
                      <w:highlight w:val="none"/>
                      <w:u w:val="none"/>
                      <w:lang w:val="en-US" w:eastAsia="zh-CN"/>
                    </w:rPr>
                    <w:t>按绿色矿山的要求进行设计、建设及运行；</w:t>
                  </w:r>
                </w:p>
                <w:p w14:paraId="0C86D112">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（2）</w:t>
                  </w:r>
                  <w:r>
                    <w:rPr>
                      <w:rFonts w:hint="eastAsia" w:ascii="Times New Roman" w:hAnsi="Times New Roman" w:eastAsia="宋体" w:cs="Times New Roman"/>
                      <w:color w:val="FF0000"/>
                      <w:sz w:val="21"/>
                      <w:szCs w:val="21"/>
                      <w:highlight w:val="none"/>
                      <w:u w:val="none"/>
                      <w:lang w:val="en-US" w:eastAsia="zh-CN"/>
                    </w:rPr>
                    <w:t>本项目</w:t>
                  </w:r>
                  <w:r>
                    <w:rPr>
                      <w:rFonts w:hint="default" w:ascii="Times New Roman" w:hAnsi="Times New Roman" w:eastAsia="宋体" w:cs="Times New Roman"/>
                      <w:color w:val="FF0000"/>
                      <w:sz w:val="21"/>
                      <w:szCs w:val="21"/>
                      <w:highlight w:val="none"/>
                      <w:u w:val="none"/>
                      <w:lang w:val="en-US" w:eastAsia="zh-CN"/>
                    </w:rPr>
                    <w:t>形成</w:t>
                  </w:r>
                  <w:r>
                    <w:rPr>
                      <w:rFonts w:hint="eastAsia" w:ascii="Times New Roman" w:hAnsi="Times New Roman" w:eastAsia="宋体" w:cs="Times New Roman"/>
                      <w:color w:val="FF0000"/>
                      <w:sz w:val="21"/>
                      <w:szCs w:val="21"/>
                      <w:highlight w:val="none"/>
                      <w:u w:val="none"/>
                      <w:lang w:val="en-US" w:eastAsia="zh-CN"/>
                    </w:rPr>
                    <w:t>100</w:t>
                  </w:r>
                  <w:r>
                    <w:rPr>
                      <w:rFonts w:hint="default" w:ascii="Times New Roman" w:hAnsi="Times New Roman" w:eastAsia="宋体" w:cs="Times New Roman"/>
                      <w:color w:val="FF0000"/>
                      <w:sz w:val="21"/>
                      <w:szCs w:val="21"/>
                      <w:highlight w:val="none"/>
                      <w:u w:val="none"/>
                      <w:lang w:val="en-US" w:eastAsia="zh-CN"/>
                    </w:rPr>
                    <w:t>万吨/年</w:t>
                  </w:r>
                  <w:r>
                    <w:rPr>
                      <w:rFonts w:hint="eastAsia" w:cs="Times New Roman"/>
                      <w:color w:val="FF0000"/>
                      <w:sz w:val="21"/>
                      <w:szCs w:val="21"/>
                      <w:highlight w:val="none"/>
                      <w:u w:val="none"/>
                      <w:lang w:val="en-US" w:eastAsia="zh-CN"/>
                    </w:rPr>
                    <w:t>的生产建设规模</w:t>
                  </w:r>
                  <w:r>
                    <w:rPr>
                      <w:rFonts w:hint="default" w:ascii="Times New Roman" w:hAnsi="Times New Roman" w:eastAsia="宋体" w:cs="Times New Roman"/>
                      <w:color w:val="FF0000"/>
                      <w:sz w:val="21"/>
                      <w:szCs w:val="21"/>
                      <w:highlight w:val="none"/>
                      <w:u w:val="none"/>
                      <w:lang w:val="en-US" w:eastAsia="zh-CN"/>
                    </w:rPr>
                    <w:t>，属于大型矿山，建设规模满足规定要求；</w:t>
                  </w:r>
                </w:p>
                <w:p w14:paraId="4545B22E">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（3）采用机械化开采，采区回采率满足规定要求；</w:t>
                  </w:r>
                </w:p>
                <w:p w14:paraId="4867B113">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（4）工程已按要求编制矿山土地复垦方案。</w:t>
                  </w:r>
                </w:p>
              </w:tc>
              <w:tc>
                <w:tcPr>
                  <w:tcW w:w="573" w:type="pct"/>
                  <w:tcBorders>
                    <w:tl2br w:val="nil"/>
                    <w:tr2bl w:val="nil"/>
                  </w:tcBorders>
                  <w:noWrap w:val="0"/>
                  <w:vAlign w:val="center"/>
                </w:tcPr>
                <w:p w14:paraId="4555E220">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符合</w:t>
                  </w:r>
                </w:p>
              </w:tc>
            </w:tr>
            <w:tr w14:paraId="6E863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14" w:type="pct"/>
                  <w:vMerge w:val="continue"/>
                  <w:tcBorders>
                    <w:tl2br w:val="nil"/>
                    <w:tr2bl w:val="nil"/>
                  </w:tcBorders>
                  <w:noWrap w:val="0"/>
                  <w:vAlign w:val="center"/>
                </w:tcPr>
                <w:p w14:paraId="0F4E4AE8">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2674" w:type="pct"/>
                  <w:tcBorders>
                    <w:tl2br w:val="nil"/>
                    <w:tr2bl w:val="nil"/>
                  </w:tcBorders>
                  <w:noWrap w:val="0"/>
                  <w:vAlign w:val="center"/>
                </w:tcPr>
                <w:p w14:paraId="52F10E1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rPr>
                    <w:t>高标准建设绿色矿山。以生态文明理念统领矿产资源开发工作，以生产矿山为主体，推进绿色矿山建设。严格矿产资源开发利用准入管理，在采矿权出让合同、开发利用方案中明确绿色矿山建设具体要求和措施，将绿色发展理念和绿色矿山建设要求贯穿到矿山规划、设计、建设、运营和</w:t>
                  </w:r>
                  <w:r>
                    <w:rPr>
                      <w:rFonts w:hint="eastAsia" w:cs="Times New Roman"/>
                      <w:color w:val="FF0000"/>
                      <w:sz w:val="21"/>
                      <w:szCs w:val="21"/>
                      <w:highlight w:val="none"/>
                      <w:lang w:eastAsia="zh-CN"/>
                    </w:rPr>
                    <w:t>闭矿</w:t>
                  </w:r>
                  <w:r>
                    <w:rPr>
                      <w:rFonts w:hint="default" w:ascii="Times New Roman" w:hAnsi="Times New Roman" w:eastAsia="宋体" w:cs="Times New Roman"/>
                      <w:color w:val="FF0000"/>
                      <w:sz w:val="21"/>
                      <w:szCs w:val="21"/>
                      <w:highlight w:val="none"/>
                    </w:rPr>
                    <w:t>全过程。新建矿山全部按照绿色矿山标准建设，生产矿山加快改造升级</w:t>
                  </w:r>
                </w:p>
              </w:tc>
              <w:tc>
                <w:tcPr>
                  <w:tcW w:w="1336" w:type="pct"/>
                  <w:tcBorders>
                    <w:tl2br w:val="nil"/>
                    <w:tr2bl w:val="nil"/>
                  </w:tcBorders>
                  <w:noWrap w:val="0"/>
                  <w:vAlign w:val="center"/>
                </w:tcPr>
                <w:p w14:paraId="6D19619F">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eastAsia" w:ascii="Times New Roman" w:hAnsi="Times New Roman" w:eastAsia="宋体" w:cs="Times New Roman"/>
                      <w:color w:val="FF0000"/>
                      <w:sz w:val="21"/>
                      <w:szCs w:val="21"/>
                      <w:highlight w:val="none"/>
                      <w:u w:val="none"/>
                      <w:lang w:val="en-US" w:eastAsia="zh-CN"/>
                    </w:rPr>
                    <w:t>矿山</w:t>
                  </w:r>
                  <w:r>
                    <w:rPr>
                      <w:rFonts w:hint="default" w:ascii="Times New Roman" w:hAnsi="Times New Roman" w:eastAsia="宋体" w:cs="Times New Roman"/>
                      <w:color w:val="FF0000"/>
                      <w:sz w:val="21"/>
                      <w:szCs w:val="21"/>
                      <w:highlight w:val="none"/>
                      <w:u w:val="none"/>
                      <w:lang w:val="en-US" w:eastAsia="zh-CN"/>
                    </w:rPr>
                    <w:t>按绿色矿山的要求进行设计、建设及运行。</w:t>
                  </w:r>
                </w:p>
              </w:tc>
              <w:tc>
                <w:tcPr>
                  <w:tcW w:w="573" w:type="pct"/>
                  <w:tcBorders>
                    <w:tl2br w:val="nil"/>
                    <w:tr2bl w:val="nil"/>
                  </w:tcBorders>
                  <w:noWrap w:val="0"/>
                  <w:vAlign w:val="center"/>
                </w:tcPr>
                <w:p w14:paraId="252908B4">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符合</w:t>
                  </w:r>
                </w:p>
              </w:tc>
            </w:tr>
            <w:tr w14:paraId="3A259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14" w:type="pct"/>
                  <w:vMerge w:val="continue"/>
                  <w:tcBorders>
                    <w:tl2br w:val="nil"/>
                    <w:tr2bl w:val="nil"/>
                  </w:tcBorders>
                  <w:noWrap w:val="0"/>
                  <w:vAlign w:val="center"/>
                </w:tcPr>
                <w:p w14:paraId="212AADAE">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p>
              </w:tc>
              <w:tc>
                <w:tcPr>
                  <w:tcW w:w="2674" w:type="pct"/>
                  <w:tcBorders>
                    <w:tl2br w:val="nil"/>
                    <w:tr2bl w:val="nil"/>
                  </w:tcBorders>
                  <w:noWrap w:val="0"/>
                  <w:vAlign w:val="center"/>
                </w:tcPr>
                <w:p w14:paraId="1F0AC3E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rPr>
                    <w:t>科学编制矿山地质环境保护与土地复垦方案。按照“谁开发、谁保护、谁破坏、谁治理”的原则，采矿权人依照有关规定，综合开采条件、开采矿种、开采方式、开采规模、开采年限等，编制《矿山地质环境保护与土地复垦方案》。并按采矿权发证权限，报主管部门组织审查，评审结果向社会公示公告。采矿权人严格按照经批准的矿山地质环境保护与土地复垦方案，开展地质环境恢复治理，实施土地复垦</w:t>
                  </w:r>
                  <w:r>
                    <w:rPr>
                      <w:rFonts w:hint="default" w:ascii="Times New Roman" w:hAnsi="Times New Roman" w:eastAsia="宋体" w:cs="Times New Roman"/>
                      <w:color w:val="FF0000"/>
                      <w:sz w:val="21"/>
                      <w:szCs w:val="21"/>
                      <w:highlight w:val="none"/>
                      <w:lang w:eastAsia="zh-CN"/>
                    </w:rPr>
                    <w:t>。</w:t>
                  </w:r>
                </w:p>
              </w:tc>
              <w:tc>
                <w:tcPr>
                  <w:tcW w:w="1336" w:type="pct"/>
                  <w:tcBorders>
                    <w:tl2br w:val="nil"/>
                    <w:tr2bl w:val="nil"/>
                  </w:tcBorders>
                  <w:noWrap w:val="0"/>
                  <w:vAlign w:val="center"/>
                </w:tcPr>
                <w:p w14:paraId="10C80F2F">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eastAsia" w:ascii="Times New Roman" w:hAnsi="Times New Roman" w:eastAsia="宋体" w:cs="Times New Roman"/>
                      <w:color w:val="FF0000"/>
                      <w:sz w:val="21"/>
                      <w:szCs w:val="21"/>
                      <w:highlight w:val="none"/>
                      <w:u w:val="none"/>
                      <w:lang w:val="en-US" w:eastAsia="zh-CN"/>
                    </w:rPr>
                    <w:t>本</w:t>
                  </w:r>
                  <w:r>
                    <w:rPr>
                      <w:rFonts w:hint="default" w:ascii="Times New Roman" w:hAnsi="Times New Roman" w:eastAsia="宋体" w:cs="Times New Roman"/>
                      <w:color w:val="FF0000"/>
                      <w:sz w:val="21"/>
                      <w:szCs w:val="21"/>
                      <w:highlight w:val="none"/>
                      <w:u w:val="none"/>
                      <w:lang w:val="en-US" w:eastAsia="zh-CN"/>
                    </w:rPr>
                    <w:t>工程已按要求编制矿山土地复垦方案。</w:t>
                  </w:r>
                </w:p>
              </w:tc>
              <w:tc>
                <w:tcPr>
                  <w:tcW w:w="573" w:type="pct"/>
                  <w:tcBorders>
                    <w:tl2br w:val="nil"/>
                    <w:tr2bl w:val="nil"/>
                  </w:tcBorders>
                  <w:noWrap w:val="0"/>
                  <w:vAlign w:val="center"/>
                </w:tcPr>
                <w:p w14:paraId="42099EAF">
                  <w:pPr>
                    <w:pStyle w:val="66"/>
                    <w:keepNext w:val="0"/>
                    <w:keepLines w:val="0"/>
                    <w:pageBreakBefore w:val="0"/>
                    <w:widowControl w:val="0"/>
                    <w:wordWrap/>
                    <w:overflowPunct w:val="0"/>
                    <w:bidi w:val="0"/>
                    <w:jc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符合</w:t>
                  </w:r>
                </w:p>
              </w:tc>
            </w:tr>
          </w:tbl>
          <w:p w14:paraId="2F57BB5E">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Times New Roman" w:hAnsi="Times New Roman" w:eastAsia="宋体" w:cs="Times New Roman"/>
                <w:kern w:val="0"/>
                <w:sz w:val="24"/>
                <w:highlight w:val="none"/>
              </w:rPr>
            </w:pPr>
            <w:r>
              <w:rPr>
                <w:rFonts w:hint="eastAsia" w:ascii="Times New Roman" w:hAnsi="Times New Roman" w:eastAsia="宋体" w:cs="Times New Roman"/>
                <w:b w:val="0"/>
                <w:bCs w:val="0"/>
                <w:color w:val="FF0000"/>
                <w:kern w:val="0"/>
                <w:szCs w:val="21"/>
                <w:lang w:val="en-US" w:eastAsia="zh-CN"/>
              </w:rPr>
              <w:t>综上所述，本项目位于同德县河北乡，为土砂石开采项目，不属于限制及禁止开发的矿种，项目已编制开发利用方案和土地复垦方案，按绿色矿山标准开展矿山设计、建设等，并采取“边开采、边治理”的原则，建设单位严格落实复垦方案和本环评提出的恢复治理措施。因此，本项目建设符合</w:t>
            </w:r>
            <w:r>
              <w:rPr>
                <w:rFonts w:hint="default" w:ascii="Times New Roman" w:hAnsi="Times New Roman" w:eastAsia="宋体" w:cs="Times New Roman"/>
                <w:color w:val="FF0000"/>
                <w:kern w:val="0"/>
                <w:szCs w:val="21"/>
                <w:lang w:val="en-US" w:eastAsia="zh-CN"/>
              </w:rPr>
              <w:t>《青海省矿产资源总体规划（2021-2025年）》</w:t>
            </w:r>
            <w:r>
              <w:rPr>
                <w:rFonts w:hint="eastAsia" w:cs="Times New Roman"/>
                <w:color w:val="FF0000"/>
                <w:kern w:val="0"/>
                <w:szCs w:val="21"/>
                <w:lang w:val="en-US" w:eastAsia="zh-CN"/>
              </w:rPr>
              <w:t>的要求。</w:t>
            </w:r>
          </w:p>
          <w:p w14:paraId="314738DE">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FF0000"/>
                <w:highlight w:val="none"/>
                <w:lang w:val="en-US" w:eastAsia="zh-CN"/>
              </w:rPr>
            </w:pPr>
            <w:r>
              <w:rPr>
                <w:rFonts w:hint="eastAsia" w:ascii="Times New Roman" w:hAnsi="Times New Roman" w:eastAsia="宋体" w:cs="Times New Roman"/>
                <w:b/>
                <w:bCs/>
                <w:color w:val="FF0000"/>
                <w:highlight w:val="none"/>
                <w:lang w:val="en-US" w:eastAsia="zh-CN"/>
              </w:rPr>
              <w:t>2、</w:t>
            </w:r>
            <w:r>
              <w:rPr>
                <w:rFonts w:hint="default" w:ascii="Times New Roman" w:hAnsi="Times New Roman" w:eastAsia="宋体" w:cs="Times New Roman"/>
                <w:b/>
                <w:bCs/>
                <w:color w:val="FF0000"/>
                <w:highlight w:val="none"/>
                <w:lang w:val="en-US" w:eastAsia="zh-CN"/>
              </w:rPr>
              <w:t>《青海省矿产资源总体规划（2021-2025年）环境影响报告书》及规划环评审查意见符合性分析</w:t>
            </w:r>
          </w:p>
          <w:p w14:paraId="4D871EE0">
            <w:pPr>
              <w:pStyle w:val="67"/>
              <w:keepNext w:val="0"/>
              <w:keepLines w:val="0"/>
              <w:pageBreakBefore w:val="0"/>
              <w:widowControl w:val="0"/>
              <w:wordWrap/>
              <w:overflowPunct w:val="0"/>
              <w:bidi w:val="0"/>
              <w:rPr>
                <w:color w:val="FF0000"/>
                <w:highlight w:val="none"/>
                <w:u w:val="none"/>
              </w:rPr>
            </w:pPr>
            <w:r>
              <w:rPr>
                <w:color w:val="FF0000"/>
                <w:highlight w:val="none"/>
                <w:u w:val="none"/>
              </w:rPr>
              <w:t>《青海省矿产资源总体规划（2021-2025年）环境影响报告书》于2022年7月21日通过环保部审查，文号：环审</w:t>
            </w:r>
            <w:r>
              <w:rPr>
                <w:rFonts w:hint="eastAsia"/>
                <w:color w:val="FF0000"/>
                <w:highlight w:val="none"/>
                <w:u w:val="none"/>
                <w:lang w:eastAsia="zh-CN"/>
              </w:rPr>
              <w:t>〔</w:t>
            </w:r>
            <w:r>
              <w:rPr>
                <w:color w:val="FF0000"/>
                <w:highlight w:val="none"/>
                <w:u w:val="none"/>
              </w:rPr>
              <w:t>2022</w:t>
            </w:r>
            <w:r>
              <w:rPr>
                <w:rFonts w:hint="eastAsia"/>
                <w:color w:val="FF0000"/>
                <w:highlight w:val="none"/>
                <w:u w:val="none"/>
                <w:lang w:eastAsia="zh-CN"/>
              </w:rPr>
              <w:t>〕</w:t>
            </w:r>
            <w:r>
              <w:rPr>
                <w:color w:val="FF0000"/>
                <w:highlight w:val="none"/>
                <w:u w:val="none"/>
              </w:rPr>
              <w:t>111号。本项目与规划环评及其审查意见符合性分析见表</w:t>
            </w:r>
            <w:r>
              <w:rPr>
                <w:rFonts w:hint="eastAsia"/>
                <w:color w:val="FF0000"/>
                <w:highlight w:val="none"/>
                <w:u w:val="none"/>
                <w:lang w:val="en-US" w:eastAsia="zh-CN"/>
              </w:rPr>
              <w:t>1-2</w:t>
            </w:r>
            <w:r>
              <w:rPr>
                <w:color w:val="FF0000"/>
                <w:highlight w:val="none"/>
                <w:u w:val="none"/>
              </w:rPr>
              <w:t>、表1</w:t>
            </w:r>
            <w:r>
              <w:rPr>
                <w:rFonts w:hint="eastAsia"/>
                <w:color w:val="FF0000"/>
                <w:highlight w:val="none"/>
                <w:u w:val="none"/>
                <w:lang w:val="en-US" w:eastAsia="zh-CN"/>
              </w:rPr>
              <w:t>-3</w:t>
            </w:r>
            <w:r>
              <w:rPr>
                <w:color w:val="FF0000"/>
                <w:highlight w:val="none"/>
                <w:u w:val="none"/>
              </w:rPr>
              <w:t>。</w:t>
            </w:r>
          </w:p>
          <w:p w14:paraId="49D1F487">
            <w:pPr>
              <w:pStyle w:val="5"/>
              <w:bidi w:val="0"/>
              <w:rPr>
                <w:rFonts w:hint="eastAsia"/>
                <w:sz w:val="21"/>
                <w:szCs w:val="21"/>
                <w:lang w:val="en-US" w:eastAsia="zh-CN"/>
              </w:rPr>
            </w:pPr>
            <w:r>
              <w:rPr>
                <w:rFonts w:hint="eastAsia"/>
                <w:sz w:val="21"/>
                <w:szCs w:val="21"/>
                <w:lang w:val="en-US" w:eastAsia="zh-CN"/>
              </w:rPr>
              <w:t>表1-2  规划环评提出的新建各类矿山的环保措施符合性分析</w:t>
            </w:r>
          </w:p>
          <w:tbl>
            <w:tblPr>
              <w:tblStyle w:val="23"/>
              <w:tblW w:w="4953" w:type="pct"/>
              <w:tblInd w:w="4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1" w:type="dxa"/>
                <w:bottom w:w="0" w:type="dxa"/>
                <w:right w:w="11" w:type="dxa"/>
              </w:tblCellMar>
            </w:tblPr>
            <w:tblGrid>
              <w:gridCol w:w="973"/>
              <w:gridCol w:w="3814"/>
              <w:gridCol w:w="1527"/>
              <w:gridCol w:w="757"/>
            </w:tblGrid>
            <w:tr w14:paraId="022763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tblHeader/>
              </w:trPr>
              <w:tc>
                <w:tcPr>
                  <w:tcW w:w="688" w:type="pct"/>
                  <w:tcBorders>
                    <w:tl2br w:val="nil"/>
                    <w:tr2bl w:val="nil"/>
                  </w:tcBorders>
                  <w:noWrap w:val="0"/>
                  <w:vAlign w:val="center"/>
                </w:tcPr>
                <w:p w14:paraId="527FBF01">
                  <w:pPr>
                    <w:pStyle w:val="66"/>
                    <w:keepNext w:val="0"/>
                    <w:keepLines w:val="0"/>
                    <w:pageBreakBefore w:val="0"/>
                    <w:widowControl w:val="0"/>
                    <w:wordWrap/>
                    <w:overflowPunct w:val="0"/>
                    <w:bidi w:val="0"/>
                    <w:jc w:val="center"/>
                    <w:rPr>
                      <w:rFonts w:hint="eastAsia" w:ascii="Times New Roman" w:hAnsi="Times New Roman" w:eastAsia="宋体" w:cs="Times New Roman"/>
                      <w:b/>
                      <w:bCs/>
                      <w:color w:val="FF0000"/>
                      <w:sz w:val="21"/>
                      <w:szCs w:val="21"/>
                      <w:highlight w:val="none"/>
                      <w:u w:val="none"/>
                      <w:lang w:val="en-US" w:eastAsia="zh-CN"/>
                    </w:rPr>
                  </w:pPr>
                  <w:r>
                    <w:rPr>
                      <w:rFonts w:hint="eastAsia" w:ascii="Times New Roman" w:hAnsi="Times New Roman" w:eastAsia="宋体" w:cs="Times New Roman"/>
                      <w:b/>
                      <w:bCs/>
                      <w:color w:val="FF0000"/>
                      <w:sz w:val="21"/>
                      <w:szCs w:val="21"/>
                      <w:highlight w:val="none"/>
                      <w:u w:val="none"/>
                      <w:lang w:val="en-US" w:eastAsia="zh-CN"/>
                    </w:rPr>
                    <w:t>类别</w:t>
                  </w:r>
                </w:p>
              </w:tc>
              <w:tc>
                <w:tcPr>
                  <w:tcW w:w="2696" w:type="pct"/>
                  <w:tcBorders>
                    <w:tl2br w:val="nil"/>
                    <w:tr2bl w:val="nil"/>
                  </w:tcBorders>
                  <w:noWrap w:val="0"/>
                  <w:vAlign w:val="center"/>
                </w:tcPr>
                <w:p w14:paraId="5C5C1495">
                  <w:pPr>
                    <w:pStyle w:val="66"/>
                    <w:keepNext w:val="0"/>
                    <w:keepLines w:val="0"/>
                    <w:pageBreakBefore w:val="0"/>
                    <w:widowControl w:val="0"/>
                    <w:wordWrap/>
                    <w:overflowPunct w:val="0"/>
                    <w:bidi w:val="0"/>
                    <w:jc w:val="center"/>
                    <w:rPr>
                      <w:rFonts w:hint="default" w:ascii="Times New Roman" w:hAnsi="Times New Roman" w:eastAsia="宋体" w:cs="Times New Roman"/>
                      <w:b/>
                      <w:bCs/>
                      <w:color w:val="FF0000"/>
                      <w:sz w:val="21"/>
                      <w:szCs w:val="21"/>
                      <w:highlight w:val="none"/>
                      <w:u w:val="none"/>
                      <w:lang w:val="en-US" w:eastAsia="zh-CN"/>
                    </w:rPr>
                  </w:pPr>
                  <w:r>
                    <w:rPr>
                      <w:rFonts w:hint="default" w:ascii="Times New Roman" w:hAnsi="Times New Roman" w:eastAsia="宋体" w:cs="Times New Roman"/>
                      <w:b/>
                      <w:bCs/>
                      <w:color w:val="FF0000"/>
                      <w:sz w:val="21"/>
                      <w:szCs w:val="21"/>
                      <w:highlight w:val="none"/>
                      <w:u w:val="none"/>
                      <w:lang w:val="en-US" w:eastAsia="zh-CN"/>
                    </w:rPr>
                    <w:t>规划环评提出</w:t>
                  </w:r>
                  <w:r>
                    <w:rPr>
                      <w:rFonts w:hint="eastAsia" w:ascii="Times New Roman" w:hAnsi="Times New Roman" w:eastAsia="宋体" w:cs="Times New Roman"/>
                      <w:b/>
                      <w:bCs/>
                      <w:color w:val="FF0000"/>
                      <w:sz w:val="21"/>
                      <w:szCs w:val="21"/>
                      <w:highlight w:val="none"/>
                      <w:u w:val="none"/>
                      <w:lang w:val="en-US" w:eastAsia="zh-CN"/>
                    </w:rPr>
                    <w:t>环保措施</w:t>
                  </w:r>
                </w:p>
              </w:tc>
              <w:tc>
                <w:tcPr>
                  <w:tcW w:w="1079" w:type="pct"/>
                  <w:tcBorders>
                    <w:tl2br w:val="nil"/>
                    <w:tr2bl w:val="nil"/>
                  </w:tcBorders>
                  <w:noWrap w:val="0"/>
                  <w:vAlign w:val="center"/>
                </w:tcPr>
                <w:p w14:paraId="13E38936">
                  <w:pPr>
                    <w:pStyle w:val="66"/>
                    <w:keepNext w:val="0"/>
                    <w:keepLines w:val="0"/>
                    <w:pageBreakBefore w:val="0"/>
                    <w:widowControl w:val="0"/>
                    <w:wordWrap/>
                    <w:overflowPunct w:val="0"/>
                    <w:bidi w:val="0"/>
                    <w:jc w:val="center"/>
                    <w:rPr>
                      <w:rFonts w:hint="default" w:ascii="Times New Roman" w:hAnsi="Times New Roman" w:eastAsia="宋体" w:cs="Times New Roman"/>
                      <w:b/>
                      <w:bCs/>
                      <w:color w:val="FF0000"/>
                      <w:sz w:val="21"/>
                      <w:szCs w:val="21"/>
                      <w:highlight w:val="none"/>
                      <w:u w:val="none"/>
                      <w:lang w:val="en-US" w:eastAsia="zh-CN"/>
                    </w:rPr>
                  </w:pPr>
                  <w:r>
                    <w:rPr>
                      <w:rFonts w:hint="default" w:ascii="Times New Roman" w:hAnsi="Times New Roman" w:eastAsia="宋体" w:cs="Times New Roman"/>
                      <w:b/>
                      <w:bCs/>
                      <w:color w:val="FF0000"/>
                      <w:sz w:val="21"/>
                      <w:szCs w:val="21"/>
                      <w:highlight w:val="none"/>
                      <w:u w:val="none"/>
                      <w:lang w:val="en-US" w:eastAsia="zh-CN"/>
                    </w:rPr>
                    <w:t>本项目情况</w:t>
                  </w:r>
                </w:p>
              </w:tc>
              <w:tc>
                <w:tcPr>
                  <w:tcW w:w="535" w:type="pct"/>
                  <w:tcBorders>
                    <w:tl2br w:val="nil"/>
                    <w:tr2bl w:val="nil"/>
                  </w:tcBorders>
                  <w:noWrap w:val="0"/>
                  <w:vAlign w:val="center"/>
                </w:tcPr>
                <w:p w14:paraId="398D0C9C">
                  <w:pPr>
                    <w:pStyle w:val="66"/>
                    <w:keepNext w:val="0"/>
                    <w:keepLines w:val="0"/>
                    <w:pageBreakBefore w:val="0"/>
                    <w:widowControl w:val="0"/>
                    <w:wordWrap/>
                    <w:overflowPunct w:val="0"/>
                    <w:bidi w:val="0"/>
                    <w:jc w:val="center"/>
                    <w:rPr>
                      <w:rFonts w:hint="default" w:ascii="Times New Roman" w:hAnsi="Times New Roman" w:eastAsia="宋体" w:cs="Times New Roman"/>
                      <w:b/>
                      <w:bCs/>
                      <w:color w:val="FF0000"/>
                      <w:sz w:val="21"/>
                      <w:szCs w:val="21"/>
                      <w:highlight w:val="none"/>
                      <w:u w:val="none"/>
                      <w:lang w:val="en-US" w:eastAsia="zh-CN"/>
                    </w:rPr>
                  </w:pPr>
                  <w:r>
                    <w:rPr>
                      <w:rFonts w:hint="default" w:ascii="Times New Roman" w:hAnsi="Times New Roman" w:eastAsia="宋体" w:cs="Times New Roman"/>
                      <w:b/>
                      <w:bCs/>
                      <w:color w:val="FF0000"/>
                      <w:sz w:val="21"/>
                      <w:szCs w:val="21"/>
                      <w:highlight w:val="none"/>
                      <w:u w:val="none"/>
                      <w:lang w:val="en-US" w:eastAsia="zh-CN"/>
                    </w:rPr>
                    <w:t>符合性</w:t>
                  </w:r>
                </w:p>
              </w:tc>
            </w:tr>
            <w:tr w14:paraId="261562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c>
                <w:tcPr>
                  <w:tcW w:w="688" w:type="pct"/>
                  <w:tcBorders>
                    <w:tl2br w:val="nil"/>
                    <w:tr2bl w:val="nil"/>
                  </w:tcBorders>
                  <w:noWrap w:val="0"/>
                  <w:vAlign w:val="center"/>
                </w:tcPr>
                <w:p w14:paraId="14624191">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噪声污染防治措施</w:t>
                  </w:r>
                </w:p>
              </w:tc>
              <w:tc>
                <w:tcPr>
                  <w:tcW w:w="2696" w:type="pct"/>
                  <w:tcBorders>
                    <w:tl2br w:val="nil"/>
                    <w:tr2bl w:val="nil"/>
                  </w:tcBorders>
                  <w:noWrap w:val="0"/>
                  <w:vAlign w:val="center"/>
                </w:tcPr>
                <w:p w14:paraId="2574350F">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1.</w:t>
                  </w:r>
                  <w:r>
                    <w:rPr>
                      <w:rFonts w:hint="eastAsia" w:ascii="Times New Roman" w:hAnsi="Times New Roman" w:eastAsia="宋体" w:cs="Times New Roman"/>
                      <w:b w:val="0"/>
                      <w:bCs w:val="0"/>
                      <w:color w:val="FF0000"/>
                      <w:sz w:val="21"/>
                      <w:szCs w:val="21"/>
                      <w:highlight w:val="none"/>
                      <w:u w:val="none"/>
                      <w:lang w:val="en-US" w:eastAsia="zh-CN"/>
                    </w:rPr>
                    <w:t xml:space="preserve">在设计过程中满足工艺设计的前提下应选择先进可靠的低噪声设备，空压机、风机等设备设置消声器；强噪声设备置于车间内，车间应采用隔声结构。对各种粉碎机及泵类等设置减振基础。 </w:t>
                  </w:r>
                </w:p>
                <w:p w14:paraId="68BA4991">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2.</w:t>
                  </w:r>
                  <w:r>
                    <w:rPr>
                      <w:rFonts w:hint="eastAsia" w:ascii="Times New Roman" w:hAnsi="Times New Roman" w:eastAsia="宋体" w:cs="Times New Roman"/>
                      <w:b w:val="0"/>
                      <w:bCs w:val="0"/>
                      <w:color w:val="FF0000"/>
                      <w:sz w:val="21"/>
                      <w:szCs w:val="21"/>
                      <w:highlight w:val="none"/>
                      <w:u w:val="none"/>
                      <w:lang w:val="en-US" w:eastAsia="zh-CN"/>
                    </w:rPr>
                    <w:t>合理安排采矿区布局，尽可能将新建采矿区规划在远离噪声敏感点，运输道路两侧可利用处种植树木，形成声屏障。</w:t>
                  </w:r>
                </w:p>
              </w:tc>
              <w:tc>
                <w:tcPr>
                  <w:tcW w:w="1079" w:type="pct"/>
                  <w:tcBorders>
                    <w:tl2br w:val="nil"/>
                    <w:tr2bl w:val="nil"/>
                  </w:tcBorders>
                  <w:noWrap w:val="0"/>
                  <w:vAlign w:val="center"/>
                </w:tcPr>
                <w:p w14:paraId="1F839C01">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本项目选用低噪声设备，生产车间采用隔声结构，对生产设备如破碎机。筛分机等设置减振基础。</w:t>
                  </w:r>
                </w:p>
              </w:tc>
              <w:tc>
                <w:tcPr>
                  <w:tcW w:w="535" w:type="pct"/>
                  <w:tcBorders>
                    <w:tl2br w:val="nil"/>
                    <w:tr2bl w:val="nil"/>
                  </w:tcBorders>
                  <w:noWrap w:val="0"/>
                  <w:vAlign w:val="center"/>
                </w:tcPr>
                <w:p w14:paraId="154267A5">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符合</w:t>
                  </w:r>
                </w:p>
              </w:tc>
            </w:tr>
            <w:tr w14:paraId="791362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c>
                <w:tcPr>
                  <w:tcW w:w="688" w:type="pct"/>
                  <w:tcBorders>
                    <w:tl2br w:val="nil"/>
                    <w:tr2bl w:val="nil"/>
                  </w:tcBorders>
                  <w:noWrap w:val="0"/>
                  <w:vAlign w:val="center"/>
                </w:tcPr>
                <w:p w14:paraId="0A20606D">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地下水保护措施</w:t>
                  </w:r>
                </w:p>
              </w:tc>
              <w:tc>
                <w:tcPr>
                  <w:tcW w:w="2696" w:type="pct"/>
                  <w:tcBorders>
                    <w:tl2br w:val="nil"/>
                    <w:tr2bl w:val="nil"/>
                  </w:tcBorders>
                  <w:noWrap w:val="0"/>
                  <w:vAlign w:val="center"/>
                </w:tcPr>
                <w:p w14:paraId="4648FA54">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①提高废水回用率，减少废水排放量。</w:t>
                  </w:r>
                </w:p>
                <w:p w14:paraId="72FB2008">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②加大污水处理力度，使污水处理率达到</w:t>
                  </w:r>
                  <w:r>
                    <w:rPr>
                      <w:rFonts w:hint="default" w:ascii="Times New Roman" w:hAnsi="Times New Roman" w:eastAsia="宋体" w:cs="Times New Roman"/>
                      <w:b w:val="0"/>
                      <w:bCs w:val="0"/>
                      <w:color w:val="FF0000"/>
                      <w:sz w:val="21"/>
                      <w:szCs w:val="21"/>
                      <w:highlight w:val="none"/>
                      <w:u w:val="none"/>
                      <w:lang w:val="en-US" w:eastAsia="zh-CN"/>
                    </w:rPr>
                    <w:t>100%</w:t>
                  </w:r>
                  <w:r>
                    <w:rPr>
                      <w:rFonts w:hint="eastAsia" w:ascii="Times New Roman" w:hAnsi="Times New Roman" w:eastAsia="宋体" w:cs="Times New Roman"/>
                      <w:b w:val="0"/>
                      <w:bCs w:val="0"/>
                      <w:color w:val="FF0000"/>
                      <w:sz w:val="21"/>
                      <w:szCs w:val="21"/>
                      <w:highlight w:val="none"/>
                      <w:u w:val="none"/>
                      <w:lang w:val="en-US" w:eastAsia="zh-CN"/>
                    </w:rPr>
                    <w:t>，污水处理设施应</w:t>
                  </w:r>
                  <w:r>
                    <w:rPr>
                      <w:rFonts w:hint="eastAsia" w:cs="Times New Roman"/>
                      <w:b w:val="0"/>
                      <w:bCs w:val="0"/>
                      <w:color w:val="FF0000"/>
                      <w:sz w:val="21"/>
                      <w:szCs w:val="21"/>
                      <w:highlight w:val="none"/>
                      <w:u w:val="none"/>
                      <w:lang w:val="en-US" w:eastAsia="zh-CN"/>
                    </w:rPr>
                    <w:t>做</w:t>
                  </w:r>
                  <w:r>
                    <w:rPr>
                      <w:rFonts w:hint="eastAsia" w:ascii="Times New Roman" w:hAnsi="Times New Roman" w:eastAsia="宋体" w:cs="Times New Roman"/>
                      <w:b w:val="0"/>
                      <w:bCs w:val="0"/>
                      <w:color w:val="FF0000"/>
                      <w:sz w:val="21"/>
                      <w:szCs w:val="21"/>
                      <w:highlight w:val="none"/>
                      <w:u w:val="none"/>
                      <w:lang w:val="en-US" w:eastAsia="zh-CN"/>
                    </w:rPr>
                    <w:t>防渗处理。③加强管理，确保废水处理设施运行良好，制定应急预案。④加强地表的填、堵、塞和平整工作，隔断渗透途径。</w:t>
                  </w:r>
                </w:p>
              </w:tc>
              <w:tc>
                <w:tcPr>
                  <w:tcW w:w="1079" w:type="pct"/>
                  <w:tcBorders>
                    <w:tl2br w:val="nil"/>
                    <w:tr2bl w:val="nil"/>
                  </w:tcBorders>
                  <w:noWrap w:val="0"/>
                  <w:vAlign w:val="center"/>
                </w:tcPr>
                <w:p w14:paraId="18BB79E9">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本项目设置机械和车辆冲洗平台，配套设置沉淀池一座，经沉淀后的清水循环使用，不外排，沉淀池做好防渗措施。</w:t>
                  </w:r>
                </w:p>
              </w:tc>
              <w:tc>
                <w:tcPr>
                  <w:tcW w:w="535" w:type="pct"/>
                  <w:tcBorders>
                    <w:tl2br w:val="nil"/>
                    <w:tr2bl w:val="nil"/>
                  </w:tcBorders>
                  <w:noWrap w:val="0"/>
                  <w:vAlign w:val="center"/>
                </w:tcPr>
                <w:p w14:paraId="3838B142">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符合</w:t>
                  </w:r>
                </w:p>
              </w:tc>
            </w:tr>
            <w:tr w14:paraId="2C4163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c>
                <w:tcPr>
                  <w:tcW w:w="688" w:type="pct"/>
                  <w:tcBorders>
                    <w:tl2br w:val="nil"/>
                    <w:tr2bl w:val="nil"/>
                  </w:tcBorders>
                  <w:noWrap w:val="0"/>
                  <w:vAlign w:val="center"/>
                </w:tcPr>
                <w:p w14:paraId="144CB3F2">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非金属矿废水防治措施</w:t>
                  </w:r>
                </w:p>
              </w:tc>
              <w:tc>
                <w:tcPr>
                  <w:tcW w:w="2696" w:type="pct"/>
                  <w:tcBorders>
                    <w:tl2br w:val="nil"/>
                    <w:tr2bl w:val="nil"/>
                  </w:tcBorders>
                  <w:noWrap w:val="0"/>
                  <w:vAlign w:val="center"/>
                </w:tcPr>
                <w:p w14:paraId="0B05F3BE">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本省大规模开采的非金属矿均采取露天开采方式，矿山废水主要有雨天降水冲刷造成的淋滤水和生活污水等。总体上其对地表水的污染较小，其措施有：</w:t>
                  </w:r>
                </w:p>
                <w:p w14:paraId="12FF6C0A">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w:t>
                  </w:r>
                  <w:r>
                    <w:rPr>
                      <w:rFonts w:hint="default" w:ascii="Times New Roman" w:hAnsi="Times New Roman" w:eastAsia="宋体" w:cs="Times New Roman"/>
                      <w:b w:val="0"/>
                      <w:bCs w:val="0"/>
                      <w:color w:val="FF0000"/>
                      <w:sz w:val="21"/>
                      <w:szCs w:val="21"/>
                      <w:highlight w:val="none"/>
                      <w:u w:val="none"/>
                      <w:lang w:val="en-US" w:eastAsia="zh-CN"/>
                    </w:rPr>
                    <w:t>1</w:t>
                  </w:r>
                  <w:r>
                    <w:rPr>
                      <w:rFonts w:hint="eastAsia" w:ascii="Times New Roman" w:hAnsi="Times New Roman" w:eastAsia="宋体" w:cs="Times New Roman"/>
                      <w:b w:val="0"/>
                      <w:bCs w:val="0"/>
                      <w:color w:val="FF0000"/>
                      <w:sz w:val="21"/>
                      <w:szCs w:val="21"/>
                      <w:highlight w:val="none"/>
                      <w:u w:val="none"/>
                      <w:lang w:val="en-US" w:eastAsia="zh-CN"/>
                    </w:rPr>
                    <w:t>）露天采场废水主要来自大气降雨，废水中主要污染物为</w:t>
                  </w:r>
                  <w:r>
                    <w:rPr>
                      <w:rFonts w:hint="default" w:ascii="Times New Roman" w:hAnsi="Times New Roman" w:eastAsia="宋体" w:cs="Times New Roman"/>
                      <w:b w:val="0"/>
                      <w:bCs w:val="0"/>
                      <w:color w:val="FF0000"/>
                      <w:sz w:val="21"/>
                      <w:szCs w:val="21"/>
                      <w:highlight w:val="none"/>
                      <w:u w:val="none"/>
                      <w:lang w:val="en-US" w:eastAsia="zh-CN"/>
                    </w:rPr>
                    <w:t>SS</w:t>
                  </w:r>
                  <w:r>
                    <w:rPr>
                      <w:rFonts w:hint="eastAsia" w:ascii="Times New Roman" w:hAnsi="Times New Roman" w:eastAsia="宋体" w:cs="Times New Roman"/>
                      <w:b w:val="0"/>
                      <w:bCs w:val="0"/>
                      <w:color w:val="FF0000"/>
                      <w:sz w:val="21"/>
                      <w:szCs w:val="21"/>
                      <w:highlight w:val="none"/>
                      <w:u w:val="none"/>
                      <w:lang w:val="en-US" w:eastAsia="zh-CN"/>
                    </w:rPr>
                    <w:t>，通过在露天采场周边修建截水沟，拦截场外雨水，经沉淀澄清后排放，可有效控制矿区水土流失量；</w:t>
                  </w:r>
                  <w:r>
                    <w:rPr>
                      <w:rFonts w:hint="default" w:ascii="Times New Roman" w:hAnsi="Times New Roman" w:eastAsia="宋体" w:cs="Times New Roman"/>
                      <w:b w:val="0"/>
                      <w:bCs w:val="0"/>
                      <w:color w:val="FF0000"/>
                      <w:sz w:val="21"/>
                      <w:szCs w:val="21"/>
                      <w:highlight w:val="none"/>
                      <w:u w:val="none"/>
                      <w:lang w:val="en-US" w:eastAsia="zh-CN"/>
                    </w:rPr>
                    <w:t>（2</w:t>
                  </w:r>
                  <w:r>
                    <w:rPr>
                      <w:rFonts w:hint="eastAsia" w:ascii="Times New Roman" w:hAnsi="Times New Roman" w:eastAsia="宋体" w:cs="Times New Roman"/>
                      <w:b w:val="0"/>
                      <w:bCs w:val="0"/>
                      <w:color w:val="FF0000"/>
                      <w:sz w:val="21"/>
                      <w:szCs w:val="21"/>
                      <w:highlight w:val="none"/>
                      <w:u w:val="none"/>
                      <w:lang w:val="en-US" w:eastAsia="zh-CN"/>
                    </w:rPr>
                    <w:t>）淋滤水、场地冲洗废水处理措施：设置沉砂池，淋滤废水、场地冲洗废水经沉淀处理，去除悬浮物后不外排，用于冲洗场地、绿化等。</w:t>
                  </w:r>
                </w:p>
              </w:tc>
              <w:tc>
                <w:tcPr>
                  <w:tcW w:w="1079" w:type="pct"/>
                  <w:tcBorders>
                    <w:tl2br w:val="nil"/>
                    <w:tr2bl w:val="nil"/>
                  </w:tcBorders>
                  <w:noWrap w:val="0"/>
                  <w:vAlign w:val="center"/>
                </w:tcPr>
                <w:p w14:paraId="3E64A32A">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本项目在采场周边修建截水沟，拦截场外雨水，有效控制矿区水土流失；本项目不涉及淋滤水和场地冲洗废水。</w:t>
                  </w:r>
                </w:p>
              </w:tc>
              <w:tc>
                <w:tcPr>
                  <w:tcW w:w="535" w:type="pct"/>
                  <w:tcBorders>
                    <w:tl2br w:val="nil"/>
                    <w:tr2bl w:val="nil"/>
                  </w:tcBorders>
                  <w:noWrap w:val="0"/>
                  <w:vAlign w:val="center"/>
                </w:tcPr>
                <w:p w14:paraId="48FEEFA0">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符合</w:t>
                  </w:r>
                </w:p>
              </w:tc>
            </w:tr>
            <w:tr w14:paraId="5604B8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c>
                <w:tcPr>
                  <w:tcW w:w="688" w:type="pct"/>
                  <w:tcBorders>
                    <w:tl2br w:val="nil"/>
                    <w:tr2bl w:val="nil"/>
                  </w:tcBorders>
                  <w:noWrap w:val="0"/>
                  <w:vAlign w:val="center"/>
                </w:tcPr>
                <w:p w14:paraId="02BCDF87">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大气污染防治措施</w:t>
                  </w:r>
                </w:p>
              </w:tc>
              <w:tc>
                <w:tcPr>
                  <w:tcW w:w="2696" w:type="pct"/>
                  <w:tcBorders>
                    <w:tl2br w:val="nil"/>
                    <w:tr2bl w:val="nil"/>
                  </w:tcBorders>
                  <w:noWrap w:val="0"/>
                  <w:vAlign w:val="center"/>
                </w:tcPr>
                <w:p w14:paraId="72F7B97C">
                  <w:pPr>
                    <w:pStyle w:val="66"/>
                    <w:keepNext w:val="0"/>
                    <w:keepLines w:val="0"/>
                    <w:pageBreakBefore w:val="0"/>
                    <w:widowControl w:val="0"/>
                    <w:wordWrap/>
                    <w:overflowPunct w:val="0"/>
                    <w:bidi w:val="0"/>
                    <w:jc w:val="both"/>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露天开采矿山</w:t>
                  </w:r>
                  <w:r>
                    <w:rPr>
                      <w:rFonts w:hint="eastAsia" w:ascii="Times New Roman" w:hAnsi="Times New Roman" w:eastAsia="宋体" w:cs="Times New Roman"/>
                      <w:b w:val="0"/>
                      <w:bCs w:val="0"/>
                      <w:color w:val="FF0000"/>
                      <w:sz w:val="21"/>
                      <w:szCs w:val="21"/>
                      <w:highlight w:val="none"/>
                      <w:u w:val="none"/>
                      <w:lang w:val="en-US" w:eastAsia="zh-CN"/>
                    </w:rPr>
                    <w:t>：</w:t>
                  </w:r>
                  <w:r>
                    <w:rPr>
                      <w:rFonts w:hint="default" w:ascii="Times New Roman" w:hAnsi="Times New Roman" w:eastAsia="宋体" w:cs="Times New Roman"/>
                      <w:b w:val="0"/>
                      <w:bCs w:val="0"/>
                      <w:color w:val="FF0000"/>
                      <w:sz w:val="21"/>
                      <w:szCs w:val="21"/>
                      <w:highlight w:val="none"/>
                      <w:u w:val="none"/>
                      <w:lang w:val="en-US" w:eastAsia="zh-CN"/>
                    </w:rPr>
                    <w:t>1.</w:t>
                  </w:r>
                  <w:r>
                    <w:rPr>
                      <w:rFonts w:hint="eastAsia" w:ascii="Times New Roman" w:hAnsi="Times New Roman" w:eastAsia="宋体" w:cs="Times New Roman"/>
                      <w:b w:val="0"/>
                      <w:bCs w:val="0"/>
                      <w:color w:val="FF0000"/>
                      <w:sz w:val="21"/>
                      <w:szCs w:val="21"/>
                      <w:highlight w:val="none"/>
                      <w:u w:val="none"/>
                      <w:lang w:val="en-US" w:eastAsia="zh-CN"/>
                    </w:rPr>
                    <w:t>凿岩湿式防尘技术。</w:t>
                  </w:r>
                  <w:r>
                    <w:rPr>
                      <w:rFonts w:hint="default" w:ascii="Times New Roman" w:hAnsi="Times New Roman" w:eastAsia="宋体" w:cs="Times New Roman"/>
                      <w:b w:val="0"/>
                      <w:bCs w:val="0"/>
                      <w:color w:val="FF0000"/>
                      <w:sz w:val="21"/>
                      <w:szCs w:val="21"/>
                      <w:highlight w:val="none"/>
                      <w:u w:val="none"/>
                      <w:lang w:val="en-US" w:eastAsia="zh-CN"/>
                    </w:rPr>
                    <w:t>2.</w:t>
                  </w:r>
                  <w:r>
                    <w:rPr>
                      <w:rFonts w:hint="eastAsia" w:ascii="Times New Roman" w:hAnsi="Times New Roman" w:eastAsia="宋体" w:cs="Times New Roman"/>
                      <w:b w:val="0"/>
                      <w:bCs w:val="0"/>
                      <w:color w:val="FF0000"/>
                      <w:sz w:val="21"/>
                      <w:szCs w:val="21"/>
                      <w:highlight w:val="none"/>
                      <w:u w:val="none"/>
                      <w:lang w:val="en-US" w:eastAsia="zh-CN"/>
                    </w:rPr>
                    <w:t>覆盖层防尘技术。</w:t>
                  </w:r>
                </w:p>
              </w:tc>
              <w:tc>
                <w:tcPr>
                  <w:tcW w:w="1079" w:type="pct"/>
                  <w:tcBorders>
                    <w:tl2br w:val="nil"/>
                    <w:tr2bl w:val="nil"/>
                  </w:tcBorders>
                  <w:noWrap w:val="0"/>
                  <w:vAlign w:val="center"/>
                </w:tcPr>
                <w:p w14:paraId="049BA058">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本项目开采过程采用湿式凿岩防尘技术和覆盖层防尘技术</w:t>
                  </w:r>
                </w:p>
              </w:tc>
              <w:tc>
                <w:tcPr>
                  <w:tcW w:w="535" w:type="pct"/>
                  <w:tcBorders>
                    <w:tl2br w:val="nil"/>
                    <w:tr2bl w:val="nil"/>
                  </w:tcBorders>
                  <w:noWrap w:val="0"/>
                  <w:vAlign w:val="center"/>
                </w:tcPr>
                <w:p w14:paraId="239467B5">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符合</w:t>
                  </w:r>
                </w:p>
              </w:tc>
            </w:tr>
            <w:tr w14:paraId="46EB5E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c>
                <w:tcPr>
                  <w:tcW w:w="688" w:type="pct"/>
                  <w:tcBorders>
                    <w:tl2br w:val="nil"/>
                    <w:tr2bl w:val="nil"/>
                  </w:tcBorders>
                  <w:noWrap w:val="0"/>
                  <w:vAlign w:val="center"/>
                </w:tcPr>
                <w:p w14:paraId="361DCF00">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土壤污染防治措施</w:t>
                  </w:r>
                </w:p>
              </w:tc>
              <w:tc>
                <w:tcPr>
                  <w:tcW w:w="2696" w:type="pct"/>
                  <w:tcBorders>
                    <w:tl2br w:val="nil"/>
                    <w:tr2bl w:val="nil"/>
                  </w:tcBorders>
                  <w:noWrap w:val="0"/>
                  <w:vAlign w:val="center"/>
                </w:tcPr>
                <w:p w14:paraId="0F11FEC2">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1.坡面排水措施。对影响矿山安全的坡面，根据坡长分段布设</w:t>
                  </w:r>
                  <w:r>
                    <w:rPr>
                      <w:rFonts w:hint="eastAsia" w:ascii="Times New Roman" w:hAnsi="Times New Roman" w:eastAsia="宋体" w:cs="Times New Roman"/>
                      <w:b w:val="0"/>
                      <w:bCs w:val="0"/>
                      <w:color w:val="FF0000"/>
                      <w:sz w:val="21"/>
                      <w:szCs w:val="21"/>
                      <w:highlight w:val="none"/>
                      <w:u w:val="none"/>
                      <w:lang w:val="en-US" w:eastAsia="zh-CN"/>
                    </w:rPr>
                    <w:t>截流沟、排洪渠等工程，并配以防护林草带，增加植被覆盖，减少坡面径流对地表的冲刷，保证矿业生产安全运行。</w:t>
                  </w:r>
                </w:p>
                <w:p w14:paraId="2E03703C">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2.</w:t>
                  </w:r>
                  <w:r>
                    <w:rPr>
                      <w:rFonts w:hint="eastAsia" w:ascii="Times New Roman" w:hAnsi="Times New Roman" w:eastAsia="宋体" w:cs="Times New Roman"/>
                      <w:b w:val="0"/>
                      <w:bCs w:val="0"/>
                      <w:color w:val="FF0000"/>
                      <w:sz w:val="21"/>
                      <w:szCs w:val="21"/>
                      <w:highlight w:val="none"/>
                      <w:u w:val="none"/>
                      <w:lang w:val="en-US" w:eastAsia="zh-CN"/>
                    </w:rPr>
                    <w:t>边坡防护措施。除尽可能采取措施恢复植被外，根据边坡稳定程度及对周围的影响，采取相应的工程措施进行防护。坡面防护根据坡度不同而采用石砌护坡或植被护坡。</w:t>
                  </w:r>
                </w:p>
                <w:p w14:paraId="774180EC">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3.</w:t>
                  </w:r>
                  <w:r>
                    <w:rPr>
                      <w:rFonts w:hint="eastAsia" w:ascii="Times New Roman" w:hAnsi="Times New Roman" w:eastAsia="宋体" w:cs="Times New Roman"/>
                      <w:b w:val="0"/>
                      <w:bCs w:val="0"/>
                      <w:color w:val="FF0000"/>
                      <w:sz w:val="21"/>
                      <w:szCs w:val="21"/>
                      <w:highlight w:val="none"/>
                      <w:u w:val="none"/>
                      <w:lang w:val="en-US" w:eastAsia="zh-CN"/>
                    </w:rPr>
                    <w:t>植被恢复措施。对各类裸露面，分别采取不同的措施，加速植被恢复。尽量选择发芽早、生长快、根须发达、多年生，且能与周围环境相协调的草种，防止表土侵蚀和流失。</w:t>
                  </w:r>
                </w:p>
                <w:p w14:paraId="6A43C3F6">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4.</w:t>
                  </w:r>
                  <w:r>
                    <w:rPr>
                      <w:rFonts w:hint="eastAsia" w:ascii="Times New Roman" w:hAnsi="Times New Roman" w:eastAsia="宋体" w:cs="Times New Roman"/>
                      <w:b w:val="0"/>
                      <w:bCs w:val="0"/>
                      <w:color w:val="FF0000"/>
                      <w:sz w:val="21"/>
                      <w:szCs w:val="21"/>
                      <w:highlight w:val="none"/>
                      <w:u w:val="none"/>
                      <w:lang w:val="en-US" w:eastAsia="zh-CN"/>
                    </w:rPr>
                    <w:t>矿山废石堆、煤矸石、选冶废渣等固体废弃物处置。完善防扬散、防流失、防渗漏等设施；全面整治历史遗留尾矿库，完善覆膜、压土、排洪、堤坝加固等隐患治理和闭库措施。</w:t>
                  </w:r>
                </w:p>
              </w:tc>
              <w:tc>
                <w:tcPr>
                  <w:tcW w:w="1079" w:type="pct"/>
                  <w:tcBorders>
                    <w:tl2br w:val="nil"/>
                    <w:tr2bl w:val="nil"/>
                  </w:tcBorders>
                  <w:noWrap w:val="0"/>
                  <w:vAlign w:val="center"/>
                </w:tcPr>
                <w:p w14:paraId="59B2DF62">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本项目在开采区及坡面设置截留沟；边坡根据坡度不同设置格宾石笼挡墙和植被护坡；本项目植被恢复采用植物跟周围环境相协调的草种；排土场堆置废石时，采取覆膜和修筑格宾石笼挡墙的措施。项目不涉及尾矿库。</w:t>
                  </w:r>
                </w:p>
              </w:tc>
              <w:tc>
                <w:tcPr>
                  <w:tcW w:w="535" w:type="pct"/>
                  <w:tcBorders>
                    <w:tl2br w:val="nil"/>
                    <w:tr2bl w:val="nil"/>
                  </w:tcBorders>
                  <w:noWrap w:val="0"/>
                  <w:vAlign w:val="center"/>
                </w:tcPr>
                <w:p w14:paraId="0486ED6F">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符合</w:t>
                  </w:r>
                </w:p>
              </w:tc>
            </w:tr>
            <w:tr w14:paraId="718CD1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c>
                <w:tcPr>
                  <w:tcW w:w="688" w:type="pct"/>
                  <w:tcBorders>
                    <w:tl2br w:val="nil"/>
                    <w:tr2bl w:val="nil"/>
                  </w:tcBorders>
                  <w:noWrap w:val="0"/>
                  <w:vAlign w:val="center"/>
                </w:tcPr>
                <w:p w14:paraId="5A17FB5E">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矿山地质环境保护管理要求</w:t>
                  </w:r>
                </w:p>
              </w:tc>
              <w:tc>
                <w:tcPr>
                  <w:tcW w:w="2696" w:type="pct"/>
                  <w:tcBorders>
                    <w:tl2br w:val="nil"/>
                    <w:tr2bl w:val="nil"/>
                  </w:tcBorders>
                  <w:noWrap w:val="0"/>
                  <w:vAlign w:val="center"/>
                </w:tcPr>
                <w:p w14:paraId="129D5C2D">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1.</w:t>
                  </w:r>
                  <w:r>
                    <w:rPr>
                      <w:rFonts w:hint="eastAsia" w:ascii="Times New Roman" w:hAnsi="Times New Roman" w:eastAsia="宋体" w:cs="Times New Roman"/>
                      <w:b w:val="0"/>
                      <w:bCs w:val="0"/>
                      <w:color w:val="FF0000"/>
                      <w:sz w:val="21"/>
                      <w:szCs w:val="21"/>
                      <w:highlight w:val="none"/>
                      <w:u w:val="none"/>
                      <w:lang w:val="en-US" w:eastAsia="zh-CN"/>
                    </w:rPr>
                    <w:t>按照分类指导、区别对待的原则，对新建矿山、已建矿山和</w:t>
                  </w:r>
                  <w:r>
                    <w:rPr>
                      <w:rFonts w:hint="eastAsia" w:cs="Times New Roman"/>
                      <w:b w:val="0"/>
                      <w:bCs w:val="0"/>
                      <w:color w:val="FF0000"/>
                      <w:sz w:val="21"/>
                      <w:szCs w:val="21"/>
                      <w:highlight w:val="none"/>
                      <w:u w:val="none"/>
                      <w:lang w:val="en-US" w:eastAsia="zh-CN"/>
                    </w:rPr>
                    <w:t>闭矿</w:t>
                  </w:r>
                  <w:r>
                    <w:rPr>
                      <w:rFonts w:hint="eastAsia" w:ascii="Times New Roman" w:hAnsi="Times New Roman" w:eastAsia="宋体" w:cs="Times New Roman"/>
                      <w:b w:val="0"/>
                      <w:bCs w:val="0"/>
                      <w:color w:val="FF0000"/>
                      <w:sz w:val="21"/>
                      <w:szCs w:val="21"/>
                      <w:highlight w:val="none"/>
                      <w:u w:val="none"/>
                      <w:lang w:val="en-US" w:eastAsia="zh-CN"/>
                    </w:rPr>
                    <w:t xml:space="preserve">（含停采）矿山实行分类管理。 </w:t>
                  </w:r>
                </w:p>
                <w:p w14:paraId="0CA5A31F">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2.</w:t>
                  </w:r>
                  <w:r>
                    <w:rPr>
                      <w:rFonts w:hint="eastAsia" w:ascii="Times New Roman" w:hAnsi="Times New Roman" w:eastAsia="宋体" w:cs="Times New Roman"/>
                      <w:b w:val="0"/>
                      <w:bCs w:val="0"/>
                      <w:color w:val="FF0000"/>
                      <w:sz w:val="21"/>
                      <w:szCs w:val="21"/>
                      <w:highlight w:val="none"/>
                      <w:u w:val="none"/>
                      <w:lang w:val="en-US" w:eastAsia="zh-CN"/>
                    </w:rPr>
                    <w:t>严格矿山企业准入条件。坚持“源头预防，过程控制，</w:t>
                  </w:r>
                  <w:r>
                    <w:rPr>
                      <w:rFonts w:hint="eastAsia" w:cs="Times New Roman"/>
                      <w:b w:val="0"/>
                      <w:bCs w:val="0"/>
                      <w:color w:val="FF0000"/>
                      <w:sz w:val="21"/>
                      <w:szCs w:val="21"/>
                      <w:highlight w:val="none"/>
                      <w:u w:val="none"/>
                      <w:lang w:val="en-US" w:eastAsia="zh-CN"/>
                    </w:rPr>
                    <w:t>闭矿</w:t>
                  </w:r>
                  <w:r>
                    <w:rPr>
                      <w:rFonts w:hint="eastAsia" w:ascii="Times New Roman" w:hAnsi="Times New Roman" w:eastAsia="宋体" w:cs="Times New Roman"/>
                      <w:b w:val="0"/>
                      <w:bCs w:val="0"/>
                      <w:color w:val="FF0000"/>
                      <w:sz w:val="21"/>
                      <w:szCs w:val="21"/>
                      <w:highlight w:val="none"/>
                      <w:u w:val="none"/>
                      <w:lang w:val="en-US" w:eastAsia="zh-CN"/>
                    </w:rPr>
                    <w:t>达标”的原则，严格执行矿产资源开发环境准入条件，加强矿产资源开发全程环境保护监督，遵循“绿色矿山”的环境标准，对新建矿山实现开采方式科学化、采矿作业清洁化、矿区环境优良化。</w:t>
                  </w:r>
                </w:p>
                <w:p w14:paraId="0E4ADC8B">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3.</w:t>
                  </w:r>
                  <w:r>
                    <w:rPr>
                      <w:rFonts w:hint="eastAsia" w:ascii="Times New Roman" w:hAnsi="Times New Roman" w:eastAsia="宋体" w:cs="Times New Roman"/>
                      <w:b w:val="0"/>
                      <w:bCs w:val="0"/>
                      <w:color w:val="FF0000"/>
                      <w:sz w:val="21"/>
                      <w:szCs w:val="21"/>
                      <w:highlight w:val="none"/>
                      <w:u w:val="none"/>
                      <w:lang w:val="en-US" w:eastAsia="zh-CN"/>
                    </w:rPr>
                    <w:t>对已建和在建矿山，强化采矿权人责任，督促矿山企业切实履行矿山生态环境恢复治理和土地复垦责任义务，做到边开采边治理。从源头上预防和控制采矿活动对矿山环境的破坏，在</w:t>
                  </w:r>
                  <w:r>
                    <w:rPr>
                      <w:rFonts w:hint="eastAsia" w:cs="Times New Roman"/>
                      <w:b w:val="0"/>
                      <w:bCs w:val="0"/>
                      <w:color w:val="FF0000"/>
                      <w:sz w:val="21"/>
                      <w:szCs w:val="21"/>
                      <w:highlight w:val="none"/>
                      <w:u w:val="none"/>
                      <w:lang w:val="en-US" w:eastAsia="zh-CN"/>
                    </w:rPr>
                    <w:t>闭矿</w:t>
                  </w:r>
                  <w:r>
                    <w:rPr>
                      <w:rFonts w:hint="eastAsia" w:ascii="Times New Roman" w:hAnsi="Times New Roman" w:eastAsia="宋体" w:cs="Times New Roman"/>
                      <w:b w:val="0"/>
                      <w:bCs w:val="0"/>
                      <w:color w:val="FF0000"/>
                      <w:sz w:val="21"/>
                      <w:szCs w:val="21"/>
                      <w:highlight w:val="none"/>
                      <w:u w:val="none"/>
                      <w:lang w:val="en-US" w:eastAsia="zh-CN"/>
                    </w:rPr>
                    <w:t>前全部完成治理恢复任务。</w:t>
                  </w:r>
                </w:p>
                <w:p w14:paraId="5AEB9A96">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4.</w:t>
                  </w:r>
                  <w:r>
                    <w:rPr>
                      <w:rFonts w:hint="eastAsia" w:ascii="Times New Roman" w:hAnsi="Times New Roman" w:eastAsia="宋体" w:cs="Times New Roman"/>
                      <w:b w:val="0"/>
                      <w:bCs w:val="0"/>
                      <w:color w:val="FF0000"/>
                      <w:sz w:val="21"/>
                      <w:szCs w:val="21"/>
                      <w:highlight w:val="none"/>
                      <w:u w:val="none"/>
                      <w:lang w:val="en-US" w:eastAsia="zh-CN"/>
                    </w:rPr>
                    <w:t>经批准的环境影响评价报告、地质灾害危险性评估报告和矿山地质环境恢复治理方案所确定的防治工程，必须与矿山主体工程同时设计、同时施工、同时验收。</w:t>
                  </w:r>
                </w:p>
                <w:p w14:paraId="3710AA42">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5.</w:t>
                  </w:r>
                  <w:r>
                    <w:rPr>
                      <w:rFonts w:hint="eastAsia" w:ascii="Times New Roman" w:hAnsi="Times New Roman" w:eastAsia="宋体" w:cs="Times New Roman"/>
                      <w:b w:val="0"/>
                      <w:bCs w:val="0"/>
                      <w:color w:val="FF0000"/>
                      <w:sz w:val="21"/>
                      <w:szCs w:val="21"/>
                      <w:highlight w:val="none"/>
                      <w:u w:val="none"/>
                      <w:lang w:val="en-US" w:eastAsia="zh-CN"/>
                    </w:rPr>
                    <w:t xml:space="preserve">加强矿山地质环境保护监督检查，强化矿山地质环境的恢复治理。对矿业活动进行全过程监控，加强监督检查，防止矿山地质环境破坏。依法督促采矿权人对矿山开发活动中遗留的坑、井等工程进行封闭和填实，对采矿形成的危岩体及滑坡等地质灾害隐患进行防治。 </w:t>
                  </w:r>
                </w:p>
                <w:p w14:paraId="59827DBC">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6.</w:t>
                  </w:r>
                  <w:r>
                    <w:rPr>
                      <w:rFonts w:hint="eastAsia" w:ascii="Times New Roman" w:hAnsi="Times New Roman" w:eastAsia="宋体" w:cs="Times New Roman"/>
                      <w:b w:val="0"/>
                      <w:bCs w:val="0"/>
                      <w:color w:val="FF0000"/>
                      <w:sz w:val="21"/>
                      <w:szCs w:val="21"/>
                      <w:highlight w:val="none"/>
                      <w:u w:val="none"/>
                      <w:lang w:val="en-US" w:eastAsia="zh-CN"/>
                    </w:rPr>
                    <w:t>严格执行“三废”排放标准。</w:t>
                  </w:r>
                </w:p>
                <w:p w14:paraId="401E23FB">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default" w:ascii="Times New Roman" w:hAnsi="Times New Roman" w:eastAsia="宋体" w:cs="Times New Roman"/>
                      <w:b w:val="0"/>
                      <w:bCs w:val="0"/>
                      <w:color w:val="FF0000"/>
                      <w:sz w:val="21"/>
                      <w:szCs w:val="21"/>
                      <w:highlight w:val="none"/>
                      <w:u w:val="none"/>
                      <w:lang w:val="en-US" w:eastAsia="zh-CN"/>
                    </w:rPr>
                    <w:t>7.</w:t>
                  </w:r>
                  <w:r>
                    <w:rPr>
                      <w:rFonts w:hint="eastAsia" w:ascii="Times New Roman" w:hAnsi="Times New Roman" w:eastAsia="宋体" w:cs="Times New Roman"/>
                      <w:b w:val="0"/>
                      <w:bCs w:val="0"/>
                      <w:color w:val="FF0000"/>
                      <w:sz w:val="21"/>
                      <w:szCs w:val="21"/>
                      <w:highlight w:val="none"/>
                      <w:u w:val="none"/>
                      <w:lang w:val="en-US" w:eastAsia="zh-CN"/>
                    </w:rPr>
                    <w:t>加强矿山地质环境的监测预报。及时掌握矿山地质环境的动态变化，适时采取有效的防治措施，使矿山地质环境问题得到基本控制和综合整治。</w:t>
                  </w:r>
                </w:p>
              </w:tc>
              <w:tc>
                <w:tcPr>
                  <w:tcW w:w="1079" w:type="pct"/>
                  <w:tcBorders>
                    <w:tl2br w:val="nil"/>
                    <w:tr2bl w:val="nil"/>
                  </w:tcBorders>
                  <w:noWrap w:val="0"/>
                  <w:vAlign w:val="center"/>
                </w:tcPr>
                <w:p w14:paraId="31CE5BA8">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本项目已通过招拍挂的形式取得采矿权，并符合同德县矿产资源规划，矿山将按照绿色矿山的标准进行设计、建设、运营等；本项目严格按照同时设计、同时施工、同时验收进行；建设单位将认真接受管理部门的监督检查；本项目严格执行“三废”排放标准；将加强矿山地质环境的监测预报。</w:t>
                  </w:r>
                </w:p>
              </w:tc>
              <w:tc>
                <w:tcPr>
                  <w:tcW w:w="535" w:type="pct"/>
                  <w:tcBorders>
                    <w:tl2br w:val="nil"/>
                    <w:tr2bl w:val="nil"/>
                  </w:tcBorders>
                  <w:noWrap w:val="0"/>
                  <w:vAlign w:val="center"/>
                </w:tcPr>
                <w:p w14:paraId="3FE1DDF5">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符合</w:t>
                  </w:r>
                </w:p>
              </w:tc>
            </w:tr>
            <w:tr w14:paraId="4B6C7A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c>
                <w:tcPr>
                  <w:tcW w:w="688" w:type="pct"/>
                  <w:tcBorders>
                    <w:tl2br w:val="nil"/>
                    <w:tr2bl w:val="nil"/>
                  </w:tcBorders>
                  <w:noWrap w:val="0"/>
                  <w:vAlign w:val="center"/>
                </w:tcPr>
                <w:p w14:paraId="4081BCFB">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矿山地质环境保护与恢复治理措施</w:t>
                  </w:r>
                </w:p>
              </w:tc>
              <w:tc>
                <w:tcPr>
                  <w:tcW w:w="2696" w:type="pct"/>
                  <w:tcBorders>
                    <w:tl2br w:val="nil"/>
                    <w:tr2bl w:val="nil"/>
                  </w:tcBorders>
                  <w:noWrap w:val="0"/>
                  <w:vAlign w:val="center"/>
                </w:tcPr>
                <w:p w14:paraId="5D17E1C3">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 xml:space="preserve">（一）地面塌陷防治措施：加固或填充已经塌陷、滑移的岩体，对于结构复杂的矿层，可采用柱式或房柱式回采，以减少采后的地表塌陷量，减轻对地表环境的影响；对于厚矿层可利用水砂充填管理采空区顶板方法减少地表沉陷。对于采空区塌陷引起的地表土壤无法耕种和利用问题，通过工程复垦和生物复垦解决。 </w:t>
                  </w:r>
                </w:p>
                <w:p w14:paraId="3CDD5522">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 xml:space="preserve">（二）滑坡与崩塌防治措施：对于滑坡的防治，设置支挡结构（抗滑挡墙、抗滑桩）以支挡滑体或将滑体锚固在稳定岩层之上，滑坡区地表排水尽量在滑坡周界外较稳定地段设置截水沟等。对于崩塌的防治，主要采取缓坡减载、砌体加固和避免超高剥采的方法。矿坑外山坡可以设置防排水沟，砌挡土坝、种树植被，对谷沟处易诱发崩塌地段，宜采用填沟排土充填，稳定岩体的方法。 </w:t>
                  </w:r>
                </w:p>
                <w:p w14:paraId="7FDE77B5">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三）泥石流防治措施：根据泥石流不同特点，相应采取不同防治措施。在以坡面侵蚀及沟谷侵蚀为主的泥石流地区，以生物措施为主、辅以工程措施；在崩塌、滑坡强烈活动的地区，以工程措施为主生物措施为辅，在坡面侵蚀和重力侵蚀兼有的泥石流地区则以综合治理为主。</w:t>
                  </w:r>
                </w:p>
              </w:tc>
              <w:tc>
                <w:tcPr>
                  <w:tcW w:w="1079" w:type="pct"/>
                  <w:tcBorders>
                    <w:tl2br w:val="nil"/>
                    <w:tr2bl w:val="nil"/>
                  </w:tcBorders>
                  <w:noWrap w:val="0"/>
                  <w:vAlign w:val="center"/>
                </w:tcPr>
                <w:p w14:paraId="71F85EA1">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本项目属于露天开采，采用台阶式自上而下开</w:t>
                  </w:r>
                  <w:r>
                    <w:rPr>
                      <w:rFonts w:hint="eastAsia" w:cs="Times New Roman"/>
                      <w:b w:val="0"/>
                      <w:bCs w:val="0"/>
                      <w:color w:val="FF0000"/>
                      <w:sz w:val="21"/>
                      <w:szCs w:val="21"/>
                      <w:highlight w:val="none"/>
                      <w:u w:val="none"/>
                      <w:lang w:val="en-US" w:eastAsia="zh-CN"/>
                    </w:rPr>
                    <w:t>采</w:t>
                  </w:r>
                  <w:r>
                    <w:rPr>
                      <w:rFonts w:hint="eastAsia" w:ascii="Times New Roman" w:hAnsi="Times New Roman" w:eastAsia="宋体" w:cs="Times New Roman"/>
                      <w:b w:val="0"/>
                      <w:bCs w:val="0"/>
                      <w:color w:val="FF0000"/>
                      <w:sz w:val="21"/>
                      <w:szCs w:val="21"/>
                      <w:highlight w:val="none"/>
                      <w:u w:val="none"/>
                      <w:lang w:val="en-US" w:eastAsia="zh-CN"/>
                    </w:rPr>
                    <w:t>，不涉及地面塌陷等；对于滑坡的防治，设置支挡结构；开采区周围设置截排水沟等。</w:t>
                  </w:r>
                </w:p>
              </w:tc>
              <w:tc>
                <w:tcPr>
                  <w:tcW w:w="535" w:type="pct"/>
                  <w:tcBorders>
                    <w:tl2br w:val="nil"/>
                    <w:tr2bl w:val="nil"/>
                  </w:tcBorders>
                  <w:noWrap w:val="0"/>
                  <w:vAlign w:val="center"/>
                </w:tcPr>
                <w:p w14:paraId="60925E0D">
                  <w:pPr>
                    <w:pStyle w:val="66"/>
                    <w:keepNext w:val="0"/>
                    <w:keepLines w:val="0"/>
                    <w:pageBreakBefore w:val="0"/>
                    <w:widowControl w:val="0"/>
                    <w:wordWrap/>
                    <w:overflowPunct w:val="0"/>
                    <w:bidi w:val="0"/>
                    <w:jc w:val="center"/>
                    <w:rPr>
                      <w:rFonts w:hint="default"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highlight w:val="none"/>
                      <w:u w:val="none"/>
                      <w:lang w:val="en-US" w:eastAsia="zh-CN"/>
                    </w:rPr>
                    <w:t>符合</w:t>
                  </w:r>
                </w:p>
              </w:tc>
            </w:tr>
          </w:tbl>
          <w:p w14:paraId="41DAAD8A">
            <w:pPr>
              <w:bidi w:val="0"/>
              <w:rPr>
                <w:rFonts w:hint="eastAsia" w:ascii="Times New Roman" w:hAnsi="Times New Roman" w:eastAsia="宋体" w:cs="Times New Roman"/>
                <w:color w:val="FF0000"/>
                <w:kern w:val="0"/>
                <w:szCs w:val="21"/>
                <w:lang w:val="en-US" w:eastAsia="zh-CN" w:bidi="ar-SA"/>
              </w:rPr>
            </w:pPr>
            <w:r>
              <w:rPr>
                <w:rFonts w:hint="eastAsia"/>
                <w:color w:val="FF0000"/>
                <w:lang w:val="en-US" w:eastAsia="zh-CN"/>
              </w:rPr>
              <w:t>经分析可知，拟建项目符合《青海省矿产资源总体规划（2021-2025年）环境影响报告书》规划环评中各类环保措施要求。</w:t>
            </w:r>
          </w:p>
          <w:p w14:paraId="42237A11">
            <w:pPr>
              <w:pStyle w:val="5"/>
              <w:bidi w:val="0"/>
              <w:rPr>
                <w:rFonts w:hint="default"/>
                <w:lang w:val="en-US" w:eastAsia="zh-CN"/>
              </w:rPr>
            </w:pPr>
            <w:r>
              <w:rPr>
                <w:rFonts w:hint="default"/>
                <w:lang w:val="en-US" w:eastAsia="zh-CN"/>
              </w:rPr>
              <w:t>表</w:t>
            </w:r>
            <w:r>
              <w:rPr>
                <w:rFonts w:hint="eastAsia"/>
                <w:lang w:val="en-US" w:eastAsia="zh-CN"/>
              </w:rPr>
              <w:t xml:space="preserve">1-3 </w:t>
            </w:r>
            <w:r>
              <w:rPr>
                <w:rFonts w:hint="default"/>
                <w:lang w:val="en-US" w:eastAsia="zh-CN"/>
              </w:rPr>
              <w:t xml:space="preserve"> 《青海省矿产资源总体规划（2021-2025年）环境影响报告书》审查意见符合性分析</w:t>
            </w:r>
          </w:p>
          <w:tbl>
            <w:tblPr>
              <w:tblStyle w:val="23"/>
              <w:tblW w:w="5000"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3900"/>
              <w:gridCol w:w="2438"/>
              <w:gridCol w:w="800"/>
            </w:tblGrid>
            <w:tr w14:paraId="2697F2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blHeader/>
              </w:trPr>
              <w:tc>
                <w:tcPr>
                  <w:tcW w:w="2731" w:type="pct"/>
                  <w:tcBorders>
                    <w:tl2br w:val="nil"/>
                    <w:tr2bl w:val="nil"/>
                  </w:tcBorders>
                  <w:noWrap w:val="0"/>
                  <w:vAlign w:val="center"/>
                </w:tcPr>
                <w:p w14:paraId="3FED50EF">
                  <w:pPr>
                    <w:pStyle w:val="66"/>
                    <w:keepNext w:val="0"/>
                    <w:keepLines w:val="0"/>
                    <w:pageBreakBefore w:val="0"/>
                    <w:widowControl w:val="0"/>
                    <w:wordWrap/>
                    <w:overflowPunct w:val="0"/>
                    <w:bidi w:val="0"/>
                    <w:rPr>
                      <w:b/>
                      <w:bCs/>
                      <w:color w:val="FF0000"/>
                      <w:sz w:val="21"/>
                      <w:szCs w:val="21"/>
                      <w:highlight w:val="none"/>
                      <w:u w:val="none"/>
                    </w:rPr>
                  </w:pPr>
                  <w:r>
                    <w:rPr>
                      <w:b/>
                      <w:bCs/>
                      <w:color w:val="FF0000"/>
                      <w:sz w:val="21"/>
                      <w:szCs w:val="21"/>
                      <w:highlight w:val="none"/>
                      <w:u w:val="none"/>
                    </w:rPr>
                    <w:t>《规划》优化调整和实施的意见提出</w:t>
                  </w:r>
                </w:p>
              </w:tc>
              <w:tc>
                <w:tcPr>
                  <w:tcW w:w="1707" w:type="pct"/>
                  <w:tcBorders>
                    <w:tl2br w:val="nil"/>
                    <w:tr2bl w:val="nil"/>
                  </w:tcBorders>
                  <w:noWrap w:val="0"/>
                  <w:vAlign w:val="center"/>
                </w:tcPr>
                <w:p w14:paraId="6F5B454C">
                  <w:pPr>
                    <w:pStyle w:val="66"/>
                    <w:keepNext w:val="0"/>
                    <w:keepLines w:val="0"/>
                    <w:pageBreakBefore w:val="0"/>
                    <w:widowControl w:val="0"/>
                    <w:wordWrap/>
                    <w:overflowPunct w:val="0"/>
                    <w:bidi w:val="0"/>
                    <w:rPr>
                      <w:b/>
                      <w:bCs/>
                      <w:color w:val="FF0000"/>
                      <w:sz w:val="21"/>
                      <w:szCs w:val="21"/>
                      <w:highlight w:val="none"/>
                      <w:u w:val="none"/>
                    </w:rPr>
                  </w:pPr>
                  <w:r>
                    <w:rPr>
                      <w:b/>
                      <w:bCs/>
                      <w:color w:val="FF0000"/>
                      <w:sz w:val="21"/>
                      <w:szCs w:val="21"/>
                      <w:highlight w:val="none"/>
                      <w:u w:val="none"/>
                    </w:rPr>
                    <w:t>本项目情况</w:t>
                  </w:r>
                </w:p>
              </w:tc>
              <w:tc>
                <w:tcPr>
                  <w:tcW w:w="560" w:type="pct"/>
                  <w:tcBorders>
                    <w:tl2br w:val="nil"/>
                    <w:tr2bl w:val="nil"/>
                  </w:tcBorders>
                  <w:noWrap w:val="0"/>
                  <w:vAlign w:val="center"/>
                </w:tcPr>
                <w:p w14:paraId="29C86E78">
                  <w:pPr>
                    <w:pStyle w:val="66"/>
                    <w:keepNext w:val="0"/>
                    <w:keepLines w:val="0"/>
                    <w:pageBreakBefore w:val="0"/>
                    <w:widowControl w:val="0"/>
                    <w:wordWrap/>
                    <w:overflowPunct w:val="0"/>
                    <w:bidi w:val="0"/>
                    <w:jc w:val="center"/>
                    <w:rPr>
                      <w:b/>
                      <w:bCs/>
                      <w:color w:val="FF0000"/>
                      <w:sz w:val="21"/>
                      <w:szCs w:val="21"/>
                      <w:highlight w:val="none"/>
                      <w:u w:val="none"/>
                    </w:rPr>
                  </w:pPr>
                  <w:r>
                    <w:rPr>
                      <w:b/>
                      <w:bCs/>
                      <w:color w:val="FF0000"/>
                      <w:sz w:val="21"/>
                      <w:szCs w:val="21"/>
                      <w:highlight w:val="none"/>
                      <w:u w:val="none"/>
                    </w:rPr>
                    <w:t>符合性</w:t>
                  </w:r>
                </w:p>
              </w:tc>
            </w:tr>
            <w:tr w14:paraId="58E810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2731" w:type="pct"/>
                  <w:tcBorders>
                    <w:tl2br w:val="nil"/>
                    <w:tr2bl w:val="nil"/>
                  </w:tcBorders>
                  <w:noWrap w:val="0"/>
                  <w:vAlign w:val="center"/>
                </w:tcPr>
                <w:p w14:paraId="4E3A011E">
                  <w:pPr>
                    <w:pStyle w:val="66"/>
                    <w:keepNext w:val="0"/>
                    <w:keepLines w:val="0"/>
                    <w:pageBreakBefore w:val="0"/>
                    <w:widowControl w:val="0"/>
                    <w:wordWrap/>
                    <w:overflowPunct w:val="0"/>
                    <w:bidi w:val="0"/>
                    <w:jc w:val="both"/>
                    <w:rPr>
                      <w:rFonts w:hint="eastAsia" w:eastAsia="宋体"/>
                      <w:color w:val="FF0000"/>
                      <w:sz w:val="21"/>
                      <w:szCs w:val="21"/>
                      <w:highlight w:val="none"/>
                      <w:u w:val="none"/>
                      <w:lang w:val="en-US" w:eastAsia="zh-CN"/>
                    </w:rPr>
                  </w:pPr>
                  <w:r>
                    <w:rPr>
                      <w:color w:val="FF0000"/>
                      <w:sz w:val="21"/>
                      <w:szCs w:val="21"/>
                      <w:highlight w:val="none"/>
                      <w:u w:val="none"/>
                    </w:rPr>
                    <w:t>坚持生态优先，绿色发展：《规划》应严格执行国家矿产资源合理开发利用“三率”（即开采回采率、选矿回收率、综合利用率</w:t>
                  </w:r>
                  <w:r>
                    <w:rPr>
                      <w:rFonts w:hint="eastAsia"/>
                      <w:color w:val="FF0000"/>
                      <w:sz w:val="21"/>
                      <w:szCs w:val="21"/>
                      <w:highlight w:val="none"/>
                      <w:u w:val="none"/>
                      <w:lang w:eastAsia="zh-CN"/>
                    </w:rPr>
                    <w:t>）</w:t>
                  </w:r>
                  <w:r>
                    <w:rPr>
                      <w:color w:val="FF0000"/>
                      <w:sz w:val="21"/>
                      <w:szCs w:val="21"/>
                      <w:highlight w:val="none"/>
                      <w:u w:val="none"/>
                    </w:rPr>
                    <w:t>相关要求，确保新建矿山绿色矿山标准建设率达到100%、铜矿开采回采率不低于92%、全省矿产整体“三率”水平达标率85%以上</w:t>
                  </w:r>
                  <w:r>
                    <w:rPr>
                      <w:rFonts w:hint="eastAsia"/>
                      <w:color w:val="FF0000"/>
                      <w:sz w:val="21"/>
                      <w:szCs w:val="21"/>
                      <w:highlight w:val="none"/>
                      <w:u w:val="none"/>
                      <w:lang w:eastAsia="zh-CN"/>
                    </w:rPr>
                    <w:t>。</w:t>
                  </w:r>
                </w:p>
              </w:tc>
              <w:tc>
                <w:tcPr>
                  <w:tcW w:w="1707" w:type="pct"/>
                  <w:tcBorders>
                    <w:tl2br w:val="nil"/>
                    <w:tr2bl w:val="nil"/>
                  </w:tcBorders>
                  <w:noWrap w:val="0"/>
                  <w:vAlign w:val="center"/>
                </w:tcPr>
                <w:p w14:paraId="735E4F3F">
                  <w:pPr>
                    <w:pStyle w:val="66"/>
                    <w:keepNext w:val="0"/>
                    <w:keepLines w:val="0"/>
                    <w:pageBreakBefore w:val="0"/>
                    <w:widowControl w:val="0"/>
                    <w:wordWrap/>
                    <w:overflowPunct w:val="0"/>
                    <w:bidi w:val="0"/>
                    <w:jc w:val="both"/>
                    <w:rPr>
                      <w:rFonts w:hint="eastAsia" w:eastAsia="宋体"/>
                      <w:color w:val="FF0000"/>
                      <w:sz w:val="21"/>
                      <w:szCs w:val="21"/>
                      <w:highlight w:val="none"/>
                      <w:u w:val="none"/>
                      <w:lang w:eastAsia="zh-CN"/>
                    </w:rPr>
                  </w:pPr>
                  <w:r>
                    <w:rPr>
                      <w:color w:val="FF0000"/>
                      <w:sz w:val="21"/>
                      <w:szCs w:val="21"/>
                      <w:highlight w:val="none"/>
                      <w:u w:val="none"/>
                    </w:rPr>
                    <w:t>本</w:t>
                  </w:r>
                  <w:r>
                    <w:rPr>
                      <w:rFonts w:hint="eastAsia"/>
                      <w:color w:val="FF0000"/>
                      <w:sz w:val="21"/>
                      <w:szCs w:val="21"/>
                      <w:highlight w:val="none"/>
                      <w:u w:val="none"/>
                      <w:lang w:val="en-US" w:eastAsia="zh-CN"/>
                    </w:rPr>
                    <w:t>项目为矿山项目，“三率”满足</w:t>
                  </w:r>
                  <w:r>
                    <w:rPr>
                      <w:color w:val="FF0000"/>
                      <w:sz w:val="21"/>
                      <w:szCs w:val="21"/>
                      <w:highlight w:val="none"/>
                      <w:u w:val="none"/>
                    </w:rPr>
                    <w:t>国家矿产资源合理开发利用</w:t>
                  </w:r>
                  <w:r>
                    <w:rPr>
                      <w:rFonts w:hint="eastAsia"/>
                      <w:color w:val="FF0000"/>
                      <w:sz w:val="21"/>
                      <w:szCs w:val="21"/>
                      <w:highlight w:val="none"/>
                      <w:u w:val="none"/>
                      <w:lang w:val="en-US" w:eastAsia="zh-CN"/>
                    </w:rPr>
                    <w:t>关于</w:t>
                  </w:r>
                  <w:r>
                    <w:rPr>
                      <w:color w:val="FF0000"/>
                      <w:sz w:val="21"/>
                      <w:szCs w:val="21"/>
                      <w:highlight w:val="none"/>
                      <w:u w:val="none"/>
                    </w:rPr>
                    <w:t>“三率”</w:t>
                  </w:r>
                  <w:r>
                    <w:rPr>
                      <w:rFonts w:hint="eastAsia"/>
                      <w:color w:val="FF0000"/>
                      <w:sz w:val="21"/>
                      <w:szCs w:val="21"/>
                      <w:highlight w:val="none"/>
                      <w:u w:val="none"/>
                      <w:lang w:val="en-US" w:eastAsia="zh-CN"/>
                    </w:rPr>
                    <w:t>的相关要求。本项目开发利用方案、设计及本次评价均按照国家绿色矿山要求对本项目建设提出了绿色矿山建设的要求。</w:t>
                  </w:r>
                </w:p>
              </w:tc>
              <w:tc>
                <w:tcPr>
                  <w:tcW w:w="560" w:type="pct"/>
                  <w:tcBorders>
                    <w:tl2br w:val="nil"/>
                    <w:tr2bl w:val="nil"/>
                  </w:tcBorders>
                  <w:noWrap w:val="0"/>
                  <w:vAlign w:val="center"/>
                </w:tcPr>
                <w:p w14:paraId="0D8A360A">
                  <w:pPr>
                    <w:pStyle w:val="66"/>
                    <w:keepNext w:val="0"/>
                    <w:keepLines w:val="0"/>
                    <w:pageBreakBefore w:val="0"/>
                    <w:widowControl w:val="0"/>
                    <w:wordWrap/>
                    <w:overflowPunct w:val="0"/>
                    <w:bidi w:val="0"/>
                    <w:jc w:val="center"/>
                    <w:rPr>
                      <w:color w:val="FF0000"/>
                      <w:sz w:val="21"/>
                      <w:szCs w:val="21"/>
                      <w:highlight w:val="none"/>
                      <w:u w:val="none"/>
                    </w:rPr>
                  </w:pPr>
                  <w:r>
                    <w:rPr>
                      <w:color w:val="FF0000"/>
                      <w:sz w:val="21"/>
                      <w:szCs w:val="21"/>
                      <w:highlight w:val="none"/>
                      <w:u w:val="none"/>
                    </w:rPr>
                    <w:t>符合</w:t>
                  </w:r>
                </w:p>
              </w:tc>
            </w:tr>
            <w:tr w14:paraId="08D9BD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2731" w:type="pct"/>
                  <w:tcBorders>
                    <w:tl2br w:val="nil"/>
                    <w:tr2bl w:val="nil"/>
                  </w:tcBorders>
                  <w:noWrap w:val="0"/>
                  <w:vAlign w:val="center"/>
                </w:tcPr>
                <w:p w14:paraId="6D3D2C03">
                  <w:pPr>
                    <w:pStyle w:val="66"/>
                    <w:keepNext w:val="0"/>
                    <w:keepLines w:val="0"/>
                    <w:pageBreakBefore w:val="0"/>
                    <w:widowControl w:val="0"/>
                    <w:wordWrap/>
                    <w:overflowPunct w:val="0"/>
                    <w:bidi w:val="0"/>
                    <w:jc w:val="both"/>
                    <w:rPr>
                      <w:color w:val="FF0000"/>
                      <w:sz w:val="21"/>
                      <w:szCs w:val="21"/>
                      <w:highlight w:val="none"/>
                      <w:u w:val="none"/>
                    </w:rPr>
                  </w:pPr>
                  <w:r>
                    <w:rPr>
                      <w:color w:val="FF0000"/>
                      <w:sz w:val="21"/>
                      <w:szCs w:val="21"/>
                      <w:highlight w:val="none"/>
                      <w:u w:val="none"/>
                    </w:rPr>
                    <w:t>严格保护生态空间，优化《规划》空间布局：</w:t>
                  </w:r>
                </w:p>
                <w:p w14:paraId="157466AA">
                  <w:pPr>
                    <w:pStyle w:val="66"/>
                    <w:keepNext w:val="0"/>
                    <w:keepLines w:val="0"/>
                    <w:pageBreakBefore w:val="0"/>
                    <w:widowControl w:val="0"/>
                    <w:wordWrap/>
                    <w:overflowPunct w:val="0"/>
                    <w:bidi w:val="0"/>
                    <w:jc w:val="both"/>
                    <w:rPr>
                      <w:color w:val="FF0000"/>
                      <w:sz w:val="21"/>
                      <w:szCs w:val="21"/>
                      <w:highlight w:val="none"/>
                      <w:u w:val="none"/>
                    </w:rPr>
                  </w:pPr>
                  <w:r>
                    <w:rPr>
                      <w:rFonts w:hint="eastAsia"/>
                      <w:color w:val="FF0000"/>
                      <w:sz w:val="21"/>
                      <w:szCs w:val="21"/>
                      <w:highlight w:val="none"/>
                      <w:u w:val="none"/>
                    </w:rPr>
                    <w:t>与生态保护红线存在空间重叠的2个国家规划矿区、2个能源资源基地和7个重点勘查区，在后续设置矿业权</w:t>
                  </w:r>
                  <w:r>
                    <w:rPr>
                      <w:rFonts w:hint="eastAsia"/>
                      <w:color w:val="FF0000"/>
                      <w:sz w:val="21"/>
                      <w:szCs w:val="21"/>
                      <w:highlight w:val="none"/>
                      <w:u w:val="none"/>
                      <w:lang w:eastAsia="zh-CN"/>
                    </w:rPr>
                    <w:t>（</w:t>
                  </w:r>
                  <w:r>
                    <w:rPr>
                      <w:rFonts w:hint="eastAsia"/>
                      <w:color w:val="FF0000"/>
                      <w:sz w:val="21"/>
                      <w:szCs w:val="21"/>
                      <w:highlight w:val="none"/>
                      <w:u w:val="none"/>
                    </w:rPr>
                    <w:t>勘查、开采</w:t>
                  </w:r>
                  <w:r>
                    <w:rPr>
                      <w:rFonts w:hint="eastAsia"/>
                      <w:color w:val="FF0000"/>
                      <w:sz w:val="21"/>
                      <w:szCs w:val="21"/>
                      <w:highlight w:val="none"/>
                      <w:u w:val="none"/>
                      <w:lang w:eastAsia="zh-CN"/>
                    </w:rPr>
                    <w:t>）</w:t>
                  </w:r>
                  <w:r>
                    <w:rPr>
                      <w:rFonts w:hint="eastAsia"/>
                      <w:color w:val="FF0000"/>
                      <w:sz w:val="21"/>
                      <w:szCs w:val="21"/>
                      <w:highlight w:val="none"/>
                      <w:u w:val="none"/>
                    </w:rPr>
                    <w:t>中应主动避让。</w:t>
                  </w:r>
                </w:p>
                <w:p w14:paraId="05404C4B">
                  <w:pPr>
                    <w:pStyle w:val="66"/>
                    <w:keepNext w:val="0"/>
                    <w:keepLines w:val="0"/>
                    <w:pageBreakBefore w:val="0"/>
                    <w:widowControl w:val="0"/>
                    <w:wordWrap/>
                    <w:overflowPunct w:val="0"/>
                    <w:bidi w:val="0"/>
                    <w:jc w:val="both"/>
                    <w:rPr>
                      <w:color w:val="FF0000"/>
                      <w:sz w:val="21"/>
                      <w:szCs w:val="21"/>
                      <w:highlight w:val="none"/>
                      <w:u w:val="none"/>
                    </w:rPr>
                  </w:pPr>
                  <w:r>
                    <w:rPr>
                      <w:color w:val="FF0000"/>
                      <w:sz w:val="21"/>
                      <w:szCs w:val="21"/>
                      <w:highlight w:val="none"/>
                      <w:u w:val="none"/>
                    </w:rPr>
                    <w:t>涉及可可西里国家级自然保护区、哈里哈图国家森林公园、贵德县黄河清国家湿地公园等生态环境敏感区的重点勘查区、重点开采区、勘查规划区块和开采规划区块，应进一步优化布局，确保满足生态环境敏感区相关管控要求。涉及三江源国家级自然保护区、祁连山国家公园、玛可河国家湿地公园、贵南茫曲国家湿地公园等自然保护地的现有矿业权，依法依规逐步退出。</w:t>
                  </w:r>
                </w:p>
              </w:tc>
              <w:tc>
                <w:tcPr>
                  <w:tcW w:w="1707" w:type="pct"/>
                  <w:tcBorders>
                    <w:tl2br w:val="nil"/>
                    <w:tr2bl w:val="nil"/>
                  </w:tcBorders>
                  <w:noWrap w:val="0"/>
                  <w:vAlign w:val="center"/>
                </w:tcPr>
                <w:p w14:paraId="6B08E9A9">
                  <w:pPr>
                    <w:pStyle w:val="66"/>
                    <w:keepNext w:val="0"/>
                    <w:keepLines w:val="0"/>
                    <w:pageBreakBefore w:val="0"/>
                    <w:widowControl w:val="0"/>
                    <w:wordWrap/>
                    <w:overflowPunct w:val="0"/>
                    <w:bidi w:val="0"/>
                    <w:jc w:val="both"/>
                    <w:rPr>
                      <w:color w:val="FF0000"/>
                      <w:sz w:val="21"/>
                      <w:szCs w:val="21"/>
                      <w:highlight w:val="none"/>
                      <w:u w:val="none"/>
                    </w:rPr>
                  </w:pPr>
                  <w:r>
                    <w:rPr>
                      <w:rFonts w:hint="eastAsia"/>
                      <w:color w:val="FF0000"/>
                      <w:sz w:val="21"/>
                      <w:szCs w:val="21"/>
                      <w:highlight w:val="none"/>
                      <w:u w:val="none"/>
                      <w:lang w:val="en-US" w:eastAsia="zh-CN"/>
                    </w:rPr>
                    <w:t>经核实，本项目采矿区不涉及生态红线。</w:t>
                  </w:r>
                  <w:r>
                    <w:rPr>
                      <w:color w:val="FF0000"/>
                      <w:sz w:val="21"/>
                      <w:szCs w:val="21"/>
                      <w:highlight w:val="none"/>
                      <w:u w:val="none"/>
                    </w:rPr>
                    <w:t>本项目</w:t>
                  </w:r>
                  <w:r>
                    <w:rPr>
                      <w:rFonts w:hint="eastAsia"/>
                      <w:color w:val="FF0000"/>
                      <w:sz w:val="21"/>
                      <w:szCs w:val="21"/>
                      <w:highlight w:val="none"/>
                      <w:u w:val="none"/>
                      <w:lang w:val="en-US" w:eastAsia="zh-CN"/>
                    </w:rPr>
                    <w:t>采矿范围</w:t>
                  </w:r>
                  <w:r>
                    <w:rPr>
                      <w:color w:val="FF0000"/>
                      <w:sz w:val="21"/>
                      <w:szCs w:val="21"/>
                      <w:highlight w:val="none"/>
                      <w:u w:val="none"/>
                    </w:rPr>
                    <w:t>不</w:t>
                  </w:r>
                  <w:r>
                    <w:rPr>
                      <w:rFonts w:hint="eastAsia"/>
                      <w:color w:val="FF0000"/>
                      <w:sz w:val="21"/>
                      <w:szCs w:val="21"/>
                      <w:highlight w:val="none"/>
                      <w:u w:val="none"/>
                      <w:lang w:val="en-US" w:eastAsia="zh-CN"/>
                    </w:rPr>
                    <w:t>属于</w:t>
                  </w:r>
                  <w:r>
                    <w:rPr>
                      <w:color w:val="FF0000"/>
                      <w:sz w:val="21"/>
                      <w:szCs w:val="21"/>
                      <w:highlight w:val="none"/>
                      <w:u w:val="none"/>
                    </w:rPr>
                    <w:t>三江源国家级自然保护区内，符合规划批复要求。</w:t>
                  </w:r>
                </w:p>
              </w:tc>
              <w:tc>
                <w:tcPr>
                  <w:tcW w:w="560" w:type="pct"/>
                  <w:tcBorders>
                    <w:tl2br w:val="nil"/>
                    <w:tr2bl w:val="nil"/>
                  </w:tcBorders>
                  <w:noWrap w:val="0"/>
                  <w:vAlign w:val="center"/>
                </w:tcPr>
                <w:p w14:paraId="73718DCA">
                  <w:pPr>
                    <w:pStyle w:val="66"/>
                    <w:keepNext w:val="0"/>
                    <w:keepLines w:val="0"/>
                    <w:pageBreakBefore w:val="0"/>
                    <w:widowControl w:val="0"/>
                    <w:wordWrap/>
                    <w:overflowPunct w:val="0"/>
                    <w:bidi w:val="0"/>
                    <w:jc w:val="center"/>
                    <w:rPr>
                      <w:color w:val="FF0000"/>
                      <w:sz w:val="21"/>
                      <w:szCs w:val="21"/>
                      <w:highlight w:val="none"/>
                      <w:u w:val="none"/>
                    </w:rPr>
                  </w:pPr>
                  <w:r>
                    <w:rPr>
                      <w:color w:val="FF0000"/>
                      <w:sz w:val="21"/>
                      <w:szCs w:val="21"/>
                      <w:highlight w:val="none"/>
                      <w:u w:val="none"/>
                    </w:rPr>
                    <w:t>符合</w:t>
                  </w:r>
                </w:p>
              </w:tc>
            </w:tr>
            <w:tr w14:paraId="2B095F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2731" w:type="pct"/>
                  <w:tcBorders>
                    <w:tl2br w:val="nil"/>
                    <w:tr2bl w:val="nil"/>
                  </w:tcBorders>
                  <w:noWrap w:val="0"/>
                  <w:vAlign w:val="center"/>
                </w:tcPr>
                <w:p w14:paraId="326D2559">
                  <w:pPr>
                    <w:pStyle w:val="66"/>
                    <w:keepNext w:val="0"/>
                    <w:keepLines w:val="0"/>
                    <w:pageBreakBefore w:val="0"/>
                    <w:widowControl w:val="0"/>
                    <w:wordWrap/>
                    <w:overflowPunct w:val="0"/>
                    <w:bidi w:val="0"/>
                    <w:jc w:val="both"/>
                    <w:rPr>
                      <w:color w:val="FF0000"/>
                      <w:sz w:val="21"/>
                      <w:szCs w:val="21"/>
                      <w:highlight w:val="none"/>
                      <w:u w:val="none"/>
                    </w:rPr>
                  </w:pPr>
                  <w:r>
                    <w:rPr>
                      <w:color w:val="FF0000"/>
                      <w:sz w:val="21"/>
                      <w:szCs w:val="21"/>
                      <w:highlight w:val="none"/>
                      <w:u w:val="none"/>
                    </w:rPr>
                    <w:t>严格产业准入</w:t>
                  </w:r>
                  <w:r>
                    <w:rPr>
                      <w:rFonts w:hint="eastAsia"/>
                      <w:color w:val="FF0000"/>
                      <w:sz w:val="21"/>
                      <w:szCs w:val="21"/>
                      <w:highlight w:val="none"/>
                      <w:u w:val="none"/>
                      <w:lang w:eastAsia="zh-CN"/>
                    </w:rPr>
                    <w:t>，</w:t>
                  </w:r>
                  <w:r>
                    <w:rPr>
                      <w:color w:val="FF0000"/>
                      <w:sz w:val="21"/>
                      <w:szCs w:val="21"/>
                      <w:highlight w:val="none"/>
                      <w:u w:val="none"/>
                    </w:rPr>
                    <w:t>合理控制矿山开采种类和规模：禁止开发汞、砂金、泥炭和可耕地砂石</w:t>
                  </w:r>
                  <w:r>
                    <w:rPr>
                      <w:rFonts w:hint="eastAsia"/>
                      <w:color w:val="FF0000"/>
                      <w:sz w:val="21"/>
                      <w:szCs w:val="21"/>
                      <w:highlight w:val="none"/>
                      <w:u w:val="none"/>
                      <w:lang w:eastAsia="zh-CN"/>
                    </w:rPr>
                    <w:t>（</w:t>
                  </w:r>
                  <w:r>
                    <w:rPr>
                      <w:color w:val="FF0000"/>
                      <w:sz w:val="21"/>
                      <w:szCs w:val="21"/>
                      <w:highlight w:val="none"/>
                      <w:u w:val="none"/>
                    </w:rPr>
                    <w:t>粘土</w:t>
                  </w:r>
                  <w:r>
                    <w:rPr>
                      <w:rFonts w:hint="eastAsia"/>
                      <w:color w:val="FF0000"/>
                      <w:sz w:val="21"/>
                      <w:szCs w:val="21"/>
                      <w:highlight w:val="none"/>
                      <w:u w:val="none"/>
                      <w:lang w:eastAsia="zh-CN"/>
                    </w:rPr>
                    <w:t>）</w:t>
                  </w:r>
                  <w:r>
                    <w:rPr>
                      <w:color w:val="FF0000"/>
                      <w:sz w:val="21"/>
                      <w:szCs w:val="21"/>
                      <w:highlight w:val="none"/>
                      <w:u w:val="none"/>
                    </w:rPr>
                    <w:t>等矿产</w:t>
                  </w:r>
                  <w:r>
                    <w:rPr>
                      <w:rFonts w:hint="eastAsia"/>
                      <w:color w:val="FF0000"/>
                      <w:sz w:val="21"/>
                      <w:szCs w:val="21"/>
                      <w:highlight w:val="none"/>
                      <w:u w:val="none"/>
                      <w:lang w:eastAsia="zh-CN"/>
                    </w:rPr>
                    <w:t>，</w:t>
                  </w:r>
                  <w:r>
                    <w:rPr>
                      <w:color w:val="FF0000"/>
                      <w:sz w:val="21"/>
                      <w:szCs w:val="21"/>
                      <w:highlight w:val="none"/>
                      <w:u w:val="none"/>
                    </w:rPr>
                    <w:t>限制开发碑、石棉等矿产。严格尾矿库的新建和管理</w:t>
                  </w:r>
                  <w:r>
                    <w:rPr>
                      <w:rFonts w:hint="eastAsia"/>
                      <w:color w:val="FF0000"/>
                      <w:sz w:val="21"/>
                      <w:szCs w:val="21"/>
                      <w:highlight w:val="none"/>
                      <w:u w:val="none"/>
                      <w:lang w:eastAsia="zh-CN"/>
                    </w:rPr>
                    <w:t>，</w:t>
                  </w:r>
                  <w:r>
                    <w:rPr>
                      <w:color w:val="FF0000"/>
                      <w:sz w:val="21"/>
                      <w:szCs w:val="21"/>
                      <w:highlight w:val="none"/>
                      <w:u w:val="none"/>
                    </w:rPr>
                    <w:t>确保符合相关要求。</w:t>
                  </w:r>
                </w:p>
              </w:tc>
              <w:tc>
                <w:tcPr>
                  <w:tcW w:w="1707" w:type="pct"/>
                  <w:tcBorders>
                    <w:tl2br w:val="nil"/>
                    <w:tr2bl w:val="nil"/>
                  </w:tcBorders>
                  <w:noWrap w:val="0"/>
                  <w:vAlign w:val="center"/>
                </w:tcPr>
                <w:p w14:paraId="57FD6110">
                  <w:pPr>
                    <w:pStyle w:val="66"/>
                    <w:keepNext w:val="0"/>
                    <w:keepLines w:val="0"/>
                    <w:pageBreakBefore w:val="0"/>
                    <w:widowControl w:val="0"/>
                    <w:wordWrap/>
                    <w:overflowPunct w:val="0"/>
                    <w:bidi w:val="0"/>
                    <w:jc w:val="both"/>
                    <w:rPr>
                      <w:color w:val="FF0000"/>
                      <w:sz w:val="21"/>
                      <w:szCs w:val="21"/>
                      <w:highlight w:val="none"/>
                      <w:u w:val="none"/>
                    </w:rPr>
                  </w:pPr>
                  <w:r>
                    <w:rPr>
                      <w:color w:val="FF0000"/>
                      <w:sz w:val="21"/>
                      <w:szCs w:val="21"/>
                      <w:highlight w:val="none"/>
                      <w:u w:val="none"/>
                    </w:rPr>
                    <w:t>本项目</w:t>
                  </w:r>
                  <w:r>
                    <w:rPr>
                      <w:rFonts w:hint="eastAsia"/>
                      <w:color w:val="FF0000"/>
                      <w:sz w:val="21"/>
                      <w:szCs w:val="21"/>
                      <w:highlight w:val="none"/>
                      <w:u w:val="none"/>
                      <w:lang w:val="en-US" w:eastAsia="zh-CN"/>
                    </w:rPr>
                    <w:t>开采矿种</w:t>
                  </w:r>
                  <w:r>
                    <w:rPr>
                      <w:color w:val="FF0000"/>
                      <w:sz w:val="21"/>
                      <w:szCs w:val="21"/>
                      <w:highlight w:val="none"/>
                      <w:u w:val="none"/>
                    </w:rPr>
                    <w:t>不属于禁止开采矿种，符合该要求。</w:t>
                  </w:r>
                  <w:r>
                    <w:rPr>
                      <w:rFonts w:hint="eastAsia"/>
                      <w:color w:val="FF0000"/>
                      <w:sz w:val="21"/>
                      <w:szCs w:val="21"/>
                      <w:highlight w:val="none"/>
                      <w:u w:val="none"/>
                      <w:lang w:val="en-US" w:eastAsia="zh-CN"/>
                    </w:rPr>
                    <w:t>本项目为矿山开采项目，项目不涉及尾矿库。</w:t>
                  </w:r>
                </w:p>
              </w:tc>
              <w:tc>
                <w:tcPr>
                  <w:tcW w:w="560" w:type="pct"/>
                  <w:tcBorders>
                    <w:tl2br w:val="nil"/>
                    <w:tr2bl w:val="nil"/>
                  </w:tcBorders>
                  <w:noWrap w:val="0"/>
                  <w:vAlign w:val="center"/>
                </w:tcPr>
                <w:p w14:paraId="258688FF">
                  <w:pPr>
                    <w:pStyle w:val="66"/>
                    <w:keepNext w:val="0"/>
                    <w:keepLines w:val="0"/>
                    <w:pageBreakBefore w:val="0"/>
                    <w:widowControl w:val="0"/>
                    <w:wordWrap/>
                    <w:overflowPunct w:val="0"/>
                    <w:bidi w:val="0"/>
                    <w:jc w:val="center"/>
                    <w:rPr>
                      <w:color w:val="FF0000"/>
                      <w:sz w:val="21"/>
                      <w:szCs w:val="21"/>
                      <w:highlight w:val="none"/>
                      <w:u w:val="none"/>
                    </w:rPr>
                  </w:pPr>
                  <w:r>
                    <w:rPr>
                      <w:color w:val="FF0000"/>
                      <w:sz w:val="21"/>
                      <w:szCs w:val="21"/>
                      <w:highlight w:val="none"/>
                      <w:u w:val="none"/>
                    </w:rPr>
                    <w:t>符合</w:t>
                  </w:r>
                </w:p>
              </w:tc>
            </w:tr>
            <w:tr w14:paraId="1E6DFE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2731" w:type="pct"/>
                  <w:tcBorders>
                    <w:tl2br w:val="nil"/>
                    <w:tr2bl w:val="nil"/>
                  </w:tcBorders>
                  <w:noWrap w:val="0"/>
                  <w:vAlign w:val="center"/>
                </w:tcPr>
                <w:p w14:paraId="65E046C2">
                  <w:pPr>
                    <w:pStyle w:val="66"/>
                    <w:keepNext w:val="0"/>
                    <w:keepLines w:val="0"/>
                    <w:pageBreakBefore w:val="0"/>
                    <w:widowControl w:val="0"/>
                    <w:wordWrap/>
                    <w:overflowPunct w:val="0"/>
                    <w:bidi w:val="0"/>
                    <w:jc w:val="both"/>
                    <w:rPr>
                      <w:color w:val="FF0000"/>
                      <w:sz w:val="21"/>
                      <w:szCs w:val="21"/>
                      <w:highlight w:val="none"/>
                      <w:u w:val="none"/>
                    </w:rPr>
                  </w:pPr>
                  <w:r>
                    <w:rPr>
                      <w:color w:val="FF0000"/>
                      <w:sz w:val="21"/>
                      <w:szCs w:val="21"/>
                      <w:highlight w:val="none"/>
                      <w:u w:val="none"/>
                    </w:rPr>
                    <w:t>严格矿产资源开发生态环境准入：</w:t>
                  </w:r>
                  <w:r>
                    <w:rPr>
                      <w:rFonts w:hint="eastAsia"/>
                      <w:color w:val="FF0000"/>
                      <w:sz w:val="21"/>
                      <w:szCs w:val="21"/>
                      <w:highlight w:val="none"/>
                      <w:u w:val="none"/>
                    </w:rPr>
                    <w:t>按照青海省生态环境分区管控方案、生态环境保护规划等新要求，与一般生态空间存在空间重叠的196个勘查规划区块、5个开采规划区块，应严格执行一般生态空间管控要求，控制勘查、开采活动范围和强度，严格执行绿色勘查、绿色开采及生态保护修复相关要求，确保生态系统结构和主要功能不受破坏。严格控制涉及生物多样性保护优先区域、国家重点生态功能区、国家重要生态功能区、水土流失重点防治区等区域矿产开采活动，并采取相应保护措施，防止对区域水源涵养、生物多样性维护、水土保持等生态功能区产生不良影响。</w:t>
                  </w:r>
                </w:p>
              </w:tc>
              <w:tc>
                <w:tcPr>
                  <w:tcW w:w="1707" w:type="pct"/>
                  <w:tcBorders>
                    <w:tl2br w:val="nil"/>
                    <w:tr2bl w:val="nil"/>
                  </w:tcBorders>
                  <w:noWrap w:val="0"/>
                  <w:vAlign w:val="center"/>
                </w:tcPr>
                <w:p w14:paraId="19FF3758">
                  <w:pPr>
                    <w:pStyle w:val="66"/>
                    <w:keepNext w:val="0"/>
                    <w:keepLines w:val="0"/>
                    <w:pageBreakBefore w:val="0"/>
                    <w:widowControl w:val="0"/>
                    <w:wordWrap/>
                    <w:overflowPunct w:val="0"/>
                    <w:bidi w:val="0"/>
                    <w:jc w:val="both"/>
                    <w:rPr>
                      <w:color w:val="FF0000"/>
                      <w:sz w:val="21"/>
                      <w:szCs w:val="21"/>
                      <w:highlight w:val="none"/>
                      <w:u w:val="none"/>
                    </w:rPr>
                  </w:pPr>
                  <w:r>
                    <w:rPr>
                      <w:color w:val="FF0000"/>
                      <w:sz w:val="21"/>
                      <w:szCs w:val="21"/>
                      <w:highlight w:val="none"/>
                      <w:u w:val="none"/>
                    </w:rPr>
                    <w:t>本项目</w:t>
                  </w:r>
                  <w:r>
                    <w:rPr>
                      <w:rFonts w:hint="eastAsia"/>
                      <w:color w:val="FF0000"/>
                      <w:sz w:val="21"/>
                      <w:szCs w:val="21"/>
                      <w:highlight w:val="none"/>
                      <w:u w:val="none"/>
                      <w:lang w:val="en-US" w:eastAsia="zh-CN"/>
                    </w:rPr>
                    <w:t>为建筑用砂土砂石开采，</w:t>
                  </w:r>
                  <w:r>
                    <w:rPr>
                      <w:color w:val="FF0000"/>
                      <w:sz w:val="21"/>
                      <w:szCs w:val="21"/>
                      <w:highlight w:val="none"/>
                      <w:u w:val="none"/>
                      <w:lang w:val="en-US" w:eastAsia="zh-CN"/>
                    </w:rPr>
                    <w:t>坚持生态优先，</w:t>
                  </w:r>
                  <w:r>
                    <w:rPr>
                      <w:rFonts w:hint="eastAsia"/>
                      <w:color w:val="FF0000"/>
                      <w:sz w:val="21"/>
                      <w:szCs w:val="21"/>
                      <w:highlight w:val="none"/>
                      <w:u w:val="none"/>
                      <w:lang w:val="en-US" w:eastAsia="zh-CN"/>
                    </w:rPr>
                    <w:t>属于在</w:t>
                  </w:r>
                  <w:r>
                    <w:rPr>
                      <w:color w:val="FF0000"/>
                      <w:sz w:val="21"/>
                      <w:szCs w:val="21"/>
                      <w:highlight w:val="none"/>
                      <w:u w:val="none"/>
                      <w:lang w:val="en-US" w:eastAsia="zh-CN"/>
                    </w:rPr>
                    <w:t>规划的重点勘查区、勘查规划区块、开</w:t>
                  </w:r>
                  <w:r>
                    <w:rPr>
                      <w:rFonts w:hint="eastAsia"/>
                      <w:color w:val="FF0000"/>
                      <w:sz w:val="21"/>
                      <w:szCs w:val="21"/>
                      <w:highlight w:val="none"/>
                      <w:u w:val="none"/>
                      <w:lang w:val="en-US" w:eastAsia="zh-CN"/>
                    </w:rPr>
                    <w:t>发规划分区、开采规划区块，避开了“三江源、祁连山生态安全屏障区”，也不属于“两高”项目</w:t>
                  </w:r>
                  <w:r>
                    <w:rPr>
                      <w:rFonts w:hint="eastAsia"/>
                      <w:color w:val="FF0000"/>
                      <w:sz w:val="21"/>
                      <w:szCs w:val="21"/>
                      <w:highlight w:val="none"/>
                      <w:u w:val="none"/>
                      <w:lang w:eastAsia="zh-CN"/>
                    </w:rPr>
                    <w:t>。</w:t>
                  </w:r>
                  <w:r>
                    <w:rPr>
                      <w:rFonts w:hint="eastAsia"/>
                      <w:color w:val="FF0000"/>
                      <w:sz w:val="21"/>
                      <w:szCs w:val="21"/>
                      <w:highlight w:val="none"/>
                      <w:u w:val="none"/>
                      <w:lang w:val="en-US" w:eastAsia="zh-CN"/>
                    </w:rPr>
                    <w:t>本项目开采区域</w:t>
                  </w:r>
                  <w:r>
                    <w:rPr>
                      <w:color w:val="FF0000"/>
                      <w:sz w:val="21"/>
                      <w:szCs w:val="21"/>
                      <w:highlight w:val="none"/>
                      <w:u w:val="none"/>
                    </w:rPr>
                    <w:t>不涉及国家重点生态功能区、国家禁止开发区域、水土流失重点防治区、沙化土地封禁保护区等，为</w:t>
                  </w:r>
                  <w:r>
                    <w:rPr>
                      <w:rFonts w:hint="eastAsia"/>
                      <w:color w:val="FF0000"/>
                      <w:sz w:val="21"/>
                      <w:szCs w:val="21"/>
                      <w:highlight w:val="none"/>
                      <w:u w:val="none"/>
                      <w:lang w:val="en-US" w:eastAsia="zh-CN"/>
                    </w:rPr>
                    <w:t>现有</w:t>
                  </w:r>
                  <w:r>
                    <w:rPr>
                      <w:color w:val="FF0000"/>
                      <w:sz w:val="21"/>
                      <w:szCs w:val="21"/>
                      <w:highlight w:val="none"/>
                      <w:u w:val="none"/>
                    </w:rPr>
                    <w:t>矿产资源重点矿区的</w:t>
                  </w:r>
                  <w:r>
                    <w:rPr>
                      <w:rFonts w:hint="eastAsia"/>
                      <w:color w:val="FF0000"/>
                      <w:sz w:val="21"/>
                      <w:szCs w:val="21"/>
                      <w:highlight w:val="none"/>
                      <w:u w:val="none"/>
                      <w:lang w:val="en-US" w:eastAsia="zh-CN"/>
                    </w:rPr>
                    <w:t>扩建</w:t>
                  </w:r>
                  <w:r>
                    <w:rPr>
                      <w:color w:val="FF0000"/>
                      <w:sz w:val="21"/>
                      <w:szCs w:val="21"/>
                      <w:highlight w:val="none"/>
                      <w:u w:val="none"/>
                    </w:rPr>
                    <w:t>工程，采取了相应保护措施，符合规划批复要求。</w:t>
                  </w:r>
                </w:p>
              </w:tc>
              <w:tc>
                <w:tcPr>
                  <w:tcW w:w="560" w:type="pct"/>
                  <w:tcBorders>
                    <w:tl2br w:val="nil"/>
                    <w:tr2bl w:val="nil"/>
                  </w:tcBorders>
                  <w:noWrap w:val="0"/>
                  <w:vAlign w:val="center"/>
                </w:tcPr>
                <w:p w14:paraId="14F45634">
                  <w:pPr>
                    <w:pStyle w:val="66"/>
                    <w:keepNext w:val="0"/>
                    <w:keepLines w:val="0"/>
                    <w:pageBreakBefore w:val="0"/>
                    <w:widowControl w:val="0"/>
                    <w:wordWrap/>
                    <w:overflowPunct w:val="0"/>
                    <w:bidi w:val="0"/>
                    <w:jc w:val="both"/>
                    <w:rPr>
                      <w:color w:val="FF0000"/>
                      <w:sz w:val="21"/>
                      <w:szCs w:val="21"/>
                      <w:highlight w:val="none"/>
                      <w:u w:val="none"/>
                    </w:rPr>
                  </w:pPr>
                  <w:r>
                    <w:rPr>
                      <w:color w:val="FF0000"/>
                      <w:sz w:val="21"/>
                      <w:szCs w:val="21"/>
                      <w:highlight w:val="none"/>
                      <w:u w:val="none"/>
                    </w:rPr>
                    <w:t>符合</w:t>
                  </w:r>
                </w:p>
              </w:tc>
            </w:tr>
          </w:tbl>
          <w:p w14:paraId="757EEFC2">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综上所述，本项目符合《青海省矿产资源总体规划（2021-2025年）环境影响报告书》及《青海省矿产资源总体规划（2021-2025年）环境影响报告书》审查意见的要求。</w:t>
            </w:r>
          </w:p>
          <w:p w14:paraId="0A231150">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FF0000"/>
                <w:kern w:val="0"/>
                <w:sz w:val="24"/>
                <w:szCs w:val="24"/>
                <w:lang w:val="en-US" w:eastAsia="zh-CN"/>
              </w:rPr>
            </w:pPr>
            <w:r>
              <w:rPr>
                <w:rFonts w:hint="eastAsia" w:ascii="Times New Roman" w:hAnsi="Times New Roman" w:eastAsia="宋体" w:cs="Times New Roman"/>
                <w:b/>
                <w:bCs/>
                <w:color w:val="FF0000"/>
                <w:kern w:val="0"/>
                <w:szCs w:val="21"/>
                <w:lang w:val="en-US" w:eastAsia="zh-CN"/>
              </w:rPr>
              <w:t>3</w:t>
            </w:r>
            <w:r>
              <w:rPr>
                <w:rFonts w:hint="default" w:ascii="Times New Roman" w:hAnsi="Times New Roman" w:eastAsia="宋体" w:cs="Times New Roman"/>
                <w:b/>
                <w:bCs/>
                <w:color w:val="FF0000"/>
                <w:kern w:val="0"/>
                <w:szCs w:val="21"/>
                <w:lang w:val="en-US" w:eastAsia="zh-CN"/>
              </w:rPr>
              <w:t>、与《同德县矿产资源总体规划（2021-2025）》符合性分析</w:t>
            </w:r>
          </w:p>
          <w:p w14:paraId="63D2F049">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FF0000"/>
                <w:kern w:val="0"/>
                <w:szCs w:val="21"/>
                <w:lang w:val="en-US" w:eastAsia="zh-CN"/>
              </w:rPr>
            </w:pPr>
            <w:r>
              <w:rPr>
                <w:rFonts w:hint="default" w:ascii="Times New Roman" w:hAnsi="Times New Roman" w:eastAsia="宋体" w:cs="Times New Roman"/>
                <w:color w:val="FF0000"/>
                <w:kern w:val="0"/>
                <w:szCs w:val="21"/>
                <w:lang w:val="en-US" w:eastAsia="zh-CN"/>
              </w:rPr>
              <w:t>根据《同德县矿产资源总体规划（2021-2025）》，同德县设置矿产资源禁止开采区和矿产资源开采规划区块，本项目属于同德县主要矿产资源开采规划区块中“7、CQ007同德县河北乡吾达哇建筑用砂岩矿（建筑用砂岩）”，因此符合同德县主要矿产资源总体规划的要求，具体详见附图。</w:t>
            </w:r>
          </w:p>
          <w:p w14:paraId="6B09233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FF0000"/>
                <w:kern w:val="0"/>
                <w:szCs w:val="21"/>
                <w:lang w:val="en-US" w:eastAsia="zh-CN"/>
              </w:rPr>
            </w:pPr>
            <w:r>
              <w:rPr>
                <w:rFonts w:hint="eastAsia" w:ascii="Times New Roman" w:hAnsi="Times New Roman" w:eastAsia="宋体" w:cs="Times New Roman"/>
                <w:b/>
                <w:bCs/>
                <w:color w:val="FF0000"/>
                <w:kern w:val="0"/>
                <w:szCs w:val="21"/>
                <w:lang w:val="en-US" w:eastAsia="zh-CN"/>
              </w:rPr>
              <w:t>4</w:t>
            </w:r>
            <w:r>
              <w:rPr>
                <w:rFonts w:hint="default" w:ascii="Times New Roman" w:hAnsi="Times New Roman" w:eastAsia="宋体" w:cs="Times New Roman"/>
                <w:b/>
                <w:bCs/>
                <w:color w:val="FF0000"/>
                <w:kern w:val="0"/>
                <w:szCs w:val="21"/>
                <w:lang w:val="en-US" w:eastAsia="zh-CN"/>
              </w:rPr>
              <w:t>、与《同德县国土空间总体规划</w:t>
            </w:r>
            <w:r>
              <w:rPr>
                <w:rFonts w:hint="eastAsia" w:cs="Times New Roman"/>
                <w:b/>
                <w:bCs/>
                <w:color w:val="FF0000"/>
                <w:kern w:val="0"/>
                <w:szCs w:val="21"/>
                <w:lang w:val="en-US" w:eastAsia="zh-CN"/>
              </w:rPr>
              <w:t>（</w:t>
            </w:r>
            <w:r>
              <w:rPr>
                <w:rFonts w:hint="default" w:ascii="Times New Roman" w:hAnsi="Times New Roman" w:eastAsia="宋体" w:cs="Times New Roman"/>
                <w:b/>
                <w:bCs/>
                <w:color w:val="FF0000"/>
                <w:kern w:val="0"/>
                <w:szCs w:val="21"/>
                <w:lang w:val="en-US" w:eastAsia="zh-CN"/>
              </w:rPr>
              <w:t>2021-2035年</w:t>
            </w:r>
            <w:r>
              <w:rPr>
                <w:rFonts w:hint="eastAsia" w:cs="Times New Roman"/>
                <w:b/>
                <w:bCs/>
                <w:color w:val="FF0000"/>
                <w:kern w:val="0"/>
                <w:szCs w:val="21"/>
                <w:lang w:val="en-US" w:eastAsia="zh-CN"/>
              </w:rPr>
              <w:t>）</w:t>
            </w:r>
            <w:r>
              <w:rPr>
                <w:rFonts w:hint="default" w:ascii="Times New Roman" w:hAnsi="Times New Roman" w:eastAsia="宋体" w:cs="Times New Roman"/>
                <w:b/>
                <w:bCs/>
                <w:color w:val="FF0000"/>
                <w:kern w:val="0"/>
                <w:szCs w:val="21"/>
                <w:lang w:val="en-US" w:eastAsia="zh-CN"/>
              </w:rPr>
              <w:t>》符合性分析</w:t>
            </w:r>
          </w:p>
          <w:p w14:paraId="70E511E0">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FF0000"/>
                <w:kern w:val="0"/>
                <w:szCs w:val="21"/>
                <w:lang w:val="en-US" w:eastAsia="zh-CN"/>
              </w:rPr>
            </w:pPr>
            <w:r>
              <w:rPr>
                <w:rFonts w:hint="default" w:ascii="Times New Roman" w:hAnsi="Times New Roman" w:eastAsia="宋体" w:cs="Times New Roman"/>
                <w:color w:val="FF0000"/>
                <w:kern w:val="0"/>
                <w:szCs w:val="21"/>
                <w:lang w:val="en-US" w:eastAsia="zh-CN"/>
              </w:rPr>
              <w:t>根据《同德县国土空间总体规划</w:t>
            </w:r>
            <w:r>
              <w:rPr>
                <w:rFonts w:hint="eastAsia" w:cs="Times New Roman"/>
                <w:color w:val="FF0000"/>
                <w:kern w:val="0"/>
                <w:szCs w:val="21"/>
                <w:lang w:val="en-US" w:eastAsia="zh-CN"/>
              </w:rPr>
              <w:t>（</w:t>
            </w:r>
            <w:r>
              <w:rPr>
                <w:rFonts w:hint="default" w:ascii="Times New Roman" w:hAnsi="Times New Roman" w:eastAsia="宋体" w:cs="Times New Roman"/>
                <w:color w:val="FF0000"/>
                <w:kern w:val="0"/>
                <w:szCs w:val="21"/>
                <w:lang w:val="en-US" w:eastAsia="zh-CN"/>
              </w:rPr>
              <w:t>2021-2035年</w:t>
            </w:r>
            <w:r>
              <w:rPr>
                <w:rFonts w:hint="eastAsia" w:cs="Times New Roman"/>
                <w:color w:val="FF0000"/>
                <w:kern w:val="0"/>
                <w:szCs w:val="21"/>
                <w:lang w:val="en-US" w:eastAsia="zh-CN"/>
              </w:rPr>
              <w:t>）</w:t>
            </w:r>
            <w:r>
              <w:rPr>
                <w:rFonts w:hint="default" w:ascii="Times New Roman" w:hAnsi="Times New Roman" w:eastAsia="宋体" w:cs="Times New Roman"/>
                <w:color w:val="FF0000"/>
                <w:kern w:val="0"/>
                <w:szCs w:val="21"/>
                <w:lang w:val="en-US" w:eastAsia="zh-CN"/>
              </w:rPr>
              <w:t>》中，统筹划定落实“三区三线”，</w:t>
            </w:r>
            <w:r>
              <w:rPr>
                <w:rFonts w:hint="default" w:ascii="Times New Roman" w:hAnsi="Times New Roman" w:eastAsia="宋体" w:cs="Times New Roman"/>
                <w:color w:val="FF0000"/>
                <w:lang w:eastAsia="zh-CN"/>
              </w:rPr>
              <w:t>经查询，该地块不涉及生态保护红线、不涉及基本农田且位于城镇开发边界内，</w:t>
            </w:r>
            <w:r>
              <w:rPr>
                <w:rFonts w:hint="default" w:ascii="Times New Roman" w:hAnsi="Times New Roman" w:eastAsia="宋体" w:cs="Times New Roman"/>
                <w:color w:val="FF0000"/>
                <w:lang w:val="en-US" w:eastAsia="zh-CN"/>
              </w:rPr>
              <w:t>符合规划要求。</w:t>
            </w:r>
          </w:p>
          <w:p w14:paraId="34C92C9E">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kern w:val="0"/>
                <w:szCs w:val="21"/>
                <w:lang w:val="en-US" w:eastAsia="zh-CN"/>
              </w:rPr>
              <w:t>拟建项目位于河北乡吾达洼沟内，根据“优化矿产资源勘查开发布局，加强基础地质调查、公益性矿产资源调查评价工作，为适应国家能源安全与矿业发展的需要，在生态保护红线、自然保护区、湿地公园及主要城市饮用水源保护区、重点历史文物和名胜古迹所在地以外，划定矿产能源发展区，占国土总面积的0.29%。”规划提出推进绿色矿业发展的要求，本项目与要求的符合性具体如下所示</w:t>
            </w:r>
          </w:p>
          <w:p w14:paraId="1F243F40">
            <w:pPr>
              <w:pStyle w:val="5"/>
              <w:bidi w:val="0"/>
              <w:rPr>
                <w:rFonts w:hint="default" w:ascii="Times New Roman" w:hAnsi="Times New Roman" w:eastAsia="宋体" w:cs="Times New Roman"/>
                <w:b/>
                <w:bCs/>
                <w:color w:val="FF0000"/>
                <w:kern w:val="0"/>
                <w:szCs w:val="21"/>
                <w:lang w:val="en-US" w:eastAsia="zh-CN"/>
              </w:rPr>
            </w:pPr>
            <w:r>
              <w:rPr>
                <w:rFonts w:hint="default"/>
              </w:rPr>
              <w:t>表1-</w:t>
            </w:r>
            <w:r>
              <w:rPr>
                <w:rFonts w:hint="eastAsia"/>
                <w:lang w:val="en-US" w:eastAsia="zh-CN"/>
              </w:rPr>
              <w:t>4</w:t>
            </w:r>
            <w:r>
              <w:rPr>
                <w:rFonts w:hint="default"/>
              </w:rPr>
              <w:t xml:space="preserve">  与</w:t>
            </w:r>
            <w:r>
              <w:rPr>
                <w:rFonts w:hint="default"/>
                <w:lang w:val="en-US" w:eastAsia="zh-CN"/>
              </w:rPr>
              <w:t>《同德县国土空间总体规划</w:t>
            </w:r>
            <w:r>
              <w:rPr>
                <w:rFonts w:hint="eastAsia"/>
                <w:lang w:val="en-US" w:eastAsia="zh-CN"/>
              </w:rPr>
              <w:t>（</w:t>
            </w:r>
            <w:r>
              <w:rPr>
                <w:rFonts w:hint="default"/>
                <w:lang w:val="en-US" w:eastAsia="zh-CN"/>
              </w:rPr>
              <w:t>2021-2035年</w:t>
            </w:r>
            <w:r>
              <w:rPr>
                <w:rFonts w:hint="eastAsia"/>
                <w:lang w:val="en-US" w:eastAsia="zh-CN"/>
              </w:rPr>
              <w:t>）</w:t>
            </w:r>
            <w:r>
              <w:rPr>
                <w:rFonts w:hint="default"/>
                <w:lang w:val="en-US" w:eastAsia="zh-CN"/>
              </w:rPr>
              <w:t>》</w:t>
            </w:r>
            <w:r>
              <w:rPr>
                <w:rFonts w:hint="default"/>
              </w:rPr>
              <w:t>符合性分析一览表</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65"/>
              <w:gridCol w:w="2669"/>
              <w:gridCol w:w="894"/>
            </w:tblGrid>
            <w:tr w14:paraId="60C32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65" w:type="dxa"/>
                  <w:tcBorders>
                    <w:tl2br w:val="nil"/>
                    <w:tr2bl w:val="nil"/>
                  </w:tcBorders>
                  <w:vAlign w:val="center"/>
                </w:tcPr>
                <w:p w14:paraId="7E59F5FA">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推进绿色矿业发展的要求</w:t>
                  </w:r>
                </w:p>
              </w:tc>
              <w:tc>
                <w:tcPr>
                  <w:tcW w:w="2669" w:type="dxa"/>
                  <w:tcBorders>
                    <w:tl2br w:val="nil"/>
                    <w:tr2bl w:val="nil"/>
                  </w:tcBorders>
                  <w:vAlign w:val="center"/>
                </w:tcPr>
                <w:p w14:paraId="7BF738EF">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项目建设情况</w:t>
                  </w:r>
                </w:p>
              </w:tc>
              <w:tc>
                <w:tcPr>
                  <w:tcW w:w="894" w:type="dxa"/>
                  <w:tcBorders>
                    <w:tl2br w:val="nil"/>
                    <w:tr2bl w:val="nil"/>
                  </w:tcBorders>
                  <w:vAlign w:val="center"/>
                </w:tcPr>
                <w:p w14:paraId="3A1A2ED3">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符合性</w:t>
                  </w:r>
                </w:p>
              </w:tc>
            </w:tr>
            <w:tr w14:paraId="0F342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65" w:type="dxa"/>
                  <w:tcBorders>
                    <w:tl2br w:val="nil"/>
                    <w:tr2bl w:val="nil"/>
                  </w:tcBorders>
                  <w:vAlign w:val="center"/>
                </w:tcPr>
                <w:p w14:paraId="661E2CF1">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第146条 加强矿产资源管理与节约利用明确县域矿产资源保护、勘查和开发的主要区域，处理好地上与地下、矿产资源勘查开采与生态保护红线及耕地和永久基本农田保护红线等控制线的关系，优化矿产资源开采布局。促进矿产资源开发与矿山地质环境保护协调发展，最大限度地减少或避免在建矿山、生产矿山和关闭矿山因矿产开采形成的地质灾害、环境污染和生态破坏。鼓励低品位矿、矿山废弃物、难利用矿产的节约与综合利用，提高资源利用、节能节水、安全生产水平，促进矿山环境保护和治理。</w:t>
                  </w:r>
                </w:p>
              </w:tc>
              <w:tc>
                <w:tcPr>
                  <w:tcW w:w="2669" w:type="dxa"/>
                  <w:tcBorders>
                    <w:tl2br w:val="nil"/>
                    <w:tr2bl w:val="nil"/>
                  </w:tcBorders>
                  <w:vAlign w:val="center"/>
                </w:tcPr>
                <w:p w14:paraId="63432E30">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本项目属于同德县矿产资源开采规划区域，不涉及生态保护红线及耕地和永久基本农田保护红线等控制线</w:t>
                  </w:r>
                  <w:r>
                    <w:rPr>
                      <w:rFonts w:hint="eastAsia" w:cs="Times New Roman"/>
                      <w:color w:val="FF0000"/>
                      <w:kern w:val="0"/>
                      <w:sz w:val="21"/>
                      <w:szCs w:val="21"/>
                      <w:lang w:val="en-US" w:eastAsia="zh-CN"/>
                    </w:rPr>
                    <w:t>（详见附图14）</w:t>
                  </w:r>
                  <w:r>
                    <w:rPr>
                      <w:rFonts w:hint="default" w:ascii="Times New Roman" w:hAnsi="Times New Roman" w:eastAsia="宋体" w:cs="Times New Roman"/>
                      <w:color w:val="FF0000"/>
                      <w:kern w:val="0"/>
                      <w:sz w:val="21"/>
                      <w:szCs w:val="21"/>
                      <w:lang w:val="en-US" w:eastAsia="zh-CN"/>
                    </w:rPr>
                    <w:t>；根据开发利用方案、土地复垦方案和本环评提出的要求，促进矿产资源开发与矿山地质环境保护协调发展，最大限度地减少或避免在建矿山、生产矿山和关闭矿山因矿产开采形成的地质灾害、环境污染和生态破坏；本项目矿区不属于低品位矿，开采过程产生的固体废弃物全部综合利用，合理处置，采用节能节水、安全生产等。</w:t>
                  </w:r>
                </w:p>
              </w:tc>
              <w:tc>
                <w:tcPr>
                  <w:tcW w:w="894" w:type="dxa"/>
                  <w:tcBorders>
                    <w:tl2br w:val="nil"/>
                    <w:tr2bl w:val="nil"/>
                  </w:tcBorders>
                  <w:vAlign w:val="center"/>
                </w:tcPr>
                <w:p w14:paraId="35BA1C8F">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符合</w:t>
                  </w:r>
                </w:p>
              </w:tc>
            </w:tr>
            <w:tr w14:paraId="3673C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65" w:type="dxa"/>
                  <w:tcBorders>
                    <w:tl2br w:val="nil"/>
                    <w:tr2bl w:val="nil"/>
                  </w:tcBorders>
                  <w:vAlign w:val="center"/>
                </w:tcPr>
                <w:p w14:paraId="31B5E700">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第147条 推进绿色矿山建设严格矿产资源开发利用准入管理，明确绿色矿山建设具体要求和措施，将绿色发展理念和绿色矿山建设要求贯穿到矿山规划、设计、建设、运营和</w:t>
                  </w:r>
                  <w:r>
                    <w:rPr>
                      <w:rFonts w:hint="eastAsia" w:cs="Times New Roman"/>
                      <w:color w:val="FF0000"/>
                      <w:kern w:val="0"/>
                      <w:sz w:val="21"/>
                      <w:szCs w:val="21"/>
                      <w:lang w:val="en-US" w:eastAsia="zh-CN"/>
                    </w:rPr>
                    <w:t>闭矿</w:t>
                  </w:r>
                  <w:r>
                    <w:rPr>
                      <w:rFonts w:hint="default" w:ascii="Times New Roman" w:hAnsi="Times New Roman" w:eastAsia="宋体" w:cs="Times New Roman"/>
                      <w:color w:val="FF0000"/>
                      <w:kern w:val="0"/>
                      <w:sz w:val="21"/>
                      <w:szCs w:val="21"/>
                      <w:lang w:val="en-US" w:eastAsia="zh-CN"/>
                    </w:rPr>
                    <w:t>全过程。新建矿山全部按照绿色矿山标准建设，生产矿山加快改造升级。至2035年，同德县大中型矿山全部为绿色矿山，绿色矿山比例达100%，基本形成绿色矿山建设新格局。</w:t>
                  </w:r>
                </w:p>
              </w:tc>
              <w:tc>
                <w:tcPr>
                  <w:tcW w:w="2669" w:type="dxa"/>
                  <w:tcBorders>
                    <w:tl2br w:val="nil"/>
                    <w:tr2bl w:val="nil"/>
                  </w:tcBorders>
                  <w:vAlign w:val="center"/>
                </w:tcPr>
                <w:p w14:paraId="4DF8ACDC">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本项目已编制开发利用方案和土地复垦方案，明确绿色矿山的</w:t>
                  </w:r>
                  <w:r>
                    <w:rPr>
                      <w:rFonts w:hint="eastAsia" w:cs="Times New Roman"/>
                      <w:color w:val="FF0000"/>
                      <w:kern w:val="0"/>
                      <w:sz w:val="21"/>
                      <w:szCs w:val="21"/>
                      <w:lang w:val="en-US" w:eastAsia="zh-CN"/>
                    </w:rPr>
                    <w:t>建</w:t>
                  </w:r>
                  <w:r>
                    <w:rPr>
                      <w:rFonts w:hint="default" w:ascii="Times New Roman" w:hAnsi="Times New Roman" w:eastAsia="宋体" w:cs="Times New Roman"/>
                      <w:color w:val="FF0000"/>
                      <w:kern w:val="0"/>
                      <w:sz w:val="21"/>
                      <w:szCs w:val="21"/>
                      <w:lang w:val="en-US" w:eastAsia="zh-CN"/>
                    </w:rPr>
                    <w:t>设要求和措施，贯穿到矿山规划、设计、建设、运营和</w:t>
                  </w:r>
                  <w:r>
                    <w:rPr>
                      <w:rFonts w:hint="eastAsia" w:cs="Times New Roman"/>
                      <w:color w:val="FF0000"/>
                      <w:kern w:val="0"/>
                      <w:sz w:val="21"/>
                      <w:szCs w:val="21"/>
                      <w:lang w:val="en-US" w:eastAsia="zh-CN"/>
                    </w:rPr>
                    <w:t>闭矿</w:t>
                  </w:r>
                  <w:r>
                    <w:rPr>
                      <w:rFonts w:hint="default" w:ascii="Times New Roman" w:hAnsi="Times New Roman" w:eastAsia="宋体" w:cs="Times New Roman"/>
                      <w:color w:val="FF0000"/>
                      <w:kern w:val="0"/>
                      <w:sz w:val="21"/>
                      <w:szCs w:val="21"/>
                      <w:lang w:val="en-US" w:eastAsia="zh-CN"/>
                    </w:rPr>
                    <w:t>全过程，采用边开采，边恢复的方式。</w:t>
                  </w:r>
                </w:p>
              </w:tc>
              <w:tc>
                <w:tcPr>
                  <w:tcW w:w="894" w:type="dxa"/>
                  <w:tcBorders>
                    <w:tl2br w:val="nil"/>
                    <w:tr2bl w:val="nil"/>
                  </w:tcBorders>
                  <w:vAlign w:val="center"/>
                </w:tcPr>
                <w:p w14:paraId="7BA5B604">
                  <w:pPr>
                    <w:keepNext w:val="0"/>
                    <w:keepLines w:val="0"/>
                    <w:pageBreakBefore w:val="0"/>
                    <w:widowControl w:val="0"/>
                    <w:kinsoku/>
                    <w:wordWrap/>
                    <w:overflowPunct/>
                    <w:topLinePunct w:val="0"/>
                    <w:bidi w:val="0"/>
                    <w:spacing w:line="288" w:lineRule="auto"/>
                    <w:ind w:firstLine="0" w:firstLineChars="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符合</w:t>
                  </w:r>
                </w:p>
              </w:tc>
            </w:tr>
          </w:tbl>
          <w:p w14:paraId="7E1CBC19">
            <w:pPr>
              <w:keepNext w:val="0"/>
              <w:keepLines w:val="0"/>
              <w:pageBreakBefore w:val="0"/>
              <w:widowControl w:val="0"/>
              <w:kinsoku/>
              <w:wordWrap/>
              <w:overflowPunct/>
              <w:topLinePunct w:val="0"/>
              <w:bidi w:val="0"/>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color w:val="FF0000"/>
                <w:lang w:val="en-US" w:eastAsia="zh-CN"/>
              </w:rPr>
              <w:t>综上，本项目符合同德县国土空间总体规划要求，符合当地国土空间规划，项目可以设置，项目建设是可行的。</w:t>
            </w:r>
          </w:p>
        </w:tc>
      </w:tr>
      <w:tr w14:paraId="40ECE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694" w:type="dxa"/>
            <w:noWrap w:val="0"/>
            <w:tcMar>
              <w:top w:w="16" w:type="dxa"/>
              <w:left w:w="16" w:type="dxa"/>
              <w:right w:w="16" w:type="dxa"/>
            </w:tcMar>
            <w:vAlign w:val="center"/>
          </w:tcPr>
          <w:p w14:paraId="1F34440B">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Cs w:val="21"/>
              </w:rPr>
            </w:pPr>
            <w:bookmarkStart w:id="2" w:name="_Hlk56690880"/>
            <w:r>
              <w:rPr>
                <w:rFonts w:hint="default" w:ascii="Times New Roman" w:hAnsi="Times New Roman" w:eastAsia="宋体" w:cs="Times New Roman"/>
                <w:szCs w:val="21"/>
              </w:rPr>
              <w:t>其他符合性分析</w:t>
            </w:r>
            <w:bookmarkEnd w:id="2"/>
          </w:p>
        </w:tc>
        <w:tc>
          <w:tcPr>
            <w:tcW w:w="7170" w:type="dxa"/>
            <w:gridSpan w:val="3"/>
            <w:noWrap w:val="0"/>
            <w:tcMar>
              <w:top w:w="16" w:type="dxa"/>
              <w:left w:w="16" w:type="dxa"/>
              <w:right w:w="16" w:type="dxa"/>
            </w:tcMar>
            <w:vAlign w:val="center"/>
          </w:tcPr>
          <w:p w14:paraId="13290DB0">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kern w:val="0"/>
                <w:sz w:val="24"/>
                <w:szCs w:val="24"/>
              </w:rPr>
            </w:pPr>
            <w:r>
              <w:rPr>
                <w:rFonts w:hint="eastAsia" w:ascii="Times New Roman" w:hAnsi="Times New Roman" w:eastAsia="宋体" w:cs="Times New Roman"/>
                <w:b/>
                <w:bCs/>
                <w:kern w:val="0"/>
                <w:szCs w:val="21"/>
                <w:lang w:val="en-US" w:eastAsia="zh-CN"/>
              </w:rPr>
              <w:t>1、</w:t>
            </w:r>
            <w:r>
              <w:rPr>
                <w:rFonts w:hint="default" w:ascii="Times New Roman" w:hAnsi="Times New Roman" w:eastAsia="宋体" w:cs="Times New Roman"/>
                <w:b/>
                <w:bCs/>
                <w:kern w:val="0"/>
                <w:sz w:val="24"/>
                <w:szCs w:val="24"/>
              </w:rPr>
              <w:t>产业政策符合性分析</w:t>
            </w:r>
          </w:p>
          <w:p w14:paraId="3D79127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本项目为土砂石开采项目，根据《产业结构调整指导目录（2024年）》，项目不属于鼓励类、限制类和淘汰类，但符合国家有关法律、法规和政策规定，因此本项目为允许类建设项目</w:t>
            </w:r>
            <w:r>
              <w:rPr>
                <w:rFonts w:hint="default" w:ascii="Times New Roman" w:hAnsi="Times New Roman" w:eastAsia="宋体" w:cs="Times New Roman"/>
                <w:kern w:val="0"/>
                <w:sz w:val="24"/>
                <w:szCs w:val="24"/>
              </w:rPr>
              <w:t>。因此本项目的建设符合国家现行的产业政策。</w:t>
            </w:r>
          </w:p>
          <w:p w14:paraId="4DEA716B">
            <w:pPr>
              <w:keepNext w:val="0"/>
              <w:keepLines w:val="0"/>
              <w:pageBreakBefore w:val="0"/>
              <w:widowControl w:val="0"/>
              <w:kinsoku/>
              <w:wordWrap/>
              <w:overflowPunct/>
              <w:topLinePunct w:val="0"/>
              <w:autoSpaceDE w:val="0"/>
              <w:autoSpaceDN w:val="0"/>
              <w:bidi w:val="0"/>
              <w:snapToGrid w:val="0"/>
              <w:spacing w:line="360" w:lineRule="auto"/>
              <w:contextualSpacing/>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与海南州“三线一单”符合性分析</w:t>
            </w:r>
          </w:p>
          <w:p w14:paraId="0D982DCC">
            <w:pPr>
              <w:keepNext w:val="0"/>
              <w:keepLines w:val="0"/>
              <w:pageBreakBefore w:val="0"/>
              <w:widowControl w:val="0"/>
              <w:kinsoku/>
              <w:wordWrap/>
              <w:overflowPunct/>
              <w:topLinePunct w:val="0"/>
              <w:autoSpaceDE w:val="0"/>
              <w:autoSpaceDN w:val="0"/>
              <w:bidi w:val="0"/>
              <w:snapToGrid w:val="0"/>
              <w:spacing w:line="360" w:lineRule="auto"/>
              <w:ind w:firstLine="480" w:firstLineChars="200"/>
              <w:contextualSpacing/>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根据《海南州2023年生态环境分区管控要求及准入清单》（2024.04），以及通过《青海“三线一单”公众应用平台》查询可知，本项目位于同德县生态空间水源涵养重要区（ZH63252210006）</w:t>
            </w:r>
            <w:r>
              <w:rPr>
                <w:rFonts w:hint="eastAsia" w:cs="Times New Roman"/>
                <w:sz w:val="24"/>
                <w:szCs w:val="24"/>
                <w:lang w:val="en-US" w:eastAsia="zh-CN"/>
              </w:rPr>
              <w:t>（详见附图4、附图5）</w:t>
            </w:r>
            <w:r>
              <w:rPr>
                <w:rFonts w:hint="default" w:ascii="Times New Roman" w:hAnsi="Times New Roman" w:eastAsia="宋体" w:cs="Times New Roman"/>
                <w:sz w:val="24"/>
                <w:szCs w:val="24"/>
                <w:lang w:val="en-US" w:eastAsia="zh-CN"/>
              </w:rPr>
              <w:t>，属于优先保护单元，</w:t>
            </w:r>
            <w:r>
              <w:rPr>
                <w:rFonts w:hint="default" w:ascii="Times New Roman" w:hAnsi="Times New Roman" w:eastAsia="宋体" w:cs="Times New Roman"/>
                <w:sz w:val="24"/>
                <w:szCs w:val="24"/>
              </w:rPr>
              <w:t>本项目与海南州“三线一单”符合性分析详见</w:t>
            </w:r>
            <w:r>
              <w:rPr>
                <w:rFonts w:hint="default" w:ascii="Times New Roman" w:hAnsi="Times New Roman" w:eastAsia="宋体" w:cs="Times New Roman"/>
                <w:sz w:val="24"/>
                <w:szCs w:val="24"/>
                <w:lang w:val="en-US" w:eastAsia="zh-CN"/>
              </w:rPr>
              <w:t>下</w:t>
            </w:r>
            <w:r>
              <w:rPr>
                <w:rFonts w:hint="default" w:ascii="Times New Roman" w:hAnsi="Times New Roman" w:eastAsia="宋体" w:cs="Times New Roman"/>
                <w:sz w:val="24"/>
                <w:szCs w:val="24"/>
              </w:rPr>
              <w:t>表。</w:t>
            </w:r>
          </w:p>
          <w:p w14:paraId="42D44350">
            <w:pPr>
              <w:pStyle w:val="5"/>
              <w:bidi w:val="0"/>
              <w:rPr>
                <w:rFonts w:hint="default"/>
              </w:rPr>
            </w:pPr>
            <w:r>
              <w:rPr>
                <w:rFonts w:hint="default"/>
              </w:rPr>
              <w:t>表1-</w:t>
            </w:r>
            <w:r>
              <w:rPr>
                <w:rFonts w:hint="eastAsia"/>
                <w:lang w:val="en-US" w:eastAsia="zh-CN"/>
              </w:rPr>
              <w:t>5</w:t>
            </w:r>
            <w:r>
              <w:rPr>
                <w:rFonts w:hint="default"/>
              </w:rPr>
              <w:t xml:space="preserve">  “三线一单”符合性分析</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2"/>
              <w:gridCol w:w="3936"/>
              <w:gridCol w:w="2139"/>
            </w:tblGrid>
            <w:tr w14:paraId="7FB47A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744" w:type="pct"/>
                  <w:noWrap w:val="0"/>
                  <w:vAlign w:val="center"/>
                </w:tcPr>
                <w:p w14:paraId="66EED1F8">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类别</w:t>
                  </w:r>
                </w:p>
              </w:tc>
              <w:tc>
                <w:tcPr>
                  <w:tcW w:w="2757" w:type="pct"/>
                  <w:noWrap w:val="0"/>
                  <w:vAlign w:val="center"/>
                </w:tcPr>
                <w:p w14:paraId="22C35B39">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准入要求</w:t>
                  </w:r>
                </w:p>
              </w:tc>
              <w:tc>
                <w:tcPr>
                  <w:tcW w:w="1498" w:type="pct"/>
                  <w:noWrap w:val="0"/>
                  <w:vAlign w:val="center"/>
                </w:tcPr>
                <w:p w14:paraId="1B9ACE93">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符合性</w:t>
                  </w:r>
                </w:p>
              </w:tc>
            </w:tr>
            <w:tr w14:paraId="0AAD90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8" w:hRule="atLeast"/>
                <w:jc w:val="center"/>
              </w:trPr>
              <w:tc>
                <w:tcPr>
                  <w:tcW w:w="744" w:type="pct"/>
                  <w:tcBorders>
                    <w:bottom w:val="single" w:color="auto" w:sz="4" w:space="0"/>
                  </w:tcBorders>
                  <w:noWrap w:val="0"/>
                  <w:vAlign w:val="center"/>
                </w:tcPr>
                <w:p w14:paraId="4BC85432">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空间布局约束</w:t>
                  </w:r>
                </w:p>
              </w:tc>
              <w:tc>
                <w:tcPr>
                  <w:tcW w:w="2757" w:type="pct"/>
                  <w:tcBorders>
                    <w:bottom w:val="single" w:color="auto" w:sz="4" w:space="0"/>
                  </w:tcBorders>
                  <w:noWrap w:val="0"/>
                  <w:vAlign w:val="center"/>
                </w:tcPr>
                <w:p w14:paraId="4F636659">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1、执行海南州生态环境管控要求中第十七条关于水源涵养极重要区空间布局约束的准入要求。</w:t>
                  </w:r>
                </w:p>
                <w:p w14:paraId="28394F12">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第十七条关于水源涵养极重要区空间布局约束的准入要求：</w:t>
                  </w:r>
                </w:p>
                <w:p w14:paraId="358EC491">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禁止过度放牧、无序采矿、毁林开荒、开垦草原等损害或不利于维护水源涵养功能的人类活动。禁止新建高水资源消耗产业。禁止新建纺织印染、制革、造纸、石化、化工、医药、金属冶炼等水污染或大气污染较重的项目。“水源涵养型重点生态功能区水质达到地表水、地下水I类，空气质量达到一级”。水土保持型重点生态功能区的水质达到Ⅱ类，空气质量达到二级；防风固沙型重点生态功能区的水质达到Ⅱ类，空气质量得到改善。区内现有不符合布局要求的，限期退出或关停。对已造成的污染或损害，应限期治理。</w:t>
                  </w:r>
                </w:p>
                <w:p w14:paraId="77CA5637">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“禁止高水资源消耗产业在水源涵养生态功能区布局”“水源涵养型重点生态功能区水质达到地表水、地下水I类，空气质量达到一级”。</w:t>
                  </w:r>
                </w:p>
                <w:p w14:paraId="54270685">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2、执行海南州生态环境管控要求中第二十三条关于三江源地区空间布局约束的准入要求。</w:t>
                  </w:r>
                </w:p>
                <w:p w14:paraId="40087813">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第二十三条关于三江源地区空间布局约束的准入要求：</w:t>
                  </w:r>
                </w:p>
                <w:p w14:paraId="7867DFDD">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禁止违法占用，破坏湿地资源。严格管控流经城镇（乡）河段岸线，全面禁止河湖周边采矿、采砂、渔猎等活动。加强三江源地区的生态保护修复工作，对依法设立的国家公园进行系统保护和分区分类管理，科学采取禁牧封育等措施，加大退化草原、退化湿地、沙化土地治理和水土流失防治的力度，综合整治重度退化土地；严格禁止破坏生态功能或者不符合差别化管控要求的各类资源开发利用活动。禁止在青藏高原水土流失严重、生态脆弱的区域开展可能造成水土流失的生产建设活动。</w:t>
                  </w:r>
                </w:p>
                <w:p w14:paraId="726A4A89">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 xml:space="preserve">  强化三江源草原草甸湿地生态屏障红线刚性约束，按禁止开发区域的要求进行管理，严禁不符合主体功能定位的各类开发活动，严禁任意改变用途，确保生态功能不降低、面积不减少、性质不改变。</w:t>
                  </w:r>
                </w:p>
                <w:p w14:paraId="23F32A55">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 xml:space="preserve">  在三江源生态保护建设一、二期工程未覆盖地区，进一步加强对区域内可可西里湖、库赛湖、霍通诺尔湖、叶鲁苏湖等重要湖泊，隆宝滩、依然措、多尔改措、库赛湖、卓乃湖国家级重要湿地，及德曲源、巴塘河等国家湿地公园保护，加大格拉丹东山峰、玉珠峰为主的雪峰冰川保护力度，在大型雪山群、冰川、重要湿地和湖泊附近设置警示牌、围栏防护和巡查站点，严控人为扰动。在此基础上严格实行草畜平衡政策，使人畜与自然环境承载力相协调，实行季节性休牧和轮牧，促进生态系统自然恢复，坚持以生物措施与工程措施相结合，推进生态系统自然修复。</w:t>
                  </w:r>
                </w:p>
              </w:tc>
              <w:tc>
                <w:tcPr>
                  <w:tcW w:w="1498" w:type="pct"/>
                  <w:tcBorders>
                    <w:bottom w:val="single" w:color="auto" w:sz="4" w:space="0"/>
                  </w:tcBorders>
                  <w:noWrap w:val="0"/>
                  <w:vAlign w:val="center"/>
                </w:tcPr>
                <w:p w14:paraId="3B607A18">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1、本项目属于土砂石开采项目，已通过招拍挂的方式取得采矿权，并根据开发利用方案，按相关要求合理进行作业；不属于高耗水产业，且不会造成较重的水污染或大气污染。</w:t>
                  </w:r>
                </w:p>
                <w:p w14:paraId="1C48ECD5">
                  <w:pPr>
                    <w:keepNext w:val="0"/>
                    <w:keepLines w:val="0"/>
                    <w:pageBreakBefore w:val="0"/>
                    <w:widowControl w:val="0"/>
                    <w:suppressLineNumbers w:val="0"/>
                    <w:kinsoku/>
                    <w:wordWrap/>
                    <w:overflowPunct/>
                    <w:topLinePunct w:val="0"/>
                    <w:bidi w:val="0"/>
                    <w:adjustRightInd/>
                    <w:spacing w:line="288" w:lineRule="auto"/>
                    <w:ind w:firstLine="0" w:firstLineChars="0"/>
                    <w:jc w:val="left"/>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kern w:val="0"/>
                      <w:sz w:val="21"/>
                      <w:szCs w:val="21"/>
                      <w:lang w:val="en-US" w:eastAsia="zh-CN"/>
                    </w:rPr>
                    <w:t>2、本矿区位于</w:t>
                  </w:r>
                  <w:r>
                    <w:rPr>
                      <w:rFonts w:hint="default" w:ascii="Times New Roman" w:hAnsi="Times New Roman" w:eastAsia="宋体" w:cs="Times New Roman"/>
                      <w:sz w:val="21"/>
                      <w:szCs w:val="21"/>
                      <w:u w:val="none"/>
                    </w:rPr>
                    <w:t>青海省同德县河北乡东北侧约23km</w:t>
                  </w:r>
                  <w:r>
                    <w:rPr>
                      <w:rFonts w:hint="default" w:ascii="Times New Roman" w:hAnsi="Times New Roman" w:eastAsia="宋体" w:cs="Times New Roman"/>
                      <w:kern w:val="0"/>
                      <w:sz w:val="21"/>
                      <w:szCs w:val="21"/>
                      <w:lang w:val="en-US" w:eastAsia="zh-CN"/>
                    </w:rPr>
                    <w:t>处，厂界西侧及东南侧分布有季节性沟谷，厂界南侧距离赛欠曲约800m；项目将采取“边开</w:t>
                  </w:r>
                  <w:r>
                    <w:rPr>
                      <w:rFonts w:hint="default" w:ascii="Times New Roman" w:hAnsi="Times New Roman" w:eastAsia="宋体" w:cs="Times New Roman"/>
                      <w:kern w:val="0"/>
                      <w:sz w:val="21"/>
                      <w:szCs w:val="21"/>
                      <w:highlight w:val="none"/>
                      <w:lang w:val="en-US" w:eastAsia="zh-CN"/>
                    </w:rPr>
                    <w:t>采边恢复”的制度，已编制土地复垦方案，待矿</w:t>
                  </w:r>
                  <w:r>
                    <w:rPr>
                      <w:rFonts w:hint="default" w:ascii="Times New Roman" w:hAnsi="Times New Roman" w:eastAsia="宋体" w:cs="Times New Roman"/>
                      <w:kern w:val="0"/>
                      <w:sz w:val="21"/>
                      <w:szCs w:val="21"/>
                      <w:lang w:val="en-US" w:eastAsia="zh-CN"/>
                    </w:rPr>
                    <w:t>山开采结束</w:t>
                  </w:r>
                  <w:r>
                    <w:rPr>
                      <w:rFonts w:hint="eastAsia" w:cs="Times New Roman"/>
                      <w:kern w:val="0"/>
                      <w:sz w:val="21"/>
                      <w:szCs w:val="21"/>
                      <w:lang w:val="en-US" w:eastAsia="zh-CN"/>
                    </w:rPr>
                    <w:t>闭矿</w:t>
                  </w:r>
                  <w:r>
                    <w:rPr>
                      <w:rFonts w:hint="default" w:ascii="Times New Roman" w:hAnsi="Times New Roman" w:eastAsia="宋体" w:cs="Times New Roman"/>
                      <w:kern w:val="0"/>
                      <w:sz w:val="21"/>
                      <w:szCs w:val="21"/>
                      <w:lang w:val="en-US" w:eastAsia="zh-CN"/>
                    </w:rPr>
                    <w:t>时，按照《复垦方案》要求完成矿区的地质灾害治理，土地复垦率、终了边坡治理率达到100%</w:t>
                  </w:r>
                  <w:r>
                    <w:rPr>
                      <w:rFonts w:hint="default" w:ascii="Times New Roman" w:hAnsi="Times New Roman" w:eastAsia="宋体" w:cs="Times New Roman"/>
                      <w:sz w:val="21"/>
                      <w:szCs w:val="21"/>
                      <w:u w:val="none"/>
                      <w:lang w:val="en-US" w:eastAsia="zh-CN"/>
                    </w:rPr>
                    <w:t>。</w:t>
                  </w:r>
                </w:p>
                <w:p w14:paraId="0F14348D">
                  <w:pPr>
                    <w:keepNext w:val="0"/>
                    <w:keepLines w:val="0"/>
                    <w:pageBreakBefore w:val="0"/>
                    <w:widowControl w:val="0"/>
                    <w:suppressLineNumbers w:val="0"/>
                    <w:kinsoku/>
                    <w:wordWrap/>
                    <w:overflowPunct/>
                    <w:topLinePunct w:val="0"/>
                    <w:bidi w:val="0"/>
                    <w:adjustRightInd/>
                    <w:spacing w:line="288" w:lineRule="auto"/>
                    <w:ind w:firstLine="0" w:firstLineChars="0"/>
                    <w:jc w:val="left"/>
                    <w:textAlignment w:val="auto"/>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color w:val="FF0000"/>
                      <w:sz w:val="21"/>
                      <w:szCs w:val="21"/>
                      <w:highlight w:val="none"/>
                      <w:u w:val="none"/>
                      <w:lang w:val="en-US" w:eastAsia="zh-CN"/>
                    </w:rPr>
                    <w:t>3、根据青海省《全省水土流失重点防治区划分图》可知，青海省水土流失区域划分为水土流失重点预防区和水土流失重点治理区，项目所在地属于三江源国家级水土流失重点预防区，该区域水土流失现状尚不严重，需对其区域进行重点预防，不属于水土流失严重、生态脆弱的区域（见附图</w:t>
                  </w:r>
                  <w:r>
                    <w:rPr>
                      <w:rFonts w:hint="eastAsia" w:cs="Times New Roman"/>
                      <w:color w:val="FF0000"/>
                      <w:sz w:val="21"/>
                      <w:szCs w:val="21"/>
                      <w:highlight w:val="none"/>
                      <w:u w:val="none"/>
                      <w:lang w:val="en-US" w:eastAsia="zh-CN"/>
                    </w:rPr>
                    <w:t>3</w:t>
                  </w:r>
                  <w:r>
                    <w:rPr>
                      <w:rFonts w:hint="default" w:ascii="Times New Roman" w:hAnsi="Times New Roman" w:eastAsia="宋体" w:cs="Times New Roman"/>
                      <w:color w:val="FF0000"/>
                      <w:sz w:val="21"/>
                      <w:szCs w:val="21"/>
                      <w:highlight w:val="none"/>
                      <w:u w:val="none"/>
                      <w:lang w:val="en-US" w:eastAsia="zh-CN"/>
                    </w:rPr>
                    <w:t>）。</w:t>
                  </w:r>
                </w:p>
                <w:p w14:paraId="14A792B6">
                  <w:pPr>
                    <w:keepNext w:val="0"/>
                    <w:keepLines w:val="0"/>
                    <w:pageBreakBefore w:val="0"/>
                    <w:widowControl w:val="0"/>
                    <w:suppressLineNumbers w:val="0"/>
                    <w:kinsoku/>
                    <w:wordWrap/>
                    <w:overflowPunct/>
                    <w:topLinePunct w:val="0"/>
                    <w:bidi w:val="0"/>
                    <w:adjustRightInd/>
                    <w:spacing w:line="288" w:lineRule="auto"/>
                    <w:ind w:firstLine="0" w:firstLineChars="0"/>
                    <w:jc w:val="left"/>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4、</w:t>
                  </w:r>
                  <w:r>
                    <w:rPr>
                      <w:rFonts w:hint="default" w:ascii="Times New Roman" w:hAnsi="Times New Roman" w:eastAsia="宋体" w:cs="Times New Roman"/>
                      <w:kern w:val="0"/>
                      <w:sz w:val="21"/>
                      <w:szCs w:val="21"/>
                      <w:lang w:val="en-US" w:eastAsia="zh-CN"/>
                    </w:rPr>
                    <w:t>建设单位根据相关要求对同德县新设砂石矿进行意见征求，已取得</w:t>
                  </w:r>
                  <w:r>
                    <w:rPr>
                      <w:rFonts w:hint="default" w:ascii="Times New Roman" w:hAnsi="Times New Roman" w:eastAsia="宋体" w:cs="Times New Roman"/>
                      <w:sz w:val="21"/>
                      <w:szCs w:val="21"/>
                      <w:u w:val="none"/>
                      <w:lang w:val="en-US" w:eastAsia="zh-CN"/>
                    </w:rPr>
                    <w:t>河北乡乡（镇）政府、同德县生态环境局、同德县应急管理局、同德县农牧和水利局、同德县自然资源和林业草原局的意见，原则上同意该项目建设（见附件）。</w:t>
                  </w:r>
                </w:p>
              </w:tc>
            </w:tr>
            <w:tr w14:paraId="020D2C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44" w:type="pct"/>
                  <w:noWrap w:val="0"/>
                  <w:vAlign w:val="center"/>
                </w:tcPr>
                <w:p w14:paraId="08949495">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污染物排放管控</w:t>
                  </w:r>
                </w:p>
              </w:tc>
              <w:tc>
                <w:tcPr>
                  <w:tcW w:w="2757" w:type="pct"/>
                  <w:noWrap w:val="0"/>
                  <w:vAlign w:val="center"/>
                </w:tcPr>
                <w:p w14:paraId="52A9BA65">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无</w:t>
                  </w:r>
                </w:p>
              </w:tc>
              <w:tc>
                <w:tcPr>
                  <w:tcW w:w="1498" w:type="pct"/>
                  <w:noWrap w:val="0"/>
                  <w:vAlign w:val="center"/>
                </w:tcPr>
                <w:p w14:paraId="35FD8726">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w:t>
                  </w:r>
                </w:p>
              </w:tc>
            </w:tr>
            <w:tr w14:paraId="7EF026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44" w:type="pct"/>
                  <w:noWrap w:val="0"/>
                  <w:vAlign w:val="center"/>
                </w:tcPr>
                <w:p w14:paraId="35A5B7AA">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环境风险防控</w:t>
                  </w:r>
                </w:p>
              </w:tc>
              <w:tc>
                <w:tcPr>
                  <w:tcW w:w="2757" w:type="pct"/>
                  <w:noWrap w:val="0"/>
                  <w:vAlign w:val="center"/>
                </w:tcPr>
                <w:p w14:paraId="3C083F66">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无</w:t>
                  </w:r>
                </w:p>
              </w:tc>
              <w:tc>
                <w:tcPr>
                  <w:tcW w:w="1498" w:type="pct"/>
                  <w:noWrap w:val="0"/>
                  <w:vAlign w:val="center"/>
                </w:tcPr>
                <w:p w14:paraId="05A922E7">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w:t>
                  </w:r>
                </w:p>
              </w:tc>
            </w:tr>
            <w:tr w14:paraId="504CB3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44" w:type="pct"/>
                  <w:noWrap w:val="0"/>
                  <w:vAlign w:val="center"/>
                </w:tcPr>
                <w:p w14:paraId="5533D400">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资源开发效率要求</w:t>
                  </w:r>
                </w:p>
              </w:tc>
              <w:tc>
                <w:tcPr>
                  <w:tcW w:w="2757" w:type="pct"/>
                  <w:noWrap w:val="0"/>
                  <w:vAlign w:val="center"/>
                </w:tcPr>
                <w:p w14:paraId="2641D465">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无</w:t>
                  </w:r>
                </w:p>
                <w:p w14:paraId="6B14F44B">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无</w:t>
                  </w:r>
                </w:p>
              </w:tc>
              <w:tc>
                <w:tcPr>
                  <w:tcW w:w="1498" w:type="pct"/>
                  <w:noWrap w:val="0"/>
                  <w:vAlign w:val="center"/>
                </w:tcPr>
                <w:p w14:paraId="08C59388">
                  <w:pPr>
                    <w:keepNext w:val="0"/>
                    <w:keepLines w:val="0"/>
                    <w:pageBreakBefore w:val="0"/>
                    <w:widowControl w:val="0"/>
                    <w:kinsoku/>
                    <w:wordWrap/>
                    <w:overflowPunct/>
                    <w:topLinePunct w:val="0"/>
                    <w:autoSpaceDE w:val="0"/>
                    <w:autoSpaceDN w:val="0"/>
                    <w:bidi w:val="0"/>
                    <w:adjustRightInd/>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w:t>
                  </w:r>
                </w:p>
              </w:tc>
            </w:tr>
          </w:tbl>
          <w:p w14:paraId="79EBA607">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综上所述，本项目符合《海南州2023年生态环境分区管控要求及准入清单》（2024.04）的管控要求。</w:t>
            </w:r>
          </w:p>
          <w:p w14:paraId="57A60013">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lang w:val="en-US" w:eastAsia="zh-CN"/>
              </w:rPr>
              <w:t>3、</w:t>
            </w:r>
            <w:r>
              <w:rPr>
                <w:rFonts w:hint="default" w:ascii="Times New Roman" w:hAnsi="Times New Roman" w:eastAsia="宋体" w:cs="Times New Roman"/>
                <w:b/>
                <w:bCs/>
                <w:kern w:val="0"/>
                <w:sz w:val="24"/>
                <w:szCs w:val="24"/>
              </w:rPr>
              <w:t>与《矿山生态环境保护与污染防治技术政策》符合性分析</w:t>
            </w:r>
          </w:p>
          <w:p w14:paraId="7381B75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本项目与《矿山生态环境保护与污染防治技术政策》规定的符合性分析见表1-</w:t>
            </w:r>
            <w:r>
              <w:rPr>
                <w:rFonts w:hint="eastAsia" w:ascii="Times New Roman" w:hAnsi="Times New Roman" w:eastAsia="宋体" w:cs="Times New Roman"/>
                <w:kern w:val="0"/>
                <w:sz w:val="24"/>
                <w:szCs w:val="24"/>
                <w:lang w:val="en-US" w:eastAsia="zh-CN"/>
              </w:rPr>
              <w:t>6</w:t>
            </w:r>
            <w:r>
              <w:rPr>
                <w:rFonts w:hint="default" w:ascii="Times New Roman" w:hAnsi="Times New Roman" w:eastAsia="宋体" w:cs="Times New Roman"/>
                <w:kern w:val="0"/>
                <w:sz w:val="24"/>
                <w:szCs w:val="24"/>
              </w:rPr>
              <w:t>。</w:t>
            </w:r>
          </w:p>
          <w:p w14:paraId="4597D8E4">
            <w:pPr>
              <w:pStyle w:val="5"/>
              <w:bidi w:val="0"/>
              <w:rPr>
                <w:rFonts w:hint="default" w:ascii="Times New Roman" w:hAnsi="Times New Roman" w:eastAsia="宋体" w:cs="Times New Roman"/>
                <w:b/>
                <w:bCs/>
                <w:kern w:val="0"/>
                <w:szCs w:val="21"/>
              </w:rPr>
            </w:pPr>
            <w:r>
              <w:rPr>
                <w:rFonts w:hint="default"/>
              </w:rPr>
              <w:t>表1-</w:t>
            </w:r>
            <w:r>
              <w:rPr>
                <w:rFonts w:hint="eastAsia"/>
                <w:lang w:val="en-US" w:eastAsia="zh-CN"/>
              </w:rPr>
              <w:t>6</w:t>
            </w:r>
            <w:r>
              <w:rPr>
                <w:rFonts w:hint="default"/>
              </w:rPr>
              <w:t xml:space="preserve">  与《矿山生态环境保护与污染防治技术政策》符合性分析一览表</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2655"/>
              <w:gridCol w:w="2905"/>
              <w:gridCol w:w="806"/>
            </w:tblGrid>
            <w:tr w14:paraId="1B60D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00" w:type="pct"/>
                  <w:gridSpan w:val="2"/>
                  <w:tcBorders>
                    <w:tl2br w:val="nil"/>
                    <w:tr2bl w:val="nil"/>
                  </w:tcBorders>
                  <w:noWrap w:val="0"/>
                  <w:vAlign w:val="center"/>
                </w:tcPr>
                <w:p w14:paraId="32CFEC46">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技术政策规定内容</w:t>
                  </w:r>
                </w:p>
              </w:tc>
              <w:tc>
                <w:tcPr>
                  <w:tcW w:w="2035" w:type="pct"/>
                  <w:tcBorders>
                    <w:tl2br w:val="nil"/>
                    <w:tr2bl w:val="nil"/>
                  </w:tcBorders>
                  <w:noWrap w:val="0"/>
                  <w:vAlign w:val="center"/>
                </w:tcPr>
                <w:p w14:paraId="7BB0A7E3">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本项目情况</w:t>
                  </w:r>
                </w:p>
              </w:tc>
              <w:tc>
                <w:tcPr>
                  <w:tcW w:w="564" w:type="pct"/>
                  <w:tcBorders>
                    <w:tl2br w:val="nil"/>
                    <w:tr2bl w:val="nil"/>
                  </w:tcBorders>
                  <w:noWrap w:val="0"/>
                  <w:vAlign w:val="center"/>
                </w:tcPr>
                <w:p w14:paraId="72307D98">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符合性</w:t>
                  </w:r>
                </w:p>
              </w:tc>
            </w:tr>
            <w:tr w14:paraId="7847D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Merge w:val="restart"/>
                  <w:tcBorders>
                    <w:tl2br w:val="nil"/>
                    <w:tr2bl w:val="nil"/>
                  </w:tcBorders>
                  <w:noWrap w:val="0"/>
                  <w:vAlign w:val="center"/>
                </w:tcPr>
                <w:p w14:paraId="4F1CFCAA">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禁止的矿产资源开发活动</w:t>
                  </w:r>
                </w:p>
              </w:tc>
              <w:tc>
                <w:tcPr>
                  <w:tcW w:w="1860" w:type="pct"/>
                  <w:tcBorders>
                    <w:tl2br w:val="nil"/>
                    <w:tr2bl w:val="nil"/>
                  </w:tcBorders>
                  <w:noWrap w:val="0"/>
                  <w:vAlign w:val="center"/>
                </w:tcPr>
                <w:p w14:paraId="7B012AC5">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禁止在依法划定的自然保护区（核心区、缓冲区）、风景名胜区、森林公园、饮用水水源保护区、重要湖泊周边、文物古迹所在地、地质遗迹保护区、基本农田保护区等区域内采矿</w:t>
                  </w:r>
                </w:p>
              </w:tc>
              <w:tc>
                <w:tcPr>
                  <w:tcW w:w="2035" w:type="pct"/>
                  <w:tcBorders>
                    <w:tl2br w:val="nil"/>
                    <w:tr2bl w:val="nil"/>
                  </w:tcBorders>
                  <w:noWrap w:val="0"/>
                  <w:vAlign w:val="center"/>
                </w:tcPr>
                <w:p w14:paraId="7D7F99D6">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本项目位于</w:t>
                  </w:r>
                  <w:r>
                    <w:rPr>
                      <w:rFonts w:hint="default" w:ascii="Times New Roman" w:hAnsi="Times New Roman" w:eastAsia="宋体" w:cs="Times New Roman"/>
                      <w:kern w:val="0"/>
                      <w:sz w:val="21"/>
                      <w:szCs w:val="21"/>
                      <w:lang w:val="en-US" w:eastAsia="zh-CN"/>
                    </w:rPr>
                    <w:t>青海省同德县河北乡，</w:t>
                  </w:r>
                  <w:r>
                    <w:rPr>
                      <w:rFonts w:hint="default" w:ascii="Times New Roman" w:hAnsi="Times New Roman" w:eastAsia="宋体" w:cs="Times New Roman"/>
                      <w:kern w:val="0"/>
                      <w:sz w:val="21"/>
                      <w:szCs w:val="21"/>
                    </w:rPr>
                    <w:t>不</w:t>
                  </w:r>
                  <w:r>
                    <w:rPr>
                      <w:rFonts w:hint="default" w:ascii="Times New Roman" w:hAnsi="Times New Roman" w:eastAsia="宋体" w:cs="Times New Roman"/>
                      <w:kern w:val="0"/>
                      <w:sz w:val="21"/>
                      <w:szCs w:val="21"/>
                      <w:lang w:val="en-US" w:eastAsia="zh-CN"/>
                    </w:rPr>
                    <w:t>涉及</w:t>
                  </w:r>
                  <w:r>
                    <w:rPr>
                      <w:rFonts w:hint="default" w:ascii="Times New Roman" w:hAnsi="Times New Roman" w:eastAsia="宋体" w:cs="Times New Roman"/>
                      <w:kern w:val="0"/>
                      <w:sz w:val="21"/>
                      <w:szCs w:val="21"/>
                    </w:rPr>
                    <w:t>自然保护区、风景名胜区、森林公园、饮用水源保护区</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重要湖泊周边、文物古迹所在地、地质遗迹保护区、基本农田保护区</w:t>
                  </w:r>
                  <w:r>
                    <w:rPr>
                      <w:rFonts w:hint="default" w:ascii="Times New Roman" w:hAnsi="Times New Roman" w:eastAsia="宋体" w:cs="Times New Roman"/>
                      <w:kern w:val="0"/>
                      <w:sz w:val="21"/>
                      <w:szCs w:val="21"/>
                      <w:lang w:val="en-US" w:eastAsia="zh-CN"/>
                    </w:rPr>
                    <w:t>等</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占地类型为牧草地</w:t>
                  </w:r>
                  <w:r>
                    <w:rPr>
                      <w:rFonts w:hint="eastAsia" w:ascii="Times New Roman" w:hAnsi="Times New Roman" w:eastAsia="宋体" w:cs="Times New Roman"/>
                      <w:kern w:val="0"/>
                      <w:sz w:val="21"/>
                      <w:szCs w:val="21"/>
                      <w:lang w:val="en-US" w:eastAsia="zh-CN"/>
                    </w:rPr>
                    <w:t>。</w:t>
                  </w:r>
                </w:p>
              </w:tc>
              <w:tc>
                <w:tcPr>
                  <w:tcW w:w="564" w:type="pct"/>
                  <w:tcBorders>
                    <w:tl2br w:val="nil"/>
                    <w:tr2bl w:val="nil"/>
                  </w:tcBorders>
                  <w:noWrap w:val="0"/>
                  <w:vAlign w:val="center"/>
                </w:tcPr>
                <w:p w14:paraId="6C1C3E2E">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符合</w:t>
                  </w:r>
                </w:p>
              </w:tc>
            </w:tr>
            <w:tr w14:paraId="0D7C2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Merge w:val="continue"/>
                  <w:tcBorders>
                    <w:tl2br w:val="nil"/>
                    <w:tr2bl w:val="nil"/>
                  </w:tcBorders>
                  <w:noWrap w:val="0"/>
                  <w:vAlign w:val="center"/>
                </w:tcPr>
                <w:p w14:paraId="6345C471">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p>
              </w:tc>
              <w:tc>
                <w:tcPr>
                  <w:tcW w:w="1860" w:type="pct"/>
                  <w:tcBorders>
                    <w:tl2br w:val="nil"/>
                    <w:tr2bl w:val="nil"/>
                  </w:tcBorders>
                  <w:noWrap w:val="0"/>
                  <w:vAlign w:val="center"/>
                </w:tcPr>
                <w:p w14:paraId="39D6279C">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禁止在铁路、国道、省道两侧的直观可视范围内进行露天开采</w:t>
                  </w:r>
                </w:p>
              </w:tc>
              <w:tc>
                <w:tcPr>
                  <w:tcW w:w="2035" w:type="pct"/>
                  <w:tcBorders>
                    <w:tl2br w:val="nil"/>
                    <w:tr2bl w:val="nil"/>
                  </w:tcBorders>
                  <w:noWrap w:val="0"/>
                  <w:vAlign w:val="center"/>
                </w:tcPr>
                <w:p w14:paraId="03821D8C">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项目不在铁路、国道、省道两侧的直观可视范围内</w:t>
                  </w:r>
                  <w:r>
                    <w:rPr>
                      <w:rFonts w:hint="default" w:ascii="Times New Roman" w:hAnsi="Times New Roman" w:eastAsia="宋体" w:cs="Times New Roman"/>
                      <w:color w:val="FF0000"/>
                      <w:kern w:val="0"/>
                      <w:sz w:val="21"/>
                      <w:szCs w:val="21"/>
                      <w:lang w:eastAsia="zh-CN"/>
                    </w:rPr>
                    <w:t>，</w:t>
                  </w:r>
                  <w:r>
                    <w:rPr>
                      <w:rFonts w:hint="default" w:ascii="Times New Roman" w:hAnsi="Times New Roman" w:eastAsia="宋体" w:cs="Times New Roman"/>
                      <w:color w:val="FF0000"/>
                      <w:kern w:val="0"/>
                      <w:sz w:val="21"/>
                      <w:szCs w:val="21"/>
                    </w:rPr>
                    <w:t>矿山</w:t>
                  </w:r>
                  <w:r>
                    <w:rPr>
                      <w:rFonts w:hint="default" w:ascii="Times New Roman" w:hAnsi="Times New Roman" w:eastAsia="宋体" w:cs="Times New Roman"/>
                      <w:color w:val="FF0000"/>
                      <w:kern w:val="0"/>
                      <w:sz w:val="21"/>
                      <w:szCs w:val="21"/>
                      <w:lang w:val="en-US" w:eastAsia="zh-CN"/>
                    </w:rPr>
                    <w:t>与G227（西久公路101省道）之间有山体相隔，且道路高程远低于矿山高程，存在地势差</w:t>
                  </w:r>
                  <w:r>
                    <w:rPr>
                      <w:rFonts w:hint="eastAsia" w:ascii="Times New Roman" w:hAnsi="Times New Roman" w:eastAsia="宋体" w:cs="Times New Roman"/>
                      <w:color w:val="FF0000"/>
                      <w:kern w:val="0"/>
                      <w:sz w:val="21"/>
                      <w:szCs w:val="21"/>
                      <w:lang w:val="en-US" w:eastAsia="zh-CN"/>
                    </w:rPr>
                    <w:t>。</w:t>
                  </w:r>
                </w:p>
                <w:p w14:paraId="41211EE1">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color w:val="FF0000"/>
                      <w:kern w:val="0"/>
                      <w:sz w:val="21"/>
                      <w:szCs w:val="21"/>
                      <w:lang w:val="en-US" w:eastAsia="zh-CN"/>
                    </w:rPr>
                    <w:t>经调查，本项目与G1816高速公路最近直线距离约</w:t>
                  </w:r>
                  <w:r>
                    <w:rPr>
                      <w:rFonts w:hint="eastAsia" w:cs="Times New Roman"/>
                      <w:color w:val="FF0000"/>
                      <w:kern w:val="0"/>
                      <w:sz w:val="21"/>
                      <w:szCs w:val="21"/>
                      <w:lang w:val="en-US" w:eastAsia="zh-CN"/>
                    </w:rPr>
                    <w:t>7000</w:t>
                  </w:r>
                  <w:r>
                    <w:rPr>
                      <w:rFonts w:hint="eastAsia" w:ascii="Times New Roman" w:hAnsi="Times New Roman" w:eastAsia="宋体" w:cs="Times New Roman"/>
                      <w:color w:val="FF0000"/>
                      <w:kern w:val="0"/>
                      <w:sz w:val="21"/>
                      <w:szCs w:val="21"/>
                      <w:lang w:val="en-US" w:eastAsia="zh-CN"/>
                    </w:rPr>
                    <w:t>m，且数座山体相隔，具体位置关系见附图</w:t>
                  </w:r>
                  <w:r>
                    <w:rPr>
                      <w:rFonts w:hint="eastAsia" w:cs="Times New Roman"/>
                      <w:color w:val="FF0000"/>
                      <w:kern w:val="0"/>
                      <w:sz w:val="21"/>
                      <w:szCs w:val="21"/>
                      <w:lang w:val="en-US" w:eastAsia="zh-CN"/>
                    </w:rPr>
                    <w:t>15</w:t>
                  </w:r>
                  <w:r>
                    <w:rPr>
                      <w:rFonts w:hint="eastAsia" w:ascii="Times New Roman" w:hAnsi="Times New Roman" w:eastAsia="宋体" w:cs="Times New Roman"/>
                      <w:color w:val="FF0000"/>
                      <w:kern w:val="0"/>
                      <w:sz w:val="21"/>
                      <w:szCs w:val="21"/>
                      <w:lang w:val="en-US" w:eastAsia="zh-CN"/>
                    </w:rPr>
                    <w:t>。</w:t>
                  </w:r>
                </w:p>
              </w:tc>
              <w:tc>
                <w:tcPr>
                  <w:tcW w:w="564" w:type="pct"/>
                  <w:tcBorders>
                    <w:tl2br w:val="nil"/>
                    <w:tr2bl w:val="nil"/>
                  </w:tcBorders>
                  <w:noWrap w:val="0"/>
                  <w:vAlign w:val="center"/>
                </w:tcPr>
                <w:p w14:paraId="6B2F0A6F">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r w14:paraId="406EB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Merge w:val="continue"/>
                  <w:tcBorders>
                    <w:tl2br w:val="nil"/>
                    <w:tr2bl w:val="nil"/>
                  </w:tcBorders>
                  <w:noWrap w:val="0"/>
                  <w:vAlign w:val="center"/>
                </w:tcPr>
                <w:p w14:paraId="649DFAC6">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p>
              </w:tc>
              <w:tc>
                <w:tcPr>
                  <w:tcW w:w="1860" w:type="pct"/>
                  <w:tcBorders>
                    <w:tl2br w:val="nil"/>
                    <w:tr2bl w:val="nil"/>
                  </w:tcBorders>
                  <w:noWrap w:val="0"/>
                  <w:vAlign w:val="center"/>
                </w:tcPr>
                <w:p w14:paraId="7F84B4F8">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禁止在地质灾害危险区开采矿产资源</w:t>
                  </w:r>
                </w:p>
              </w:tc>
              <w:tc>
                <w:tcPr>
                  <w:tcW w:w="2035" w:type="pct"/>
                  <w:tcBorders>
                    <w:tl2br w:val="nil"/>
                    <w:tr2bl w:val="nil"/>
                  </w:tcBorders>
                  <w:noWrap w:val="0"/>
                  <w:vAlign w:val="center"/>
                </w:tcPr>
                <w:p w14:paraId="3868334B">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项目未涉及生态保护红线、自然保护区、风景名胜区、水源保护区、湿地公园、森林公园、国家公园、地质公园禁</w:t>
                  </w:r>
                  <w:r>
                    <w:rPr>
                      <w:rFonts w:hint="default" w:ascii="Times New Roman" w:hAnsi="Times New Roman" w:eastAsia="宋体" w:cs="Times New Roman"/>
                      <w:kern w:val="0"/>
                      <w:sz w:val="21"/>
                      <w:szCs w:val="21"/>
                    </w:rPr>
                    <w:t>止限制开采区域，项目区不属于地质灾害危险区</w:t>
                  </w:r>
                  <w:r>
                    <w:rPr>
                      <w:rFonts w:hint="eastAsia" w:ascii="Times New Roman" w:hAnsi="Times New Roman" w:eastAsia="宋体" w:cs="Times New Roman"/>
                      <w:kern w:val="0"/>
                      <w:sz w:val="21"/>
                      <w:szCs w:val="21"/>
                      <w:lang w:eastAsia="zh-CN"/>
                    </w:rPr>
                    <w:t>。</w:t>
                  </w:r>
                </w:p>
              </w:tc>
              <w:tc>
                <w:tcPr>
                  <w:tcW w:w="564" w:type="pct"/>
                  <w:tcBorders>
                    <w:tl2br w:val="nil"/>
                    <w:tr2bl w:val="nil"/>
                  </w:tcBorders>
                  <w:noWrap w:val="0"/>
                  <w:vAlign w:val="center"/>
                </w:tcPr>
                <w:p w14:paraId="71937213">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r w14:paraId="3F0CA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40" w:type="pct"/>
                  <w:vMerge w:val="continue"/>
                  <w:tcBorders>
                    <w:tl2br w:val="nil"/>
                    <w:tr2bl w:val="nil"/>
                  </w:tcBorders>
                  <w:noWrap w:val="0"/>
                  <w:vAlign w:val="center"/>
                </w:tcPr>
                <w:p w14:paraId="185676A4">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p>
              </w:tc>
              <w:tc>
                <w:tcPr>
                  <w:tcW w:w="1860" w:type="pct"/>
                  <w:tcBorders>
                    <w:tl2br w:val="nil"/>
                    <w:tr2bl w:val="nil"/>
                  </w:tcBorders>
                  <w:noWrap w:val="0"/>
                  <w:vAlign w:val="center"/>
                </w:tcPr>
                <w:p w14:paraId="7097606B">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禁止土法采、选冶金矿和土法冶炼汞、砷、铅、锌、焦、硫、钒等矿产资源开发活动</w:t>
                  </w:r>
                </w:p>
              </w:tc>
              <w:tc>
                <w:tcPr>
                  <w:tcW w:w="2035" w:type="pct"/>
                  <w:tcBorders>
                    <w:tl2br w:val="nil"/>
                    <w:tr2bl w:val="nil"/>
                  </w:tcBorders>
                  <w:noWrap w:val="0"/>
                  <w:vAlign w:val="center"/>
                </w:tcPr>
                <w:p w14:paraId="4D16CF1E">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本项目不属于禁止</w:t>
                  </w:r>
                  <w:r>
                    <w:rPr>
                      <w:rFonts w:hint="eastAsia" w:cs="Times New Roman"/>
                      <w:kern w:val="0"/>
                      <w:sz w:val="21"/>
                      <w:szCs w:val="21"/>
                      <w:lang w:val="en-US" w:eastAsia="zh-CN"/>
                    </w:rPr>
                    <w:t>项目</w:t>
                  </w:r>
                  <w:r>
                    <w:rPr>
                      <w:rFonts w:hint="eastAsia" w:ascii="Times New Roman" w:hAnsi="Times New Roman" w:eastAsia="宋体" w:cs="Times New Roman"/>
                      <w:kern w:val="0"/>
                      <w:sz w:val="21"/>
                      <w:szCs w:val="21"/>
                      <w:lang w:val="en-US" w:eastAsia="zh-CN"/>
                    </w:rPr>
                    <w:t>。</w:t>
                  </w:r>
                </w:p>
              </w:tc>
              <w:tc>
                <w:tcPr>
                  <w:tcW w:w="564" w:type="pct"/>
                  <w:tcBorders>
                    <w:tl2br w:val="nil"/>
                    <w:tr2bl w:val="nil"/>
                  </w:tcBorders>
                  <w:noWrap w:val="0"/>
                  <w:vAlign w:val="center"/>
                </w:tcPr>
                <w:p w14:paraId="6CDCEA6C">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r w14:paraId="23445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Merge w:val="continue"/>
                  <w:tcBorders>
                    <w:tl2br w:val="nil"/>
                    <w:tr2bl w:val="nil"/>
                  </w:tcBorders>
                  <w:noWrap w:val="0"/>
                  <w:vAlign w:val="center"/>
                </w:tcPr>
                <w:p w14:paraId="0D8238B9">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p>
              </w:tc>
              <w:tc>
                <w:tcPr>
                  <w:tcW w:w="1860" w:type="pct"/>
                  <w:tcBorders>
                    <w:tl2br w:val="nil"/>
                    <w:tr2bl w:val="nil"/>
                  </w:tcBorders>
                  <w:noWrap w:val="0"/>
                  <w:vAlign w:val="center"/>
                </w:tcPr>
                <w:p w14:paraId="5B70378B">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禁止新建对生态环境产生不可恢复利用的、产生破坏性影响的矿产资源开发项</w:t>
                  </w:r>
                  <w:r>
                    <w:rPr>
                      <w:rFonts w:hint="default" w:ascii="Times New Roman" w:hAnsi="Times New Roman" w:eastAsia="宋体" w:cs="Times New Roman"/>
                      <w:kern w:val="0"/>
                      <w:sz w:val="21"/>
                      <w:szCs w:val="21"/>
                      <w:lang w:val="en-US" w:eastAsia="zh-CN"/>
                    </w:rPr>
                    <w:t>目</w:t>
                  </w:r>
                </w:p>
              </w:tc>
              <w:tc>
                <w:tcPr>
                  <w:tcW w:w="2035" w:type="pct"/>
                  <w:tcBorders>
                    <w:tl2br w:val="nil"/>
                    <w:tr2bl w:val="nil"/>
                  </w:tcBorders>
                  <w:noWrap w:val="0"/>
                  <w:vAlign w:val="center"/>
                </w:tcPr>
                <w:p w14:paraId="0F28FCA1">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矿山服务期满后，对露天采场、排土场等全部进行生态恢复等</w:t>
                  </w:r>
                  <w:r>
                    <w:rPr>
                      <w:rFonts w:hint="eastAsia" w:ascii="Times New Roman" w:hAnsi="Times New Roman" w:eastAsia="宋体" w:cs="Times New Roman"/>
                      <w:kern w:val="0"/>
                      <w:sz w:val="21"/>
                      <w:szCs w:val="21"/>
                      <w:lang w:eastAsia="zh-CN"/>
                    </w:rPr>
                    <w:t>。</w:t>
                  </w:r>
                </w:p>
              </w:tc>
              <w:tc>
                <w:tcPr>
                  <w:tcW w:w="564" w:type="pct"/>
                  <w:tcBorders>
                    <w:tl2br w:val="nil"/>
                    <w:tr2bl w:val="nil"/>
                  </w:tcBorders>
                  <w:noWrap w:val="0"/>
                  <w:vAlign w:val="center"/>
                </w:tcPr>
                <w:p w14:paraId="6592CBE8">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r w14:paraId="6C4FA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Merge w:val="continue"/>
                  <w:tcBorders>
                    <w:tl2br w:val="nil"/>
                    <w:tr2bl w:val="nil"/>
                  </w:tcBorders>
                  <w:noWrap w:val="0"/>
                  <w:vAlign w:val="center"/>
                </w:tcPr>
                <w:p w14:paraId="7389638A">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p>
              </w:tc>
              <w:tc>
                <w:tcPr>
                  <w:tcW w:w="1860" w:type="pct"/>
                  <w:tcBorders>
                    <w:tl2br w:val="nil"/>
                    <w:tr2bl w:val="nil"/>
                  </w:tcBorders>
                  <w:noWrap w:val="0"/>
                  <w:vAlign w:val="center"/>
                </w:tcPr>
                <w:p w14:paraId="053D98E9">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禁止新建煤层含硫量大于3%的煤矿</w:t>
                  </w:r>
                </w:p>
              </w:tc>
              <w:tc>
                <w:tcPr>
                  <w:tcW w:w="2035" w:type="pct"/>
                  <w:tcBorders>
                    <w:tl2br w:val="nil"/>
                    <w:tr2bl w:val="nil"/>
                  </w:tcBorders>
                  <w:noWrap w:val="0"/>
                  <w:vAlign w:val="center"/>
                </w:tcPr>
                <w:p w14:paraId="01F55851">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本项目属于建筑用砂岩矿</w:t>
                  </w:r>
                  <w:r>
                    <w:rPr>
                      <w:rFonts w:hint="eastAsia" w:ascii="Times New Roman" w:hAnsi="Times New Roman" w:eastAsia="宋体" w:cs="Times New Roman"/>
                      <w:kern w:val="0"/>
                      <w:sz w:val="21"/>
                      <w:szCs w:val="21"/>
                      <w:lang w:val="en-US" w:eastAsia="zh-CN"/>
                    </w:rPr>
                    <w:t>。</w:t>
                  </w:r>
                </w:p>
              </w:tc>
              <w:tc>
                <w:tcPr>
                  <w:tcW w:w="564" w:type="pct"/>
                  <w:tcBorders>
                    <w:tl2br w:val="nil"/>
                    <w:tr2bl w:val="nil"/>
                  </w:tcBorders>
                  <w:noWrap w:val="0"/>
                  <w:vAlign w:val="center"/>
                </w:tcPr>
                <w:p w14:paraId="6CD7F9D9">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r w14:paraId="35936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Merge w:val="restart"/>
                  <w:tcBorders>
                    <w:tl2br w:val="nil"/>
                    <w:tr2bl w:val="nil"/>
                  </w:tcBorders>
                  <w:noWrap w:val="0"/>
                  <w:vAlign w:val="center"/>
                </w:tcPr>
                <w:p w14:paraId="0CE25F92">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限制的矿产资源开发活动</w:t>
                  </w:r>
                </w:p>
              </w:tc>
              <w:tc>
                <w:tcPr>
                  <w:tcW w:w="1860" w:type="pct"/>
                  <w:tcBorders>
                    <w:tl2br w:val="nil"/>
                    <w:tr2bl w:val="nil"/>
                  </w:tcBorders>
                  <w:noWrap w:val="0"/>
                  <w:vAlign w:val="center"/>
                </w:tcPr>
                <w:p w14:paraId="75DEE180">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限制在生态功能保护区和自然保护区（过渡区）内开采矿产资源。</w:t>
                  </w:r>
                </w:p>
                <w:p w14:paraId="761A51E1">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生态功能保护区内的开采活动必须符合当地的环境功能区规划，并按规定进行控制性开采，开采活动不得影响本功能区内的主导生态功能</w:t>
                  </w:r>
                </w:p>
              </w:tc>
              <w:tc>
                <w:tcPr>
                  <w:tcW w:w="2035" w:type="pct"/>
                  <w:tcBorders>
                    <w:tl2br w:val="nil"/>
                    <w:tr2bl w:val="nil"/>
                  </w:tcBorders>
                  <w:noWrap w:val="0"/>
                  <w:vAlign w:val="center"/>
                </w:tcPr>
                <w:p w14:paraId="1842F25A">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本项目不在生态功能保护区和自然保护区内</w:t>
                  </w:r>
                  <w:r>
                    <w:rPr>
                      <w:rFonts w:hint="eastAsia" w:ascii="Times New Roman" w:hAnsi="Times New Roman" w:eastAsia="宋体" w:cs="Times New Roman"/>
                      <w:kern w:val="0"/>
                      <w:sz w:val="21"/>
                      <w:szCs w:val="21"/>
                      <w:lang w:eastAsia="zh-CN"/>
                    </w:rPr>
                    <w:t>。</w:t>
                  </w:r>
                </w:p>
              </w:tc>
              <w:tc>
                <w:tcPr>
                  <w:tcW w:w="564" w:type="pct"/>
                  <w:tcBorders>
                    <w:tl2br w:val="nil"/>
                    <w:tr2bl w:val="nil"/>
                  </w:tcBorders>
                  <w:noWrap w:val="0"/>
                  <w:vAlign w:val="center"/>
                </w:tcPr>
                <w:p w14:paraId="7E068F3F">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r w14:paraId="2851F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Merge w:val="continue"/>
                  <w:tcBorders>
                    <w:tl2br w:val="nil"/>
                    <w:tr2bl w:val="nil"/>
                  </w:tcBorders>
                  <w:noWrap w:val="0"/>
                  <w:vAlign w:val="center"/>
                </w:tcPr>
                <w:p w14:paraId="233823DA">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p>
              </w:tc>
              <w:tc>
                <w:tcPr>
                  <w:tcW w:w="1860" w:type="pct"/>
                  <w:tcBorders>
                    <w:tl2br w:val="nil"/>
                    <w:tr2bl w:val="nil"/>
                  </w:tcBorders>
                  <w:noWrap w:val="0"/>
                  <w:vAlign w:val="center"/>
                </w:tcPr>
                <w:p w14:paraId="0FA28BBB">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限制在地质灾害易发区、水土流失严重区域等生态脆弱区内开采矿产资源</w:t>
                  </w:r>
                </w:p>
              </w:tc>
              <w:tc>
                <w:tcPr>
                  <w:tcW w:w="2035" w:type="pct"/>
                  <w:tcBorders>
                    <w:tl2br w:val="nil"/>
                    <w:tr2bl w:val="nil"/>
                  </w:tcBorders>
                  <w:noWrap w:val="0"/>
                  <w:vAlign w:val="center"/>
                </w:tcPr>
                <w:p w14:paraId="59E60396">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项目未涉及生态保护红线、自然保护区、风景名胜区、水源保护区、湿地公园、森林公园、国家公园、地质公园禁</w:t>
                  </w:r>
                  <w:r>
                    <w:rPr>
                      <w:rFonts w:hint="default" w:ascii="Times New Roman" w:hAnsi="Times New Roman" w:eastAsia="宋体" w:cs="Times New Roman"/>
                      <w:kern w:val="0"/>
                      <w:sz w:val="21"/>
                      <w:szCs w:val="21"/>
                    </w:rPr>
                    <w:t>止限制开采区域，项目区不属于地质灾害易发区、水土流失严重区域</w:t>
                  </w:r>
                  <w:r>
                    <w:rPr>
                      <w:rFonts w:hint="eastAsia" w:ascii="Times New Roman" w:hAnsi="Times New Roman" w:eastAsia="宋体" w:cs="Times New Roman"/>
                      <w:kern w:val="0"/>
                      <w:sz w:val="21"/>
                      <w:szCs w:val="21"/>
                      <w:lang w:eastAsia="zh-CN"/>
                    </w:rPr>
                    <w:t>。</w:t>
                  </w:r>
                </w:p>
              </w:tc>
              <w:tc>
                <w:tcPr>
                  <w:tcW w:w="564" w:type="pct"/>
                  <w:tcBorders>
                    <w:tl2br w:val="nil"/>
                    <w:tr2bl w:val="nil"/>
                  </w:tcBorders>
                  <w:noWrap w:val="0"/>
                  <w:vAlign w:val="center"/>
                </w:tcPr>
                <w:p w14:paraId="27E6BBE8">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r w14:paraId="77383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Merge w:val="restart"/>
                  <w:tcBorders>
                    <w:tl2br w:val="nil"/>
                    <w:tr2bl w:val="nil"/>
                  </w:tcBorders>
                  <w:noWrap w:val="0"/>
                  <w:vAlign w:val="center"/>
                </w:tcPr>
                <w:p w14:paraId="6B54887E">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采矿</w:t>
                  </w:r>
                </w:p>
              </w:tc>
              <w:tc>
                <w:tcPr>
                  <w:tcW w:w="1860" w:type="pct"/>
                  <w:tcBorders>
                    <w:tl2br w:val="nil"/>
                    <w:tr2bl w:val="nil"/>
                  </w:tcBorders>
                  <w:noWrap w:val="0"/>
                  <w:vAlign w:val="center"/>
                </w:tcPr>
                <w:p w14:paraId="48844208">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对于露天开采的矿山，宜推广剥离—排土—造地—恢复一体化技术</w:t>
                  </w:r>
                </w:p>
              </w:tc>
              <w:tc>
                <w:tcPr>
                  <w:tcW w:w="2035" w:type="pct"/>
                  <w:tcBorders>
                    <w:tl2br w:val="nil"/>
                    <w:tr2bl w:val="nil"/>
                  </w:tcBorders>
                  <w:noWrap w:val="0"/>
                  <w:vAlign w:val="center"/>
                </w:tcPr>
                <w:p w14:paraId="525BD75E">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矿山</w:t>
                  </w:r>
                  <w:r>
                    <w:rPr>
                      <w:rFonts w:hint="default" w:ascii="Times New Roman" w:hAnsi="Times New Roman" w:eastAsia="宋体" w:cs="Times New Roman"/>
                      <w:kern w:val="0"/>
                      <w:sz w:val="21"/>
                      <w:szCs w:val="21"/>
                      <w:lang w:val="en-US" w:eastAsia="zh-CN"/>
                    </w:rPr>
                    <w:t>露天开采，</w:t>
                  </w:r>
                  <w:r>
                    <w:rPr>
                      <w:rFonts w:hint="default" w:ascii="Times New Roman" w:hAnsi="Times New Roman" w:eastAsia="宋体" w:cs="Times New Roman"/>
                      <w:kern w:val="0"/>
                      <w:sz w:val="21"/>
                      <w:szCs w:val="21"/>
                    </w:rPr>
                    <w:t>采用</w:t>
                  </w:r>
                  <w:r>
                    <w:rPr>
                      <w:rFonts w:hint="default" w:ascii="Times New Roman" w:hAnsi="Times New Roman" w:eastAsia="宋体" w:cs="Times New Roman"/>
                      <w:kern w:val="0"/>
                      <w:sz w:val="21"/>
                      <w:szCs w:val="21"/>
                      <w:lang w:val="en-US" w:eastAsia="zh-CN"/>
                    </w:rPr>
                    <w:t>项目采用剥离—排土—造地—复垦一体化技术</w:t>
                  </w:r>
                  <w:r>
                    <w:rPr>
                      <w:rFonts w:hint="eastAsia" w:ascii="Times New Roman" w:hAnsi="Times New Roman" w:eastAsia="宋体" w:cs="Times New Roman"/>
                      <w:kern w:val="0"/>
                      <w:sz w:val="21"/>
                      <w:szCs w:val="21"/>
                      <w:lang w:val="en-US" w:eastAsia="zh-CN"/>
                    </w:rPr>
                    <w:t>。</w:t>
                  </w:r>
                </w:p>
              </w:tc>
              <w:tc>
                <w:tcPr>
                  <w:tcW w:w="564" w:type="pct"/>
                  <w:tcBorders>
                    <w:tl2br w:val="nil"/>
                    <w:tr2bl w:val="nil"/>
                  </w:tcBorders>
                  <w:noWrap w:val="0"/>
                  <w:vAlign w:val="center"/>
                </w:tcPr>
                <w:p w14:paraId="763211BE">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r w14:paraId="54E4E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40" w:type="pct"/>
                  <w:vMerge w:val="continue"/>
                  <w:tcBorders>
                    <w:tl2br w:val="nil"/>
                    <w:tr2bl w:val="nil"/>
                  </w:tcBorders>
                  <w:noWrap w:val="0"/>
                  <w:vAlign w:val="center"/>
                </w:tcPr>
                <w:p w14:paraId="533A08A4">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p>
              </w:tc>
              <w:tc>
                <w:tcPr>
                  <w:tcW w:w="1860" w:type="pct"/>
                  <w:tcBorders>
                    <w:tl2br w:val="nil"/>
                    <w:tr2bl w:val="nil"/>
                  </w:tcBorders>
                  <w:noWrap w:val="0"/>
                  <w:vAlign w:val="center"/>
                </w:tcPr>
                <w:p w14:paraId="5ED94441">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宜采取修筑排水沟、引流渠，预先截堵水，防渗漏处理等措施，防止或减少各种水源进入露天采场</w:t>
                  </w:r>
                </w:p>
              </w:tc>
              <w:tc>
                <w:tcPr>
                  <w:tcW w:w="2035" w:type="pct"/>
                  <w:tcBorders>
                    <w:tl2br w:val="nil"/>
                    <w:tr2bl w:val="nil"/>
                  </w:tcBorders>
                  <w:noWrap w:val="0"/>
                  <w:vAlign w:val="center"/>
                </w:tcPr>
                <w:p w14:paraId="2560E436">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本项目</w:t>
                  </w:r>
                  <w:r>
                    <w:rPr>
                      <w:rFonts w:hint="default" w:ascii="Times New Roman" w:hAnsi="Times New Roman" w:eastAsia="宋体" w:cs="Times New Roman"/>
                      <w:kern w:val="0"/>
                      <w:sz w:val="21"/>
                      <w:szCs w:val="21"/>
                      <w:lang w:eastAsia="zh-CN"/>
                    </w:rPr>
                    <w:t>采场北侧设置截排水沟，</w:t>
                  </w:r>
                  <w:r>
                    <w:rPr>
                      <w:rFonts w:hint="default" w:ascii="Times New Roman" w:hAnsi="Times New Roman" w:eastAsia="宋体" w:cs="Times New Roman"/>
                      <w:kern w:val="0"/>
                      <w:sz w:val="21"/>
                      <w:szCs w:val="21"/>
                      <w:lang w:val="en-US" w:eastAsia="zh-CN"/>
                    </w:rPr>
                    <w:t>将大气降水顺地势排出，防止雨水等进入露天采场</w:t>
                  </w:r>
                  <w:r>
                    <w:rPr>
                      <w:rFonts w:hint="eastAsia" w:ascii="Times New Roman" w:hAnsi="Times New Roman" w:eastAsia="宋体" w:cs="Times New Roman"/>
                      <w:kern w:val="0"/>
                      <w:sz w:val="21"/>
                      <w:szCs w:val="21"/>
                      <w:lang w:val="en-US" w:eastAsia="zh-CN"/>
                    </w:rPr>
                    <w:t>。</w:t>
                  </w:r>
                </w:p>
              </w:tc>
              <w:tc>
                <w:tcPr>
                  <w:tcW w:w="564" w:type="pct"/>
                  <w:tcBorders>
                    <w:tl2br w:val="nil"/>
                    <w:tr2bl w:val="nil"/>
                  </w:tcBorders>
                  <w:noWrap w:val="0"/>
                  <w:vAlign w:val="center"/>
                </w:tcPr>
                <w:p w14:paraId="1366862F">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r w14:paraId="19937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540" w:type="pct"/>
                  <w:vMerge w:val="continue"/>
                  <w:tcBorders>
                    <w:tl2br w:val="nil"/>
                    <w:tr2bl w:val="nil"/>
                  </w:tcBorders>
                  <w:noWrap w:val="0"/>
                  <w:vAlign w:val="center"/>
                </w:tcPr>
                <w:p w14:paraId="0E19FE70">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p>
              </w:tc>
              <w:tc>
                <w:tcPr>
                  <w:tcW w:w="1860" w:type="pct"/>
                  <w:tcBorders>
                    <w:tl2br w:val="nil"/>
                    <w:tr2bl w:val="nil"/>
                  </w:tcBorders>
                  <w:noWrap w:val="0"/>
                  <w:vAlign w:val="center"/>
                </w:tcPr>
                <w:p w14:paraId="198BACDF">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宜采用安装除尘装置，湿式作业，个体防护等措施，防治凿岩、铲装、运输等采矿作业中的粉尘污染</w:t>
                  </w:r>
                </w:p>
              </w:tc>
              <w:tc>
                <w:tcPr>
                  <w:tcW w:w="2035" w:type="pct"/>
                  <w:tcBorders>
                    <w:tl2br w:val="nil"/>
                    <w:tr2bl w:val="nil"/>
                  </w:tcBorders>
                  <w:noWrap w:val="0"/>
                  <w:vAlign w:val="center"/>
                </w:tcPr>
                <w:p w14:paraId="0027029C">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color w:val="auto"/>
                      <w:kern w:val="0"/>
                      <w:sz w:val="21"/>
                      <w:szCs w:val="21"/>
                    </w:rPr>
                    <w:t>铲装、运输作业均采取洒水降尘，个人配备防护措施</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运输车辆密封运输；车辆驶出场地时清洗方可离场</w:t>
                  </w:r>
                  <w:r>
                    <w:rPr>
                      <w:rFonts w:hint="eastAsia" w:ascii="Times New Roman" w:hAnsi="Times New Roman" w:eastAsia="宋体" w:cs="Times New Roman"/>
                      <w:color w:val="auto"/>
                      <w:kern w:val="0"/>
                      <w:sz w:val="21"/>
                      <w:szCs w:val="21"/>
                      <w:lang w:val="en-US" w:eastAsia="zh-CN"/>
                    </w:rPr>
                    <w:t>。</w:t>
                  </w:r>
                </w:p>
              </w:tc>
              <w:tc>
                <w:tcPr>
                  <w:tcW w:w="564" w:type="pct"/>
                  <w:tcBorders>
                    <w:tl2br w:val="nil"/>
                    <w:tr2bl w:val="nil"/>
                  </w:tcBorders>
                  <w:noWrap w:val="0"/>
                  <w:vAlign w:val="center"/>
                </w:tcPr>
                <w:p w14:paraId="78F25775">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r w14:paraId="56ABA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Merge w:val="continue"/>
                  <w:tcBorders>
                    <w:tl2br w:val="nil"/>
                    <w:tr2bl w:val="nil"/>
                  </w:tcBorders>
                  <w:noWrap w:val="0"/>
                  <w:vAlign w:val="center"/>
                </w:tcPr>
                <w:p w14:paraId="3C3761FB">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p>
              </w:tc>
              <w:tc>
                <w:tcPr>
                  <w:tcW w:w="1860" w:type="pct"/>
                  <w:tcBorders>
                    <w:tl2br w:val="nil"/>
                    <w:tr2bl w:val="nil"/>
                  </w:tcBorders>
                  <w:noWrap w:val="0"/>
                  <w:vAlign w:val="center"/>
                </w:tcPr>
                <w:p w14:paraId="7426EB13">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对采矿活动所产生的固体废物，应使用专用场所堆放，并采取有效措施防止二次环境污染及诱发次生地质灾害</w:t>
                  </w:r>
                </w:p>
              </w:tc>
              <w:tc>
                <w:tcPr>
                  <w:tcW w:w="2035" w:type="pct"/>
                  <w:tcBorders>
                    <w:tl2br w:val="nil"/>
                    <w:tr2bl w:val="nil"/>
                  </w:tcBorders>
                  <w:noWrap w:val="0"/>
                  <w:vAlign w:val="center"/>
                </w:tcPr>
                <w:p w14:paraId="429C6049">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项目产生的固体废物均分类收集，合理处置，设有排土场堆存剥离表土，用于复垦回填，能有效防止二次环境污染及诱发次生地质灾害</w:t>
                  </w:r>
                  <w:r>
                    <w:rPr>
                      <w:rFonts w:hint="eastAsia" w:ascii="Times New Roman" w:hAnsi="Times New Roman" w:eastAsia="宋体" w:cs="Times New Roman"/>
                      <w:kern w:val="0"/>
                      <w:sz w:val="21"/>
                      <w:szCs w:val="21"/>
                      <w:lang w:val="en-US" w:eastAsia="zh-CN"/>
                    </w:rPr>
                    <w:t>。</w:t>
                  </w:r>
                </w:p>
              </w:tc>
              <w:tc>
                <w:tcPr>
                  <w:tcW w:w="564" w:type="pct"/>
                  <w:tcBorders>
                    <w:tl2br w:val="nil"/>
                    <w:tr2bl w:val="nil"/>
                  </w:tcBorders>
                  <w:noWrap w:val="0"/>
                  <w:vAlign w:val="center"/>
                </w:tcPr>
                <w:p w14:paraId="1CEA9E08">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符合</w:t>
                  </w:r>
                </w:p>
              </w:tc>
            </w:tr>
          </w:tbl>
          <w:p w14:paraId="1E1D4B0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kern w:val="0"/>
                <w:sz w:val="24"/>
                <w:szCs w:val="24"/>
              </w:rPr>
              <w:t>由上表分析可知，本项目符合《矿山生态环境保护与污染防治技术政策》中的规定要求。</w:t>
            </w:r>
          </w:p>
          <w:p w14:paraId="1CBF32F4">
            <w:pPr>
              <w:keepNext w:val="0"/>
              <w:keepLines w:val="0"/>
              <w:pageBreakBefore w:val="0"/>
              <w:widowControl w:val="0"/>
              <w:kinsoku/>
              <w:wordWrap/>
              <w:overflowPunct/>
              <w:topLinePunct w:val="0"/>
              <w:autoSpaceDE w:val="0"/>
              <w:autoSpaceDN w:val="0"/>
              <w:bidi w:val="0"/>
              <w:adjustRightInd/>
              <w:snapToGrid/>
              <w:spacing w:line="360" w:lineRule="auto"/>
              <w:contextualSpacing/>
              <w:textAlignment w:val="auto"/>
              <w:rPr>
                <w:rFonts w:hint="default"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lang w:val="en-US" w:eastAsia="zh-CN"/>
              </w:rPr>
              <w:t>4、</w:t>
            </w:r>
            <w:r>
              <w:rPr>
                <w:rFonts w:hint="default" w:ascii="Times New Roman" w:hAnsi="Times New Roman" w:eastAsia="宋体" w:cs="Times New Roman"/>
                <w:b/>
                <w:bCs/>
                <w:kern w:val="0"/>
                <w:sz w:val="24"/>
                <w:szCs w:val="24"/>
              </w:rPr>
              <w:t xml:space="preserve">与《砂石行业绿色矿山建设规范》符合性分析 </w:t>
            </w:r>
          </w:p>
          <w:p w14:paraId="5AADE25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对照《砂石行业绿色矿山建设规范》</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DZ/T0316-2018号</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中规定，本项目与其相符性分析情况见</w:t>
            </w:r>
            <w:r>
              <w:rPr>
                <w:rFonts w:hint="default" w:ascii="Times New Roman" w:hAnsi="Times New Roman" w:eastAsia="宋体" w:cs="Times New Roman"/>
                <w:color w:val="000000"/>
                <w:sz w:val="24"/>
                <w:lang w:val="en-US" w:eastAsia="zh-CN"/>
              </w:rPr>
              <w:t>下</w:t>
            </w:r>
            <w:r>
              <w:rPr>
                <w:rFonts w:hint="default" w:ascii="Times New Roman" w:hAnsi="Times New Roman" w:eastAsia="宋体" w:cs="Times New Roman"/>
                <w:color w:val="000000"/>
                <w:sz w:val="24"/>
              </w:rPr>
              <w:t>表所示。</w:t>
            </w:r>
          </w:p>
          <w:p w14:paraId="11A5C781">
            <w:pPr>
              <w:pStyle w:val="5"/>
              <w:bidi w:val="0"/>
              <w:rPr>
                <w:rFonts w:hint="default"/>
              </w:rPr>
            </w:pPr>
            <w:r>
              <w:rPr>
                <w:rFonts w:hint="default"/>
              </w:rPr>
              <w:t>表</w:t>
            </w:r>
            <w:r>
              <w:rPr>
                <w:rFonts w:hint="default"/>
                <w:lang w:val="en-US" w:eastAsia="zh-CN"/>
              </w:rPr>
              <w:t>1-</w:t>
            </w:r>
            <w:r>
              <w:rPr>
                <w:rFonts w:hint="eastAsia"/>
                <w:lang w:val="en-US" w:eastAsia="zh-CN"/>
              </w:rPr>
              <w:t>7</w:t>
            </w:r>
            <w:r>
              <w:rPr>
                <w:rFonts w:hint="default"/>
              </w:rPr>
              <w:t xml:space="preserve">  项目与砂石行业绿色矿山建设规范相符性分析</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51"/>
              <w:gridCol w:w="2826"/>
              <w:gridCol w:w="1891"/>
              <w:gridCol w:w="1139"/>
            </w:tblGrid>
            <w:tr w14:paraId="278CF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5" w:type="pct"/>
                  <w:gridSpan w:val="2"/>
                  <w:tcBorders>
                    <w:tl2br w:val="nil"/>
                    <w:tr2bl w:val="nil"/>
                  </w:tcBorders>
                  <w:noWrap w:val="0"/>
                  <w:vAlign w:val="center"/>
                </w:tcPr>
                <w:p w14:paraId="7CE9D21F">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分项</w:t>
                  </w:r>
                </w:p>
              </w:tc>
              <w:tc>
                <w:tcPr>
                  <w:tcW w:w="1980" w:type="pct"/>
                  <w:tcBorders>
                    <w:tl2br w:val="nil"/>
                    <w:tr2bl w:val="nil"/>
                  </w:tcBorders>
                  <w:noWrap w:val="0"/>
                  <w:vAlign w:val="center"/>
                </w:tcPr>
                <w:p w14:paraId="24C2A521">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文件要求</w:t>
                  </w:r>
                </w:p>
              </w:tc>
              <w:tc>
                <w:tcPr>
                  <w:tcW w:w="1325" w:type="pct"/>
                  <w:tcBorders>
                    <w:tl2br w:val="nil"/>
                    <w:tr2bl w:val="nil"/>
                  </w:tcBorders>
                  <w:noWrap w:val="0"/>
                  <w:vAlign w:val="center"/>
                </w:tcPr>
                <w:p w14:paraId="2FBDC052">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本项目情况</w:t>
                  </w:r>
                </w:p>
              </w:tc>
              <w:tc>
                <w:tcPr>
                  <w:tcW w:w="798" w:type="pct"/>
                  <w:tcBorders>
                    <w:tl2br w:val="nil"/>
                    <w:tr2bl w:val="nil"/>
                  </w:tcBorders>
                  <w:noWrap w:val="0"/>
                  <w:vAlign w:val="center"/>
                </w:tcPr>
                <w:p w14:paraId="1251E729">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符合性</w:t>
                  </w:r>
                </w:p>
              </w:tc>
            </w:tr>
            <w:tr w14:paraId="77CAA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restart"/>
                  <w:tcBorders>
                    <w:tl2br w:val="nil"/>
                    <w:tr2bl w:val="nil"/>
                  </w:tcBorders>
                  <w:noWrap w:val="0"/>
                  <w:vAlign w:val="center"/>
                </w:tcPr>
                <w:p w14:paraId="79AF3D2A">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矿区环境</w:t>
                  </w:r>
                </w:p>
              </w:tc>
              <w:tc>
                <w:tcPr>
                  <w:tcW w:w="595" w:type="pct"/>
                  <w:tcBorders>
                    <w:tl2br w:val="nil"/>
                    <w:tr2bl w:val="nil"/>
                  </w:tcBorders>
                  <w:noWrap w:val="0"/>
                  <w:vAlign w:val="center"/>
                </w:tcPr>
                <w:p w14:paraId="4110E95B">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基本要求</w:t>
                  </w:r>
                </w:p>
              </w:tc>
              <w:tc>
                <w:tcPr>
                  <w:tcW w:w="1980" w:type="pct"/>
                  <w:tcBorders>
                    <w:tl2br w:val="nil"/>
                    <w:tr2bl w:val="nil"/>
                  </w:tcBorders>
                  <w:noWrap w:val="0"/>
                  <w:vAlign w:val="center"/>
                </w:tcPr>
                <w:p w14:paraId="08A07EC4">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1）矿区功能分区布局合理，应绿化、美化，整体环境整洁美观。</w:t>
                  </w:r>
                </w:p>
                <w:p w14:paraId="748AB6BB">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2）砂石原料开采、生产、运输、贮存等管理规范有序。</w:t>
                  </w:r>
                </w:p>
              </w:tc>
              <w:tc>
                <w:tcPr>
                  <w:tcW w:w="1325" w:type="pct"/>
                  <w:tcBorders>
                    <w:tl2br w:val="nil"/>
                    <w:tr2bl w:val="nil"/>
                  </w:tcBorders>
                  <w:noWrap w:val="0"/>
                  <w:vAlign w:val="center"/>
                </w:tcPr>
                <w:p w14:paraId="7D8B65E0">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项目矿区生活区、开采区等分区明确；开采、生产、运输和贮存等将制定相关管理制度进行规范。</w:t>
                  </w:r>
                </w:p>
              </w:tc>
              <w:tc>
                <w:tcPr>
                  <w:tcW w:w="798" w:type="pct"/>
                  <w:tcBorders>
                    <w:tl2br w:val="nil"/>
                    <w:tr2bl w:val="nil"/>
                  </w:tcBorders>
                  <w:noWrap w:val="0"/>
                  <w:vAlign w:val="center"/>
                </w:tcPr>
                <w:p w14:paraId="5DA6E7B6">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根据《开发利用方案》中布局符合要求。</w:t>
                  </w:r>
                </w:p>
              </w:tc>
            </w:tr>
            <w:tr w14:paraId="29512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38DF6D11">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71D8E2AE">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矿区容貌</w:t>
                  </w:r>
                </w:p>
              </w:tc>
              <w:tc>
                <w:tcPr>
                  <w:tcW w:w="1980" w:type="pct"/>
                  <w:tcBorders>
                    <w:tl2br w:val="nil"/>
                    <w:tr2bl w:val="nil"/>
                  </w:tcBorders>
                  <w:noWrap w:val="0"/>
                  <w:vAlign w:val="center"/>
                </w:tcPr>
                <w:p w14:paraId="58ABEE99">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生产生活、办公等功能区应有相应的管理机构和管理制度，运行有序、管理规范。2）矿区道路、供水、供电、卫生、环保等配套设施齐全。3）矿山生产过程中应采取喷雾、喷洒水、加装除尘设备等措施处置粉尘，工作场所粉尘浓度应符合GBZ2.1-2007的规定；应对输送系统、生产线、料库等采取有效措施进行抑尘；做好车辆保洁，车辆驶离矿区必须冲洗，严禁运料遗撒和带泥上路，保持矿区及周边环境卫生。4）应</w:t>
                  </w:r>
                  <w:r>
                    <w:rPr>
                      <w:rFonts w:hint="eastAsia" w:cs="Times New Roman"/>
                      <w:kern w:val="0"/>
                      <w:sz w:val="21"/>
                      <w:szCs w:val="21"/>
                      <w:lang w:val="en-US" w:eastAsia="zh-CN"/>
                    </w:rPr>
                    <w:t>采用</w:t>
                  </w:r>
                  <w:r>
                    <w:rPr>
                      <w:rFonts w:hint="default" w:ascii="Times New Roman" w:hAnsi="Times New Roman" w:eastAsia="宋体" w:cs="Times New Roman"/>
                      <w:kern w:val="0"/>
                      <w:sz w:val="21"/>
                      <w:szCs w:val="21"/>
                      <w:lang w:val="en-US" w:eastAsia="zh-CN"/>
                    </w:rPr>
                    <w:t>合理有效的技术措施对高噪音设备进行降噪处理，工业企业厂界噪声排放限值应符合GB12348的要求。5）矿山开采面、作业平台应干净整洁，规范美观。</w:t>
                  </w:r>
                </w:p>
              </w:tc>
              <w:tc>
                <w:tcPr>
                  <w:tcW w:w="1325" w:type="pct"/>
                  <w:tcBorders>
                    <w:tl2br w:val="nil"/>
                    <w:tr2bl w:val="nil"/>
                  </w:tcBorders>
                  <w:noWrap w:val="0"/>
                  <w:vAlign w:val="center"/>
                </w:tcPr>
                <w:p w14:paraId="775035C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项目矿区生活区、工业场地、开采区等分区明确，并将制定相关管理制度进行张贴；矿区道路、供水、供电以及环保设施齐全。2）矿山生产装卸过程中采取喷雾洒水；项目无需加工，随采随运输，不堆存；排土场采取</w:t>
                  </w:r>
                  <w:r>
                    <w:rPr>
                      <w:rFonts w:hint="eastAsia" w:cs="Times New Roman"/>
                      <w:kern w:val="0"/>
                      <w:sz w:val="21"/>
                      <w:szCs w:val="21"/>
                      <w:lang w:val="en-US" w:eastAsia="zh-CN"/>
                    </w:rPr>
                    <w:t>苫盖</w:t>
                  </w:r>
                  <w:r>
                    <w:rPr>
                      <w:rFonts w:hint="default" w:ascii="Times New Roman" w:hAnsi="Times New Roman" w:eastAsia="宋体" w:cs="Times New Roman"/>
                      <w:kern w:val="0"/>
                      <w:sz w:val="21"/>
                      <w:szCs w:val="21"/>
                      <w:lang w:val="en-US" w:eastAsia="zh-CN"/>
                    </w:rPr>
                    <w:t>措施；矿区设置有车辆清洗平台。3）生产设备采用低噪声设备，基础减震，厂界噪声满足要求。4）矿山开采平台设有导排水沟收集导排采区积水。</w:t>
                  </w:r>
                </w:p>
              </w:tc>
              <w:tc>
                <w:tcPr>
                  <w:tcW w:w="798" w:type="pct"/>
                  <w:tcBorders>
                    <w:tl2br w:val="nil"/>
                    <w:tr2bl w:val="nil"/>
                  </w:tcBorders>
                  <w:noWrap w:val="0"/>
                  <w:vAlign w:val="center"/>
                </w:tcPr>
                <w:p w14:paraId="5E9832EE">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在切实落实《开发利用方案》和本报告提出的环保措施的基础上，能符合规范要求。</w:t>
                  </w:r>
                </w:p>
              </w:tc>
            </w:tr>
            <w:tr w14:paraId="31EBE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77EC6CB9">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76F5FA6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矿区绿化</w:t>
                  </w:r>
                </w:p>
              </w:tc>
              <w:tc>
                <w:tcPr>
                  <w:tcW w:w="1980" w:type="pct"/>
                  <w:tcBorders>
                    <w:tl2br w:val="nil"/>
                    <w:tr2bl w:val="nil"/>
                  </w:tcBorders>
                  <w:noWrap w:val="0"/>
                  <w:vAlign w:val="center"/>
                </w:tcPr>
                <w:p w14:paraId="0ACC6706">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1）矿区绿化应与周边自然环境和景观相协调；</w:t>
                  </w:r>
                </w:p>
                <w:p w14:paraId="200C3BA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2）应对已闭库的矿山及排土场进行复垦及绿化。</w:t>
                  </w:r>
                </w:p>
              </w:tc>
              <w:tc>
                <w:tcPr>
                  <w:tcW w:w="1325" w:type="pct"/>
                  <w:tcBorders>
                    <w:tl2br w:val="nil"/>
                    <w:tr2bl w:val="nil"/>
                  </w:tcBorders>
                  <w:noWrap w:val="0"/>
                  <w:vAlign w:val="center"/>
                </w:tcPr>
                <w:p w14:paraId="364449E8">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矿区闭矿后采区、排土场等区域分别进行整治恢复，使其景观与周边景观相协调。</w:t>
                  </w:r>
                </w:p>
              </w:tc>
              <w:tc>
                <w:tcPr>
                  <w:tcW w:w="798" w:type="pct"/>
                  <w:tcBorders>
                    <w:tl2br w:val="nil"/>
                    <w:tr2bl w:val="nil"/>
                  </w:tcBorders>
                  <w:noWrap w:val="0"/>
                  <w:vAlign w:val="center"/>
                </w:tcPr>
                <w:p w14:paraId="435CE8BB">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highlight w:val="none"/>
                      <w:lang w:val="en-US" w:eastAsia="zh-CN"/>
                    </w:rPr>
                    <w:t>建设单位将编制恢复治理方案，</w:t>
                  </w:r>
                  <w:r>
                    <w:rPr>
                      <w:rFonts w:hint="default" w:ascii="Times New Roman" w:hAnsi="Times New Roman" w:eastAsia="宋体" w:cs="Times New Roman"/>
                      <w:kern w:val="0"/>
                      <w:sz w:val="21"/>
                      <w:szCs w:val="21"/>
                      <w:lang w:val="en-US" w:eastAsia="zh-CN"/>
                    </w:rPr>
                    <w:t>按要求恢复。</w:t>
                  </w:r>
                </w:p>
              </w:tc>
            </w:tr>
            <w:tr w14:paraId="0B18B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restart"/>
                  <w:tcBorders>
                    <w:tl2br w:val="nil"/>
                    <w:tr2bl w:val="nil"/>
                  </w:tcBorders>
                  <w:noWrap w:val="0"/>
                  <w:vAlign w:val="center"/>
                </w:tcPr>
                <w:p w14:paraId="0FBC708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资源开发方式</w:t>
                  </w:r>
                </w:p>
              </w:tc>
              <w:tc>
                <w:tcPr>
                  <w:tcW w:w="595" w:type="pct"/>
                  <w:tcBorders>
                    <w:tl2br w:val="nil"/>
                    <w:tr2bl w:val="nil"/>
                  </w:tcBorders>
                  <w:noWrap w:val="0"/>
                  <w:vAlign w:val="center"/>
                </w:tcPr>
                <w:p w14:paraId="3C4CFF62">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基本要求</w:t>
                  </w:r>
                </w:p>
              </w:tc>
              <w:tc>
                <w:tcPr>
                  <w:tcW w:w="1980" w:type="pct"/>
                  <w:tcBorders>
                    <w:tl2br w:val="nil"/>
                    <w:tr2bl w:val="nil"/>
                  </w:tcBorders>
                  <w:noWrap w:val="0"/>
                  <w:vAlign w:val="center"/>
                </w:tcPr>
                <w:p w14:paraId="624A3074">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1）采用先进的工艺技术与装备，做到绿色开采、绿色生产、绿色存贮、绿色运输。</w:t>
                  </w:r>
                </w:p>
                <w:p w14:paraId="591F72FA">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2）应贯彻“边开采、边恢复”的原则，及时治理恢复矿山地质环境，复垦矿山占用土地和损毁土地。治理率和复垦率应达到矿山地质环境保护与土地复垦方案的要求。</w:t>
                  </w:r>
                </w:p>
              </w:tc>
              <w:tc>
                <w:tcPr>
                  <w:tcW w:w="1325" w:type="pct"/>
                  <w:tcBorders>
                    <w:tl2br w:val="nil"/>
                    <w:tr2bl w:val="nil"/>
                  </w:tcBorders>
                  <w:noWrap w:val="0"/>
                  <w:vAlign w:val="center"/>
                </w:tcPr>
                <w:p w14:paraId="6DF0C8F7">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根据《开发利用方案》，项目采用先进的工艺技术与装备；项目开采将采取“边开采、边恢复”的制度。建设单位已编制土地复垦方案。</w:t>
                  </w:r>
                </w:p>
              </w:tc>
              <w:tc>
                <w:tcPr>
                  <w:tcW w:w="798" w:type="pct"/>
                  <w:tcBorders>
                    <w:tl2br w:val="nil"/>
                    <w:tr2bl w:val="nil"/>
                  </w:tcBorders>
                  <w:noWrap w:val="0"/>
                  <w:vAlign w:val="center"/>
                </w:tcPr>
                <w:p w14:paraId="02FB61A4">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符合规范要求</w:t>
                  </w:r>
                </w:p>
              </w:tc>
            </w:tr>
            <w:tr w14:paraId="750D3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0A4B6441">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32691C49">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绿色开采</w:t>
                  </w:r>
                </w:p>
              </w:tc>
              <w:tc>
                <w:tcPr>
                  <w:tcW w:w="1980" w:type="pct"/>
                  <w:tcBorders>
                    <w:tl2br w:val="nil"/>
                    <w:tr2bl w:val="nil"/>
                  </w:tcBorders>
                  <w:noWrap w:val="0"/>
                  <w:vAlign w:val="center"/>
                </w:tcPr>
                <w:p w14:paraId="04995E76">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1）采场准备应遵循采剥并举、剥离先行的原则，最大限度保留原生自然环境，减少对矿区植被破坏引起的视觉污染和环境扰动。</w:t>
                  </w:r>
                </w:p>
                <w:p w14:paraId="24A03705">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排土场应通过勘测选择地质条件稳定的场所，做好防护措施，保证堆放安全，避免占压可采矿量，并方便未来矿区进行环境恢复治理和土地复垦时取用。3）应执行矿山开采施工设计和资源开发利用方案，露天开采应实行自上而下台阶式开采，阶段坡面角、平台宽度及终了坡面角等主要参数应符合施工设计要求。开采台阶高度不宜大于15m。</w:t>
                  </w:r>
                </w:p>
              </w:tc>
              <w:tc>
                <w:tcPr>
                  <w:tcW w:w="1325" w:type="pct"/>
                  <w:tcBorders>
                    <w:tl2br w:val="nil"/>
                    <w:tr2bl w:val="nil"/>
                  </w:tcBorders>
                  <w:noWrap w:val="0"/>
                  <w:vAlign w:val="center"/>
                </w:tcPr>
                <w:p w14:paraId="509EB050">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1）项目采取先剥离保护表土在恢复治理时进行回用；2）根据《开发利用方案》，排土场处场址稳定，无占压可采矿量，且堆存的土石方回用于矿区恢复治理环节；</w:t>
                  </w:r>
                  <w:r>
                    <w:rPr>
                      <w:rFonts w:hint="default" w:ascii="Times New Roman" w:hAnsi="Times New Roman" w:eastAsia="宋体" w:cs="Times New Roman"/>
                      <w:color w:val="0000FF"/>
                      <w:kern w:val="0"/>
                      <w:sz w:val="21"/>
                      <w:szCs w:val="21"/>
                      <w:lang w:val="en-US" w:eastAsia="zh-CN"/>
                    </w:rPr>
                    <w:t>3）项目露天开采，</w:t>
                  </w:r>
                  <w:r>
                    <w:rPr>
                      <w:rFonts w:hint="eastAsia" w:ascii="Times New Roman" w:hAnsi="Times New Roman" w:eastAsia="宋体" w:cs="Times New Roman"/>
                      <w:color w:val="0000FF"/>
                      <w:kern w:val="0"/>
                      <w:sz w:val="21"/>
                      <w:szCs w:val="21"/>
                      <w:lang w:val="en-US" w:eastAsia="zh-CN"/>
                    </w:rPr>
                    <w:t>采用自上而下台阶式开采，确定本矿山工作台阶坡面角为</w:t>
                  </w:r>
                  <w:r>
                    <w:rPr>
                      <w:rFonts w:hint="default" w:ascii="Times New Roman" w:hAnsi="Times New Roman" w:eastAsia="宋体" w:cs="Times New Roman"/>
                      <w:color w:val="0000FF"/>
                      <w:kern w:val="0"/>
                      <w:sz w:val="21"/>
                      <w:szCs w:val="21"/>
                      <w:lang w:val="en-US" w:eastAsia="zh-CN"/>
                    </w:rPr>
                    <w:t>50°</w:t>
                  </w:r>
                  <w:r>
                    <w:rPr>
                      <w:rFonts w:hint="eastAsia" w:ascii="Times New Roman" w:hAnsi="Times New Roman" w:eastAsia="宋体" w:cs="Times New Roman"/>
                      <w:color w:val="0000FF"/>
                      <w:kern w:val="0"/>
                      <w:sz w:val="21"/>
                      <w:szCs w:val="21"/>
                      <w:lang w:val="en-US" w:eastAsia="zh-CN"/>
                    </w:rPr>
                    <w:t>，最终帮坡角为</w:t>
                  </w:r>
                  <w:r>
                    <w:rPr>
                      <w:rFonts w:hint="default" w:ascii="Times New Roman" w:hAnsi="Times New Roman" w:eastAsia="宋体" w:cs="Times New Roman"/>
                      <w:color w:val="0000FF"/>
                      <w:kern w:val="0"/>
                      <w:sz w:val="21"/>
                      <w:szCs w:val="21"/>
                      <w:lang w:val="en-US" w:eastAsia="zh-CN"/>
                    </w:rPr>
                    <w:t>40°</w:t>
                  </w:r>
                  <w:r>
                    <w:rPr>
                      <w:rFonts w:hint="eastAsia" w:ascii="Times New Roman" w:hAnsi="Times New Roman" w:eastAsia="宋体" w:cs="Times New Roman"/>
                      <w:color w:val="0000FF"/>
                      <w:kern w:val="0"/>
                      <w:sz w:val="21"/>
                      <w:szCs w:val="21"/>
                      <w:lang w:val="en-US" w:eastAsia="zh-CN"/>
                    </w:rPr>
                    <w:t>，最小工作平台宽度确定为</w:t>
                  </w:r>
                  <w:r>
                    <w:rPr>
                      <w:rFonts w:hint="default" w:ascii="Times New Roman" w:hAnsi="Times New Roman" w:eastAsia="宋体" w:cs="Times New Roman"/>
                      <w:color w:val="0000FF"/>
                      <w:kern w:val="0"/>
                      <w:sz w:val="21"/>
                      <w:szCs w:val="21"/>
                      <w:lang w:val="en-US" w:eastAsia="zh-CN"/>
                    </w:rPr>
                    <w:t>30m</w:t>
                  </w:r>
                  <w:r>
                    <w:rPr>
                      <w:rFonts w:hint="eastAsia" w:ascii="Times New Roman" w:hAnsi="Times New Roman" w:eastAsia="宋体" w:cs="Times New Roman"/>
                      <w:color w:val="0000FF"/>
                      <w:kern w:val="0"/>
                      <w:sz w:val="21"/>
                      <w:szCs w:val="21"/>
                      <w:lang w:val="en-US" w:eastAsia="zh-CN"/>
                    </w:rPr>
                    <w:t>。</w:t>
                  </w:r>
                  <w:r>
                    <w:rPr>
                      <w:rFonts w:hint="default" w:ascii="Times New Roman" w:hAnsi="Times New Roman" w:eastAsia="宋体" w:cs="Times New Roman"/>
                      <w:color w:val="0000FF"/>
                      <w:kern w:val="0"/>
                      <w:sz w:val="21"/>
                      <w:szCs w:val="21"/>
                      <w:lang w:val="en-US" w:eastAsia="zh-CN"/>
                    </w:rPr>
                    <w:t>台阶高度</w:t>
                  </w:r>
                  <w:r>
                    <w:rPr>
                      <w:rFonts w:hint="eastAsia" w:ascii="Times New Roman" w:hAnsi="Times New Roman" w:eastAsia="宋体" w:cs="Times New Roman"/>
                      <w:color w:val="0000FF"/>
                      <w:kern w:val="0"/>
                      <w:sz w:val="21"/>
                      <w:szCs w:val="21"/>
                      <w:lang w:val="en-US" w:eastAsia="zh-CN"/>
                    </w:rPr>
                    <w:t>为</w:t>
                  </w:r>
                  <w:r>
                    <w:rPr>
                      <w:rFonts w:hint="default" w:ascii="Times New Roman" w:hAnsi="Times New Roman" w:eastAsia="宋体" w:cs="Times New Roman"/>
                      <w:color w:val="0000FF"/>
                      <w:kern w:val="0"/>
                      <w:sz w:val="21"/>
                      <w:szCs w:val="21"/>
                      <w:lang w:val="en-US" w:eastAsia="zh-CN"/>
                    </w:rPr>
                    <w:t>15m。阶段坡面角、平台宽度及终了坡面角等主要参数符合施工设计要求</w:t>
                  </w:r>
                  <w:r>
                    <w:rPr>
                      <w:rFonts w:hint="eastAsia" w:cs="Times New Roman"/>
                      <w:color w:val="0000FF"/>
                      <w:kern w:val="0"/>
                      <w:sz w:val="21"/>
                      <w:szCs w:val="21"/>
                      <w:lang w:val="en-US" w:eastAsia="zh-CN"/>
                    </w:rPr>
                    <w:t>。</w:t>
                  </w:r>
                </w:p>
              </w:tc>
              <w:tc>
                <w:tcPr>
                  <w:tcW w:w="798" w:type="pct"/>
                  <w:tcBorders>
                    <w:tl2br w:val="nil"/>
                    <w:tr2bl w:val="nil"/>
                  </w:tcBorders>
                  <w:noWrap w:val="0"/>
                  <w:vAlign w:val="center"/>
                </w:tcPr>
                <w:p w14:paraId="39ADBBF5">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根据《开发利用方案》中开采技术参数，满足绿色开采要求。</w:t>
                  </w:r>
                </w:p>
              </w:tc>
            </w:tr>
            <w:tr w14:paraId="23E99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6FDF3FA1">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08F204E0">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绿色生产</w:t>
                  </w:r>
                </w:p>
              </w:tc>
              <w:tc>
                <w:tcPr>
                  <w:tcW w:w="1980" w:type="pct"/>
                  <w:tcBorders>
                    <w:tl2br w:val="nil"/>
                    <w:tr2bl w:val="nil"/>
                  </w:tcBorders>
                  <w:noWrap w:val="0"/>
                  <w:vAlign w:val="center"/>
                </w:tcPr>
                <w:p w14:paraId="283333E8">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根据原料品质分级利用砂石资源，做到优质优用，提高砂石产品的成品率。2）干法生产应配备高效除尘设备，并保持与生产设备同步运行。3）生产加工车间的产尘点要封闭，有利于形成负压除尘；皮带运输系统廊道应选用封闭方式，防止粉尘逸撒。4）应选用低噪声生产设备；对高噪强振的设备，应采取消声、减振措施；合理设计工艺布置，控制噪声传播。5）砂石骨料成品堆场（库）应地面硬化，分类或分仓储存。</w:t>
                  </w:r>
                </w:p>
              </w:tc>
              <w:tc>
                <w:tcPr>
                  <w:tcW w:w="1325" w:type="pct"/>
                  <w:tcBorders>
                    <w:tl2br w:val="nil"/>
                    <w:tr2bl w:val="nil"/>
                  </w:tcBorders>
                  <w:noWrap w:val="0"/>
                  <w:vAlign w:val="center"/>
                </w:tcPr>
                <w:p w14:paraId="2DD2625F">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1）项目开采后仅进行破碎，最终外售；2）项目开采时采取喷雾洒水等抑尘措施；3）项目设备添加减振垫降低噪声；4）成品堆场位于矿区南侧地势平缓处，地面进行硬化，并设置</w:t>
                  </w:r>
                  <w:r>
                    <w:rPr>
                      <w:rFonts w:hint="eastAsia" w:cs="Times New Roman"/>
                      <w:kern w:val="0"/>
                      <w:sz w:val="21"/>
                      <w:szCs w:val="21"/>
                      <w:lang w:val="en-US" w:eastAsia="zh-CN"/>
                    </w:rPr>
                    <w:t>封闭车间</w:t>
                  </w:r>
                  <w:r>
                    <w:rPr>
                      <w:rFonts w:hint="default" w:ascii="Times New Roman" w:hAnsi="Times New Roman" w:eastAsia="宋体" w:cs="Times New Roman"/>
                      <w:kern w:val="0"/>
                      <w:sz w:val="21"/>
                      <w:szCs w:val="21"/>
                      <w:lang w:val="en-US" w:eastAsia="zh-CN"/>
                    </w:rPr>
                    <w:t>分类堆存。</w:t>
                  </w:r>
                </w:p>
              </w:tc>
              <w:tc>
                <w:tcPr>
                  <w:tcW w:w="798" w:type="pct"/>
                  <w:tcBorders>
                    <w:tl2br w:val="nil"/>
                    <w:tr2bl w:val="nil"/>
                  </w:tcBorders>
                  <w:noWrap w:val="0"/>
                  <w:vAlign w:val="center"/>
                </w:tcPr>
                <w:p w14:paraId="58F73446">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根据《开发利用方案》中产品方案，以及切实落实本报告提出环保措施的基础上满足规范要求。</w:t>
                  </w:r>
                </w:p>
              </w:tc>
            </w:tr>
            <w:tr w14:paraId="432C1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21DD6A4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4399A4C5">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绿色运输</w:t>
                  </w:r>
                </w:p>
              </w:tc>
              <w:tc>
                <w:tcPr>
                  <w:tcW w:w="1980" w:type="pct"/>
                  <w:tcBorders>
                    <w:tl2br w:val="nil"/>
                    <w:tr2bl w:val="nil"/>
                  </w:tcBorders>
                  <w:noWrap w:val="0"/>
                  <w:vAlign w:val="center"/>
                </w:tcPr>
                <w:p w14:paraId="70D4DA8B">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1）矿石的运输方式应结合矿山地形地质条件、岩石特性、开采方案、运输强度等因素，按JC/T2299选择运输方案。</w:t>
                  </w:r>
                </w:p>
                <w:p w14:paraId="62B3AAA5">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2）砂石骨料产品短途汽车运输应符合相关环保、交通等法律规定。</w:t>
                  </w:r>
                </w:p>
              </w:tc>
              <w:tc>
                <w:tcPr>
                  <w:tcW w:w="1325" w:type="pct"/>
                  <w:tcBorders>
                    <w:tl2br w:val="nil"/>
                    <w:tr2bl w:val="nil"/>
                  </w:tcBorders>
                  <w:noWrap w:val="0"/>
                  <w:vAlign w:val="center"/>
                </w:tcPr>
                <w:p w14:paraId="7B22AD3C">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项目采用自卸车辆运输，运输车辆采用篷布覆盖。</w:t>
                  </w:r>
                </w:p>
              </w:tc>
              <w:tc>
                <w:tcPr>
                  <w:tcW w:w="798" w:type="pct"/>
                  <w:tcBorders>
                    <w:tl2br w:val="nil"/>
                    <w:tr2bl w:val="nil"/>
                  </w:tcBorders>
                  <w:noWrap w:val="0"/>
                  <w:vAlign w:val="center"/>
                </w:tcPr>
                <w:p w14:paraId="6FD39B9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符合要求</w:t>
                  </w:r>
                </w:p>
              </w:tc>
            </w:tr>
            <w:tr w14:paraId="75E83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41E9D6A0">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0A395B2F">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矿山生态环境保护</w:t>
                  </w:r>
                </w:p>
              </w:tc>
              <w:tc>
                <w:tcPr>
                  <w:tcW w:w="1980" w:type="pct"/>
                  <w:tcBorders>
                    <w:tl2br w:val="nil"/>
                    <w:tr2bl w:val="nil"/>
                  </w:tcBorders>
                  <w:noWrap w:val="0"/>
                  <w:vAlign w:val="center"/>
                </w:tcPr>
                <w:p w14:paraId="73D8FB4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露天采场、矿区专用道路、矿山工业场地、排土场、矿山扰动区域等生态环境保护与恢复治理，应符合H651的相关规定。2）恢复治理后的各类场地应实现安全稳定，对人和动植物不造成威胁；对周边环境不产生污染与周边自然环境和景观相协调；恢复土地基本功能，因地制宜实现土地可持续利用；区域整体生态功能得到保护和恢复。3）应建立环境监测机制，对粉尘、废水、噪音等污染源和污染物实行动态监测；开</w:t>
                  </w:r>
                  <w:r>
                    <w:rPr>
                      <w:rFonts w:hint="eastAsia" w:cs="Times New Roman"/>
                      <w:kern w:val="0"/>
                      <w:sz w:val="21"/>
                      <w:szCs w:val="21"/>
                      <w:lang w:val="en-US" w:eastAsia="zh-CN"/>
                    </w:rPr>
                    <w:t>采</w:t>
                  </w:r>
                  <w:r>
                    <w:rPr>
                      <w:rFonts w:hint="default" w:ascii="Times New Roman" w:hAnsi="Times New Roman" w:eastAsia="宋体" w:cs="Times New Roman"/>
                      <w:kern w:val="0"/>
                      <w:sz w:val="21"/>
                      <w:szCs w:val="21"/>
                      <w:lang w:val="en-US" w:eastAsia="zh-CN"/>
                    </w:rPr>
                    <w:t>中和开</w:t>
                  </w:r>
                  <w:r>
                    <w:rPr>
                      <w:rFonts w:hint="eastAsia" w:cs="Times New Roman"/>
                      <w:kern w:val="0"/>
                      <w:sz w:val="21"/>
                      <w:szCs w:val="21"/>
                      <w:lang w:val="en-US" w:eastAsia="zh-CN"/>
                    </w:rPr>
                    <w:t>采</w:t>
                  </w:r>
                  <w:r>
                    <w:rPr>
                      <w:rFonts w:hint="default" w:ascii="Times New Roman" w:hAnsi="Times New Roman" w:eastAsia="宋体" w:cs="Times New Roman"/>
                      <w:kern w:val="0"/>
                      <w:sz w:val="21"/>
                      <w:szCs w:val="21"/>
                      <w:lang w:val="en-US" w:eastAsia="zh-CN"/>
                    </w:rPr>
                    <w:t>后应建立、健全长效监测机制，对土地复垦区稳定性与环境质量进行动态监测。4）矿山开采结束</w:t>
                  </w:r>
                  <w:r>
                    <w:rPr>
                      <w:rFonts w:hint="eastAsia" w:cs="Times New Roman"/>
                      <w:kern w:val="0"/>
                      <w:sz w:val="21"/>
                      <w:szCs w:val="21"/>
                      <w:lang w:val="en-US" w:eastAsia="zh-CN"/>
                    </w:rPr>
                    <w:t>闭矿</w:t>
                  </w:r>
                  <w:r>
                    <w:rPr>
                      <w:rFonts w:hint="default" w:ascii="Times New Roman" w:hAnsi="Times New Roman" w:eastAsia="宋体" w:cs="Times New Roman"/>
                      <w:kern w:val="0"/>
                      <w:sz w:val="21"/>
                      <w:szCs w:val="21"/>
                      <w:lang w:val="en-US" w:eastAsia="zh-CN"/>
                    </w:rPr>
                    <w:t>时，应完成矿区的地质灾害治理，土地复垦率、终了边坡治理率达到100%。</w:t>
                  </w:r>
                </w:p>
              </w:tc>
              <w:tc>
                <w:tcPr>
                  <w:tcW w:w="1325" w:type="pct"/>
                  <w:tcBorders>
                    <w:tl2br w:val="nil"/>
                    <w:tr2bl w:val="nil"/>
                  </w:tcBorders>
                  <w:noWrap w:val="0"/>
                  <w:vAlign w:val="center"/>
                </w:tcPr>
                <w:p w14:paraId="2867FECC">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1）项目将编制矿山环境保护与恢复治理方案，待矿山开采结束</w:t>
                  </w:r>
                  <w:r>
                    <w:rPr>
                      <w:rFonts w:hint="eastAsia" w:cs="Times New Roman"/>
                      <w:kern w:val="0"/>
                      <w:sz w:val="21"/>
                      <w:szCs w:val="21"/>
                      <w:lang w:val="en-US" w:eastAsia="zh-CN"/>
                    </w:rPr>
                    <w:t>闭矿</w:t>
                  </w:r>
                  <w:r>
                    <w:rPr>
                      <w:rFonts w:hint="default" w:ascii="Times New Roman" w:hAnsi="Times New Roman" w:eastAsia="宋体" w:cs="Times New Roman"/>
                      <w:kern w:val="0"/>
                      <w:sz w:val="21"/>
                      <w:szCs w:val="21"/>
                      <w:lang w:val="en-US" w:eastAsia="zh-CN"/>
                    </w:rPr>
                    <w:t>时，按照《治理方案》要求完成矿区的地质灾害治理，土地复垦率、终了边坡治理率达到100%。</w:t>
                  </w:r>
                </w:p>
                <w:p w14:paraId="777A126F">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kern w:val="0"/>
                      <w:sz w:val="21"/>
                      <w:szCs w:val="21"/>
                      <w:lang w:val="en-US" w:eastAsia="zh-CN"/>
                    </w:rPr>
                    <w:t>2）本报告中已要求进行环境质量监测。</w:t>
                  </w:r>
                </w:p>
              </w:tc>
              <w:tc>
                <w:tcPr>
                  <w:tcW w:w="798" w:type="pct"/>
                  <w:tcBorders>
                    <w:tl2br w:val="nil"/>
                    <w:tr2bl w:val="nil"/>
                  </w:tcBorders>
                  <w:noWrap w:val="0"/>
                  <w:vAlign w:val="center"/>
                </w:tcPr>
                <w:p w14:paraId="6023B35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项目在切实落实《治理方案》和本报告提出的措施的基础上能满足规范要求。</w:t>
                  </w:r>
                </w:p>
              </w:tc>
            </w:tr>
            <w:tr w14:paraId="358F1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restart"/>
                  <w:tcBorders>
                    <w:tl2br w:val="nil"/>
                    <w:tr2bl w:val="nil"/>
                  </w:tcBorders>
                  <w:noWrap w:val="0"/>
                  <w:vAlign w:val="center"/>
                </w:tcPr>
                <w:p w14:paraId="1564CFD3">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资源综合利用</w:t>
                  </w:r>
                </w:p>
              </w:tc>
              <w:tc>
                <w:tcPr>
                  <w:tcW w:w="595" w:type="pct"/>
                  <w:tcBorders>
                    <w:tl2br w:val="nil"/>
                    <w:tr2bl w:val="nil"/>
                  </w:tcBorders>
                  <w:noWrap w:val="0"/>
                  <w:vAlign w:val="center"/>
                </w:tcPr>
                <w:p w14:paraId="01EC8030">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基本要求</w:t>
                  </w:r>
                </w:p>
              </w:tc>
              <w:tc>
                <w:tcPr>
                  <w:tcW w:w="1980" w:type="pct"/>
                  <w:tcBorders>
                    <w:tl2br w:val="nil"/>
                    <w:tr2bl w:val="nil"/>
                  </w:tcBorders>
                  <w:noWrap w:val="0"/>
                  <w:vAlign w:val="center"/>
                </w:tcPr>
                <w:p w14:paraId="055F618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1）应按照减量化、资源化、再利用的原则，对砂石生产工艺合理优化设计，提高成品率；充分利用石粉、泥粉等加工副产品，提高资源综合利用水平。</w:t>
                  </w:r>
                </w:p>
                <w:p w14:paraId="78C9DF06">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2）生产工艺技术和设备应符合国土资源部《矿产资源节约与综合利用鼓励、限制和淘汰技术目录》要求。剥离表土后，砂石矿山资源综合利用率不低于95%。</w:t>
                  </w:r>
                </w:p>
              </w:tc>
              <w:tc>
                <w:tcPr>
                  <w:tcW w:w="1325" w:type="pct"/>
                  <w:tcBorders>
                    <w:tl2br w:val="nil"/>
                    <w:tr2bl w:val="nil"/>
                  </w:tcBorders>
                  <w:noWrap w:val="0"/>
                  <w:vAlign w:val="center"/>
                </w:tcPr>
                <w:p w14:paraId="36CFD9AF">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1）项目开采的砂石破碎后分类外售，</w:t>
                  </w:r>
                  <w:r>
                    <w:rPr>
                      <w:rFonts w:hint="eastAsia" w:cs="Times New Roman"/>
                      <w:color w:val="0000FF"/>
                      <w:kern w:val="0"/>
                      <w:sz w:val="21"/>
                      <w:szCs w:val="21"/>
                      <w:lang w:val="en-US" w:eastAsia="zh-CN"/>
                    </w:rPr>
                    <w:t>废石堆置排土场用于后期恢复，</w:t>
                  </w:r>
                  <w:r>
                    <w:rPr>
                      <w:rFonts w:hint="default" w:ascii="Times New Roman" w:hAnsi="Times New Roman" w:eastAsia="宋体" w:cs="Times New Roman"/>
                      <w:color w:val="0000FF"/>
                      <w:kern w:val="0"/>
                      <w:sz w:val="21"/>
                      <w:szCs w:val="21"/>
                      <w:lang w:val="en-US" w:eastAsia="zh-CN"/>
                    </w:rPr>
                    <w:t>砂石矿山资源综合利用率不低于95%；</w:t>
                  </w:r>
                </w:p>
                <w:p w14:paraId="3131AA70">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2）项目采用的生产工艺技术和生产设备符合《矿产资源节约与综合利用鼓励、限制和淘汰技术目录》要求，不属于淘汰类。</w:t>
                  </w:r>
                </w:p>
              </w:tc>
              <w:tc>
                <w:tcPr>
                  <w:tcW w:w="798" w:type="pct"/>
                  <w:tcBorders>
                    <w:tl2br w:val="nil"/>
                    <w:tr2bl w:val="nil"/>
                  </w:tcBorders>
                  <w:noWrap w:val="0"/>
                  <w:vAlign w:val="center"/>
                </w:tcPr>
                <w:p w14:paraId="429F6C41">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符合要求</w:t>
                  </w:r>
                </w:p>
              </w:tc>
            </w:tr>
            <w:tr w14:paraId="1B9B8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299" w:type="pct"/>
                  <w:vMerge w:val="continue"/>
                  <w:tcBorders>
                    <w:tl2br w:val="nil"/>
                    <w:tr2bl w:val="nil"/>
                  </w:tcBorders>
                  <w:noWrap w:val="0"/>
                  <w:vAlign w:val="center"/>
                </w:tcPr>
                <w:p w14:paraId="1FC7D454">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3B41B20F">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表土和渣土利用</w:t>
                  </w:r>
                </w:p>
              </w:tc>
              <w:tc>
                <w:tcPr>
                  <w:tcW w:w="1980" w:type="pct"/>
                  <w:tcBorders>
                    <w:tl2br w:val="nil"/>
                    <w:tr2bl w:val="nil"/>
                  </w:tcBorders>
                  <w:noWrap w:val="0"/>
                  <w:vAlign w:val="center"/>
                </w:tcPr>
                <w:p w14:paraId="3EE566F7">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对排土场堆放的剥离表土或筛分后的渣土，用于环境治理、土地复垦和复绿等。</w:t>
                  </w:r>
                </w:p>
              </w:tc>
              <w:tc>
                <w:tcPr>
                  <w:tcW w:w="1325" w:type="pct"/>
                  <w:tcBorders>
                    <w:tl2br w:val="nil"/>
                    <w:tr2bl w:val="nil"/>
                  </w:tcBorders>
                  <w:noWrap w:val="0"/>
                  <w:vAlign w:val="center"/>
                </w:tcPr>
                <w:p w14:paraId="088EDF5E">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项目表土剥离后保存，后期作为土地复垦和复绿进行回用。</w:t>
                  </w:r>
                </w:p>
              </w:tc>
              <w:tc>
                <w:tcPr>
                  <w:tcW w:w="798" w:type="pct"/>
                  <w:tcBorders>
                    <w:tl2br w:val="nil"/>
                    <w:tr2bl w:val="nil"/>
                  </w:tcBorders>
                  <w:noWrap w:val="0"/>
                  <w:vAlign w:val="center"/>
                </w:tcPr>
                <w:p w14:paraId="11D337D1">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符合要求</w:t>
                  </w:r>
                </w:p>
              </w:tc>
            </w:tr>
            <w:tr w14:paraId="7DCD6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1F9144EB">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35CB1493">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废水利用</w:t>
                  </w:r>
                </w:p>
              </w:tc>
              <w:tc>
                <w:tcPr>
                  <w:tcW w:w="1980" w:type="pct"/>
                  <w:tcBorders>
                    <w:tl2br w:val="nil"/>
                    <w:tr2bl w:val="nil"/>
                  </w:tcBorders>
                  <w:noWrap w:val="0"/>
                  <w:vAlign w:val="center"/>
                </w:tcPr>
                <w:p w14:paraId="0DBE082B">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应配备完善的生产废水处理系统，经固液分离处理后的清水应100%循环利用。</w:t>
                  </w:r>
                </w:p>
              </w:tc>
              <w:tc>
                <w:tcPr>
                  <w:tcW w:w="1325" w:type="pct"/>
                  <w:tcBorders>
                    <w:tl2br w:val="nil"/>
                    <w:tr2bl w:val="nil"/>
                  </w:tcBorders>
                  <w:noWrap w:val="0"/>
                  <w:vAlign w:val="center"/>
                </w:tcPr>
                <w:p w14:paraId="5BDFFE0A">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机械和车辆清洗废水经沉淀池处理后清水100%循环回用。</w:t>
                  </w:r>
                </w:p>
              </w:tc>
              <w:tc>
                <w:tcPr>
                  <w:tcW w:w="798" w:type="pct"/>
                  <w:tcBorders>
                    <w:tl2br w:val="nil"/>
                    <w:tr2bl w:val="nil"/>
                  </w:tcBorders>
                  <w:noWrap w:val="0"/>
                  <w:vAlign w:val="center"/>
                </w:tcPr>
                <w:p w14:paraId="2298F070">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符合要求</w:t>
                  </w:r>
                </w:p>
              </w:tc>
            </w:tr>
            <w:tr w14:paraId="74FBB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restart"/>
                  <w:tcBorders>
                    <w:tl2br w:val="nil"/>
                    <w:tr2bl w:val="nil"/>
                  </w:tcBorders>
                  <w:noWrap w:val="0"/>
                  <w:vAlign w:val="center"/>
                </w:tcPr>
                <w:p w14:paraId="1F5070A6">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节能减排</w:t>
                  </w:r>
                </w:p>
              </w:tc>
              <w:tc>
                <w:tcPr>
                  <w:tcW w:w="595" w:type="pct"/>
                  <w:tcBorders>
                    <w:tl2br w:val="nil"/>
                    <w:tr2bl w:val="nil"/>
                  </w:tcBorders>
                  <w:noWrap w:val="0"/>
                  <w:vAlign w:val="center"/>
                </w:tcPr>
                <w:p w14:paraId="5E5D759F">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基本要求</w:t>
                  </w:r>
                </w:p>
              </w:tc>
              <w:tc>
                <w:tcPr>
                  <w:tcW w:w="1980" w:type="pct"/>
                  <w:tcBorders>
                    <w:tl2br w:val="nil"/>
                    <w:tr2bl w:val="nil"/>
                  </w:tcBorders>
                  <w:noWrap w:val="0"/>
                  <w:vAlign w:val="center"/>
                </w:tcPr>
                <w:p w14:paraId="1107BE50">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取节能减排措施，降低砂石生产能耗和设备损耗，使三废和噪音排放达到环保标准。</w:t>
                  </w:r>
                </w:p>
              </w:tc>
              <w:tc>
                <w:tcPr>
                  <w:tcW w:w="1325" w:type="pct"/>
                  <w:tcBorders>
                    <w:tl2br w:val="nil"/>
                    <w:tr2bl w:val="nil"/>
                  </w:tcBorders>
                  <w:noWrap w:val="0"/>
                  <w:vAlign w:val="center"/>
                </w:tcPr>
                <w:p w14:paraId="01D51CB4">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在切实落实《开发利用方案》和本环评报告提出的环保措施的基础上，经分析项目“三废一噪”能达到环保标准。</w:t>
                  </w:r>
                </w:p>
              </w:tc>
              <w:tc>
                <w:tcPr>
                  <w:tcW w:w="798" w:type="pct"/>
                  <w:tcBorders>
                    <w:tl2br w:val="nil"/>
                    <w:tr2bl w:val="nil"/>
                  </w:tcBorders>
                  <w:noWrap w:val="0"/>
                  <w:vAlign w:val="center"/>
                </w:tcPr>
                <w:p w14:paraId="5AD7B77A">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符合要求</w:t>
                  </w:r>
                </w:p>
              </w:tc>
            </w:tr>
            <w:tr w14:paraId="1A38E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027EEA68">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711BE533">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节能降耗</w:t>
                  </w:r>
                </w:p>
              </w:tc>
              <w:tc>
                <w:tcPr>
                  <w:tcW w:w="1980" w:type="pct"/>
                  <w:tcBorders>
                    <w:tl2br w:val="nil"/>
                    <w:tr2bl w:val="nil"/>
                  </w:tcBorders>
                  <w:noWrap w:val="0"/>
                  <w:vAlign w:val="center"/>
                </w:tcPr>
                <w:p w14:paraId="595811B0">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1）应依据国家发改委《国家重点节能技术推广目录》、</w:t>
                  </w:r>
                  <w:r>
                    <w:rPr>
                      <w:rFonts w:hint="eastAsia" w:cs="Times New Roman"/>
                      <w:kern w:val="0"/>
                      <w:sz w:val="21"/>
                      <w:szCs w:val="21"/>
                      <w:lang w:val="en-US" w:eastAsia="zh-CN"/>
                    </w:rPr>
                    <w:t>工业与信息化部</w:t>
                  </w:r>
                  <w:r>
                    <w:rPr>
                      <w:rFonts w:hint="default" w:ascii="Times New Roman" w:hAnsi="Times New Roman" w:eastAsia="宋体" w:cs="Times New Roman"/>
                      <w:kern w:val="0"/>
                      <w:sz w:val="21"/>
                      <w:szCs w:val="21"/>
                      <w:lang w:val="en-US" w:eastAsia="zh-CN"/>
                    </w:rPr>
                    <w:t>《高耗能落后机电设备（产品）淘汰目录》和《节能机电设备（产品）推荐目录》等指导文件，选用高效、智能、绿色、环保的技术和设备，降低单位电耗。</w:t>
                  </w:r>
                </w:p>
                <w:p w14:paraId="0C65148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2）应推广使用矿山凿岩穿孔新工艺，降低能耗，提高安全。</w:t>
                  </w:r>
                </w:p>
              </w:tc>
              <w:tc>
                <w:tcPr>
                  <w:tcW w:w="1325" w:type="pct"/>
                  <w:tcBorders>
                    <w:tl2br w:val="nil"/>
                    <w:tr2bl w:val="nil"/>
                  </w:tcBorders>
                  <w:noWrap w:val="0"/>
                  <w:vAlign w:val="center"/>
                </w:tcPr>
                <w:p w14:paraId="43C4DC81">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1）项目采用的生产工艺和设备不属于淘汰类。</w:t>
                  </w:r>
                </w:p>
                <w:p w14:paraId="56BDA20E">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kern w:val="0"/>
                      <w:sz w:val="21"/>
                      <w:szCs w:val="21"/>
                      <w:lang w:val="en-US" w:eastAsia="zh-CN" w:bidi="ar-SA"/>
                    </w:rPr>
                    <w:t>2）本项目使用矿山凿岩穿孔新工艺，能耗降低，提高安全。</w:t>
                  </w:r>
                </w:p>
              </w:tc>
              <w:tc>
                <w:tcPr>
                  <w:tcW w:w="798" w:type="pct"/>
                  <w:tcBorders>
                    <w:tl2br w:val="nil"/>
                    <w:tr2bl w:val="nil"/>
                  </w:tcBorders>
                  <w:noWrap w:val="0"/>
                  <w:vAlign w:val="center"/>
                </w:tcPr>
                <w:p w14:paraId="72730C06">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符合</w:t>
                  </w:r>
                </w:p>
                <w:p w14:paraId="2F668806">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要求</w:t>
                  </w:r>
                </w:p>
              </w:tc>
            </w:tr>
            <w:tr w14:paraId="2CAB0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2FDB07A4">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5AFCD36C">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粉尘排放</w:t>
                  </w:r>
                </w:p>
              </w:tc>
              <w:tc>
                <w:tcPr>
                  <w:tcW w:w="1980" w:type="pct"/>
                  <w:tcBorders>
                    <w:tl2br w:val="nil"/>
                    <w:tr2bl w:val="nil"/>
                  </w:tcBorders>
                  <w:noWrap w:val="0"/>
                  <w:vAlign w:val="center"/>
                </w:tcPr>
                <w:p w14:paraId="57A861F8">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1）矿石开采和砂石生产过程中，粉尘排放应符合GB16297的规定；对于环保要求严格的地区，要采取更有效的措施，控制粉尘排放，并达到地方环保要求的标准。</w:t>
                  </w:r>
                </w:p>
                <w:p w14:paraId="435848FE">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2）矿区应配置洒水车、高压喷雾车等设备，对无组织排放粉尘进行抑尘、降尘；宜采用水雾增湿。</w:t>
                  </w:r>
                </w:p>
                <w:p w14:paraId="532DE66E">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3）应在挖掘机、装载机等产生粉尘部位安装</w:t>
                  </w:r>
                  <w:r>
                    <w:rPr>
                      <w:rFonts w:hint="eastAsia" w:cs="Times New Roman"/>
                      <w:kern w:val="0"/>
                      <w:sz w:val="21"/>
                      <w:szCs w:val="21"/>
                      <w:lang w:val="en-US" w:eastAsia="zh-CN"/>
                    </w:rPr>
                    <w:t>高效</w:t>
                  </w:r>
                  <w:r>
                    <w:rPr>
                      <w:rFonts w:hint="default" w:ascii="Times New Roman" w:hAnsi="Times New Roman" w:eastAsia="宋体" w:cs="Times New Roman"/>
                      <w:kern w:val="0"/>
                      <w:sz w:val="21"/>
                      <w:szCs w:val="21"/>
                      <w:lang w:val="en-US" w:eastAsia="zh-CN"/>
                    </w:rPr>
                    <w:t>除尘装置。</w:t>
                  </w:r>
                </w:p>
              </w:tc>
              <w:tc>
                <w:tcPr>
                  <w:tcW w:w="1325" w:type="pct"/>
                  <w:tcBorders>
                    <w:tl2br w:val="nil"/>
                    <w:tr2bl w:val="nil"/>
                  </w:tcBorders>
                  <w:noWrap w:val="0"/>
                  <w:vAlign w:val="center"/>
                </w:tcPr>
                <w:p w14:paraId="035E4FA7">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矿区配置洒水车，喷雾机等，本报告提出在装卸点等处采用喷雾洒水装置，在切实落实《开发利用方案》和本环评报告提出的环保措施的基础上，经分析项目粉尘能达到环保标准。</w:t>
                  </w:r>
                </w:p>
              </w:tc>
              <w:tc>
                <w:tcPr>
                  <w:tcW w:w="798" w:type="pct"/>
                  <w:tcBorders>
                    <w:tl2br w:val="nil"/>
                    <w:tr2bl w:val="nil"/>
                  </w:tcBorders>
                  <w:noWrap w:val="0"/>
                  <w:vAlign w:val="center"/>
                </w:tcPr>
                <w:p w14:paraId="379E9C07">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在切实落实《开发利用方案》和本环评报告提出措施的基础上满足规范要求。</w:t>
                  </w:r>
                </w:p>
              </w:tc>
            </w:tr>
            <w:tr w14:paraId="37B1F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5BB9B3A2">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46824531">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污水排放</w:t>
                  </w:r>
                </w:p>
              </w:tc>
              <w:tc>
                <w:tcPr>
                  <w:tcW w:w="1980" w:type="pct"/>
                  <w:tcBorders>
                    <w:tl2br w:val="nil"/>
                    <w:tr2bl w:val="nil"/>
                  </w:tcBorders>
                  <w:noWrap w:val="0"/>
                  <w:vAlign w:val="center"/>
                </w:tcPr>
                <w:p w14:paraId="12CA68A9">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1）矿区及厂区应建有雨水截（排）水沟和集水池，地表径流经沉淀处理后达标排放。</w:t>
                  </w:r>
                </w:p>
                <w:p w14:paraId="6A4D8257">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2）矿区及厂区的生产排水、雨水和生活污水，应实现雨污分流、清污分流。</w:t>
                  </w:r>
                </w:p>
              </w:tc>
              <w:tc>
                <w:tcPr>
                  <w:tcW w:w="1325" w:type="pct"/>
                  <w:tcBorders>
                    <w:tl2br w:val="nil"/>
                    <w:tr2bl w:val="nil"/>
                  </w:tcBorders>
                  <w:noWrap w:val="0"/>
                  <w:vAlign w:val="center"/>
                </w:tcPr>
                <w:p w14:paraId="425124A2">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矿区北侧建设有排水沟、道路沿边建设有导排水沟；生活污水采用环保厕所收集作肥料使用，项目能实现雨污分流、清污分流。</w:t>
                  </w:r>
                </w:p>
              </w:tc>
              <w:tc>
                <w:tcPr>
                  <w:tcW w:w="798" w:type="pct"/>
                  <w:tcBorders>
                    <w:tl2br w:val="nil"/>
                    <w:tr2bl w:val="nil"/>
                  </w:tcBorders>
                  <w:noWrap w:val="0"/>
                  <w:vAlign w:val="center"/>
                </w:tcPr>
                <w:p w14:paraId="465B42BE">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在切实落实《开发利用方案》和本环评报告提出措施的基础上满足规范要求。</w:t>
                  </w:r>
                </w:p>
              </w:tc>
            </w:tr>
            <w:tr w14:paraId="7993E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l2br w:val="nil"/>
                    <w:tr2bl w:val="nil"/>
                  </w:tcBorders>
                  <w:noWrap w:val="0"/>
                  <w:vAlign w:val="center"/>
                </w:tcPr>
                <w:p w14:paraId="7F7C056D">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595" w:type="pct"/>
                  <w:tcBorders>
                    <w:tl2br w:val="nil"/>
                    <w:tr2bl w:val="nil"/>
                  </w:tcBorders>
                  <w:noWrap w:val="0"/>
                  <w:vAlign w:val="center"/>
                </w:tcPr>
                <w:p w14:paraId="7083DBF5">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废油等废物的处理</w:t>
                  </w:r>
                </w:p>
              </w:tc>
              <w:tc>
                <w:tcPr>
                  <w:tcW w:w="1980" w:type="pct"/>
                  <w:tcBorders>
                    <w:tl2br w:val="nil"/>
                    <w:tr2bl w:val="nil"/>
                  </w:tcBorders>
                  <w:noWrap w:val="0"/>
                  <w:vAlign w:val="center"/>
                </w:tcPr>
                <w:p w14:paraId="0D01B315">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废油等废物的处理生产中产生的废油要集中收集，设置独立的场所存放，并交有资质单位处理。</w:t>
                  </w:r>
                </w:p>
              </w:tc>
              <w:tc>
                <w:tcPr>
                  <w:tcW w:w="1325" w:type="pct"/>
                  <w:tcBorders>
                    <w:tl2br w:val="nil"/>
                    <w:tr2bl w:val="nil"/>
                  </w:tcBorders>
                  <w:noWrap w:val="0"/>
                  <w:vAlign w:val="center"/>
                </w:tcPr>
                <w:p w14:paraId="7975EF32">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设置一危险废物贮存库，并做防渗处理，防渗系数应小于1×10</w:t>
                  </w:r>
                  <w:r>
                    <w:rPr>
                      <w:rFonts w:hint="default" w:ascii="Times New Roman" w:hAnsi="Times New Roman" w:eastAsia="宋体" w:cs="Times New Roman"/>
                      <w:kern w:val="0"/>
                      <w:sz w:val="21"/>
                      <w:szCs w:val="21"/>
                      <w:vertAlign w:val="superscript"/>
                      <w:lang w:val="en-US" w:eastAsia="zh-CN"/>
                    </w:rPr>
                    <w:t>-10</w:t>
                  </w:r>
                  <w:r>
                    <w:rPr>
                      <w:rFonts w:hint="default" w:ascii="Times New Roman" w:hAnsi="Times New Roman" w:eastAsia="宋体" w:cs="Times New Roman"/>
                      <w:kern w:val="0"/>
                      <w:sz w:val="21"/>
                      <w:szCs w:val="21"/>
                      <w:lang w:val="en-US" w:eastAsia="zh-CN"/>
                    </w:rPr>
                    <w:t>m/s，检修过程产生的废机油用专用收集容器收集暂存，并委托有资质的单位回收处置。</w:t>
                  </w:r>
                </w:p>
              </w:tc>
              <w:tc>
                <w:tcPr>
                  <w:tcW w:w="798" w:type="pct"/>
                  <w:tcBorders>
                    <w:tl2br w:val="nil"/>
                    <w:tr2bl w:val="nil"/>
                  </w:tcBorders>
                  <w:noWrap w:val="0"/>
                  <w:vAlign w:val="center"/>
                </w:tcPr>
                <w:p w14:paraId="4F7B8B35">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在切实落实本环评报告提出措施的基础上满足规范要求。</w:t>
                  </w:r>
                </w:p>
              </w:tc>
            </w:tr>
            <w:tr w14:paraId="3F9BB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5" w:type="pct"/>
                  <w:gridSpan w:val="2"/>
                  <w:tcBorders>
                    <w:tl2br w:val="nil"/>
                    <w:tr2bl w:val="nil"/>
                  </w:tcBorders>
                  <w:noWrap w:val="0"/>
                  <w:vAlign w:val="center"/>
                </w:tcPr>
                <w:p w14:paraId="2CEAD6D6">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企业管理和企业形象</w:t>
                  </w:r>
                </w:p>
              </w:tc>
              <w:tc>
                <w:tcPr>
                  <w:tcW w:w="1980" w:type="pct"/>
                  <w:tcBorders>
                    <w:tl2br w:val="nil"/>
                    <w:tr2bl w:val="nil"/>
                  </w:tcBorders>
                  <w:noWrap w:val="0"/>
                  <w:vAlign w:val="center"/>
                </w:tcPr>
                <w:p w14:paraId="26CCB7E0">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1）应建立责任、管理和文化等方面的企业管理制度。</w:t>
                  </w:r>
                </w:p>
                <w:p w14:paraId="6B192634">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2）应建立质量管理体系、环境管理体系和职业健康安全管理体系，确保对质量、环境、职业健康与安全的管理。</w:t>
                  </w:r>
                </w:p>
              </w:tc>
              <w:tc>
                <w:tcPr>
                  <w:tcW w:w="1325" w:type="pct"/>
                  <w:tcBorders>
                    <w:tl2br w:val="nil"/>
                    <w:tr2bl w:val="nil"/>
                  </w:tcBorders>
                  <w:noWrap w:val="0"/>
                  <w:vAlign w:val="center"/>
                </w:tcPr>
                <w:p w14:paraId="3440727F">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1）建设单位将建立责任、管理和文化等方面的企业管理制度。</w:t>
                  </w:r>
                </w:p>
                <w:p w14:paraId="4CB860EE">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2）建立质量管理体系、环境管理体系和职业健康安全管理体系，确保对质量、环境、职业健康与安全的管理。项目进行环保竣工验收前完善环境管理制度等，确保对环境质量等的严格管理。</w:t>
                  </w:r>
                </w:p>
              </w:tc>
              <w:tc>
                <w:tcPr>
                  <w:tcW w:w="798" w:type="pct"/>
                  <w:tcBorders>
                    <w:tl2br w:val="nil"/>
                    <w:tr2bl w:val="nil"/>
                  </w:tcBorders>
                  <w:noWrap w:val="0"/>
                  <w:vAlign w:val="center"/>
                </w:tcPr>
                <w:p w14:paraId="0ADC8C1C">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相应完善以满足规范要求。</w:t>
                  </w:r>
                </w:p>
              </w:tc>
            </w:tr>
          </w:tbl>
          <w:p w14:paraId="03AECB9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项目在切实落实</w:t>
            </w:r>
            <w:r>
              <w:rPr>
                <w:rFonts w:hint="default" w:ascii="Times New Roman" w:hAnsi="Times New Roman" w:eastAsia="宋体" w:cs="Times New Roman"/>
                <w:color w:val="000000"/>
                <w:sz w:val="24"/>
                <w:lang w:eastAsia="zh-CN"/>
              </w:rPr>
              <w:t>《开发利用方案》</w:t>
            </w:r>
            <w:r>
              <w:rPr>
                <w:rFonts w:hint="default" w:ascii="Times New Roman" w:hAnsi="Times New Roman" w:eastAsia="宋体" w:cs="Times New Roman"/>
                <w:color w:val="000000"/>
                <w:sz w:val="24"/>
              </w:rPr>
              <w:t>和本环评报告提出措施的基础上能满足《砂石行业绿色矿山建设规范》</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DZ/T0316-2018号</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中规定，且项目为了规范</w:t>
            </w:r>
            <w:r>
              <w:rPr>
                <w:rFonts w:hint="default" w:ascii="Times New Roman" w:hAnsi="Times New Roman" w:eastAsia="宋体" w:cs="Times New Roman"/>
                <w:color w:val="000000"/>
                <w:sz w:val="24"/>
                <w:lang w:val="en-US" w:eastAsia="zh-CN"/>
              </w:rPr>
              <w:t>化</w:t>
            </w:r>
            <w:r>
              <w:rPr>
                <w:rFonts w:hint="default" w:ascii="Times New Roman" w:hAnsi="Times New Roman" w:eastAsia="宋体" w:cs="Times New Roman"/>
                <w:color w:val="000000"/>
                <w:sz w:val="24"/>
              </w:rPr>
              <w:t>管理，要求逐步完善环保管理制度等。</w:t>
            </w:r>
          </w:p>
          <w:p w14:paraId="781C45E1">
            <w:pPr>
              <w:pStyle w:val="22"/>
              <w:keepNext w:val="0"/>
              <w:keepLines w:val="0"/>
              <w:pageBreakBefore w:val="0"/>
              <w:widowControl w:val="0"/>
              <w:kinsoku/>
              <w:wordWrap/>
              <w:overflowPunct/>
              <w:topLinePunct w:val="0"/>
              <w:bidi w:val="0"/>
              <w:ind w:left="0" w:leftChars="0" w:firstLine="482" w:firstLineChars="200"/>
              <w:textAlignment w:val="auto"/>
              <w:rPr>
                <w:rFonts w:hint="default" w:ascii="Times New Roman" w:hAnsi="Times New Roman" w:eastAsia="宋体" w:cs="Times New Roman"/>
                <w:b/>
                <w:bCs/>
                <w:color w:val="FF0000"/>
                <w:kern w:val="0"/>
                <w:sz w:val="24"/>
                <w:szCs w:val="24"/>
                <w:highlight w:val="none"/>
                <w:lang w:val="en-US" w:eastAsia="zh-CN" w:bidi="ar-SA"/>
              </w:rPr>
            </w:pPr>
            <w:r>
              <w:rPr>
                <w:rFonts w:hint="eastAsia" w:ascii="Times New Roman" w:hAnsi="Times New Roman" w:eastAsia="宋体" w:cs="Times New Roman"/>
                <w:b/>
                <w:bCs/>
                <w:color w:val="FF0000"/>
                <w:kern w:val="0"/>
                <w:sz w:val="24"/>
                <w:szCs w:val="24"/>
                <w:highlight w:val="none"/>
                <w:lang w:val="en-US" w:eastAsia="zh-CN" w:bidi="ar-SA"/>
              </w:rPr>
              <w:t>5、</w:t>
            </w:r>
            <w:r>
              <w:rPr>
                <w:rFonts w:hint="default" w:ascii="Times New Roman" w:hAnsi="Times New Roman" w:eastAsia="宋体" w:cs="Times New Roman"/>
                <w:b/>
                <w:bCs/>
                <w:color w:val="FF0000"/>
                <w:kern w:val="0"/>
                <w:sz w:val="24"/>
                <w:szCs w:val="24"/>
                <w:highlight w:val="none"/>
                <w:lang w:val="en-US" w:eastAsia="zh-CN" w:bidi="ar-SA"/>
              </w:rPr>
              <w:t>与青海省人民政府办公厅《加强露天矿山监督管理若干措施》（青政办〔2022〕23号）的符合性分析</w:t>
            </w:r>
          </w:p>
          <w:p w14:paraId="0DD76B16">
            <w:pPr>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根据</w:t>
            </w:r>
            <w:r>
              <w:rPr>
                <w:rFonts w:hint="default" w:ascii="Times New Roman" w:hAnsi="Times New Roman" w:eastAsia="宋体" w:cs="Times New Roman"/>
                <w:color w:val="FF0000"/>
              </w:rPr>
              <w:t>2022年3月31日</w:t>
            </w:r>
            <w:r>
              <w:rPr>
                <w:rFonts w:hint="default" w:ascii="Times New Roman" w:hAnsi="Times New Roman" w:eastAsia="宋体" w:cs="Times New Roman"/>
                <w:color w:val="FF0000"/>
                <w:lang w:eastAsia="zh-CN"/>
              </w:rPr>
              <w:t>，</w:t>
            </w:r>
            <w:r>
              <w:rPr>
                <w:rFonts w:hint="default" w:ascii="Times New Roman" w:hAnsi="Times New Roman" w:eastAsia="宋体" w:cs="Times New Roman"/>
                <w:color w:val="FF0000"/>
              </w:rPr>
              <w:t>青海省人民政府办公厅</w:t>
            </w:r>
            <w:r>
              <w:rPr>
                <w:rFonts w:hint="default" w:ascii="Times New Roman" w:hAnsi="Times New Roman" w:eastAsia="宋体" w:cs="Times New Roman"/>
                <w:color w:val="FF0000"/>
                <w:lang w:val="en-US" w:eastAsia="zh-CN"/>
              </w:rPr>
              <w:t>发布的</w:t>
            </w:r>
            <w:r>
              <w:rPr>
                <w:rFonts w:hint="default" w:ascii="Times New Roman" w:hAnsi="Times New Roman" w:eastAsia="宋体" w:cs="Times New Roman"/>
                <w:color w:val="FF0000"/>
              </w:rPr>
              <w:t>《关于加强露天矿山监督管理若干措施》</w:t>
            </w:r>
            <w:r>
              <w:rPr>
                <w:rFonts w:hint="default" w:ascii="Times New Roman" w:hAnsi="Times New Roman" w:eastAsia="宋体" w:cs="Times New Roman"/>
                <w:color w:val="FF0000"/>
                <w:lang w:eastAsia="zh-CN"/>
              </w:rPr>
              <w:t>，</w:t>
            </w:r>
            <w:r>
              <w:rPr>
                <w:rFonts w:hint="default" w:ascii="Times New Roman" w:hAnsi="Times New Roman" w:eastAsia="宋体" w:cs="Times New Roman"/>
                <w:color w:val="FF0000"/>
              </w:rPr>
              <w:t>为切实加强露天矿山开采常态化监督管理，落实生态环境保护和修复治理责任，巩固生态环境保护成果，结合我省实际，制定如下措施</w:t>
            </w:r>
            <w:r>
              <w:rPr>
                <w:rFonts w:hint="default" w:ascii="Times New Roman" w:hAnsi="Times New Roman" w:eastAsia="宋体" w:cs="Times New Roman"/>
                <w:color w:val="FF0000"/>
                <w:lang w:eastAsia="zh-CN"/>
              </w:rPr>
              <w:t>，</w:t>
            </w:r>
            <w:r>
              <w:rPr>
                <w:rFonts w:hint="default" w:ascii="Times New Roman" w:hAnsi="Times New Roman" w:eastAsia="宋体" w:cs="Times New Roman"/>
                <w:color w:val="FF0000"/>
                <w:lang w:val="en-US" w:eastAsia="zh-CN"/>
              </w:rPr>
              <w:t>且本项目与《若干措施》的符合性分析见下表所示</w:t>
            </w:r>
            <w:r>
              <w:rPr>
                <w:rFonts w:hint="eastAsia" w:ascii="Times New Roman" w:hAnsi="Times New Roman" w:eastAsia="宋体" w:cs="Times New Roman"/>
                <w:color w:val="FF0000"/>
                <w:lang w:val="en-US" w:eastAsia="zh-CN"/>
              </w:rPr>
              <w:t>。</w:t>
            </w:r>
          </w:p>
          <w:p w14:paraId="6B98EE0F">
            <w:pPr>
              <w:pStyle w:val="5"/>
              <w:bidi w:val="0"/>
              <w:rPr>
                <w:rFonts w:hint="default"/>
                <w:lang w:val="en-US" w:eastAsia="zh-CN"/>
              </w:rPr>
            </w:pPr>
            <w:r>
              <w:rPr>
                <w:rFonts w:hint="eastAsia"/>
                <w:lang w:val="en-US" w:eastAsia="zh-CN"/>
              </w:rPr>
              <w:t xml:space="preserve">表1-8  </w:t>
            </w:r>
            <w:r>
              <w:rPr>
                <w:rFonts w:hint="default"/>
                <w:lang w:val="en-US" w:eastAsia="zh-CN"/>
              </w:rPr>
              <w:t>与《加强露天矿山监督管理若干措施》（青政办〔2022〕23号）</w:t>
            </w:r>
          </w:p>
          <w:p w14:paraId="5CE4FEB8">
            <w:pPr>
              <w:pStyle w:val="5"/>
              <w:bidi w:val="0"/>
              <w:rPr>
                <w:rFonts w:hint="default"/>
                <w:lang w:val="en-US" w:eastAsia="zh-CN"/>
              </w:rPr>
            </w:pPr>
            <w:r>
              <w:rPr>
                <w:rFonts w:hint="eastAsia"/>
                <w:lang w:val="en-US" w:eastAsia="zh-CN"/>
              </w:rPr>
              <w:t>的</w:t>
            </w:r>
            <w:r>
              <w:rPr>
                <w:rFonts w:hint="default"/>
                <w:lang w:val="en-US" w:eastAsia="zh-CN"/>
              </w:rPr>
              <w:t>符合性分析</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3482"/>
              <w:gridCol w:w="1966"/>
              <w:gridCol w:w="939"/>
            </w:tblGrid>
            <w:tr w14:paraId="0FDF2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pct"/>
                  <w:tcBorders>
                    <w:tl2br w:val="nil"/>
                    <w:tr2bl w:val="nil"/>
                  </w:tcBorders>
                  <w:vAlign w:val="center"/>
                </w:tcPr>
                <w:p w14:paraId="262899C8">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分项</w:t>
                  </w:r>
                </w:p>
              </w:tc>
              <w:tc>
                <w:tcPr>
                  <w:tcW w:w="2572" w:type="pct"/>
                  <w:tcBorders>
                    <w:tl2br w:val="nil"/>
                    <w:tr2bl w:val="nil"/>
                  </w:tcBorders>
                  <w:vAlign w:val="center"/>
                </w:tcPr>
                <w:p w14:paraId="6E4315EE">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具体措施要求</w:t>
                  </w:r>
                </w:p>
              </w:tc>
              <w:tc>
                <w:tcPr>
                  <w:tcW w:w="980" w:type="pct"/>
                  <w:tcBorders>
                    <w:tl2br w:val="nil"/>
                    <w:tr2bl w:val="nil"/>
                  </w:tcBorders>
                  <w:vAlign w:val="center"/>
                </w:tcPr>
                <w:p w14:paraId="3C352F87">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本项目情况</w:t>
                  </w:r>
                </w:p>
              </w:tc>
              <w:tc>
                <w:tcPr>
                  <w:tcW w:w="790" w:type="pct"/>
                  <w:tcBorders>
                    <w:tl2br w:val="nil"/>
                    <w:tr2bl w:val="nil"/>
                  </w:tcBorders>
                  <w:vAlign w:val="center"/>
                </w:tcPr>
                <w:p w14:paraId="65815F36">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符合性</w:t>
                  </w:r>
                </w:p>
              </w:tc>
            </w:tr>
            <w:tr w14:paraId="0A730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pct"/>
                  <w:tcBorders>
                    <w:tl2br w:val="nil"/>
                    <w:tr2bl w:val="nil"/>
                  </w:tcBorders>
                  <w:vAlign w:val="center"/>
                </w:tcPr>
                <w:p w14:paraId="52307805">
                  <w:pPr>
                    <w:keepNext w:val="0"/>
                    <w:keepLines w:val="0"/>
                    <w:pageBreakBefore w:val="0"/>
                    <w:widowControl w:val="0"/>
                    <w:kinsoku/>
                    <w:wordWrap/>
                    <w:overflowPunct/>
                    <w:topLinePunct w:val="0"/>
                    <w:autoSpaceDE w:val="0"/>
                    <w:autoSpaceDN w:val="0"/>
                    <w:bidi w:val="0"/>
                    <w:adjustRightInd/>
                    <w:snapToGrid/>
                    <w:spacing w:line="288"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坚持生态保护优先，合理规划开采布局</w:t>
                  </w:r>
                </w:p>
              </w:tc>
              <w:tc>
                <w:tcPr>
                  <w:tcW w:w="2572" w:type="pct"/>
                  <w:tcBorders>
                    <w:tl2br w:val="nil"/>
                    <w:tr2bl w:val="nil"/>
                  </w:tcBorders>
                  <w:vAlign w:val="center"/>
                </w:tcPr>
                <w:p w14:paraId="691AC0FA">
                  <w:pPr>
                    <w:keepNext w:val="0"/>
                    <w:keepLines w:val="0"/>
                    <w:pageBreakBefore w:val="0"/>
                    <w:widowControl/>
                    <w:suppressLineNumbers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color w:val="FF0000"/>
                      <w:kern w:val="0"/>
                      <w:sz w:val="21"/>
                      <w:szCs w:val="21"/>
                      <w:lang w:val="en-US" w:eastAsia="zh-CN"/>
                    </w:rPr>
                  </w:pPr>
                  <w:r>
                    <w:rPr>
                      <w:rFonts w:hint="eastAsia" w:cs="Times New Roman"/>
                      <w:color w:val="FF0000"/>
                      <w:kern w:val="0"/>
                      <w:sz w:val="21"/>
                      <w:szCs w:val="21"/>
                      <w:lang w:val="en-US" w:eastAsia="zh-CN"/>
                    </w:rPr>
                    <w:t>（</w:t>
                  </w:r>
                  <w:r>
                    <w:rPr>
                      <w:rFonts w:hint="default" w:ascii="Times New Roman" w:hAnsi="Times New Roman" w:eastAsia="宋体" w:cs="Times New Roman"/>
                      <w:color w:val="FF0000"/>
                      <w:kern w:val="0"/>
                      <w:sz w:val="21"/>
                      <w:szCs w:val="21"/>
                      <w:lang w:val="en-US" w:eastAsia="zh-CN"/>
                    </w:rPr>
                    <w:t>一</w:t>
                  </w:r>
                  <w:r>
                    <w:rPr>
                      <w:rFonts w:hint="eastAsia" w:cs="Times New Roman"/>
                      <w:color w:val="FF0000"/>
                      <w:kern w:val="0"/>
                      <w:sz w:val="21"/>
                      <w:szCs w:val="21"/>
                      <w:lang w:val="en-US" w:eastAsia="zh-CN"/>
                    </w:rPr>
                    <w:t>）</w:t>
                  </w:r>
                  <w:r>
                    <w:rPr>
                      <w:rFonts w:hint="default" w:ascii="Times New Roman" w:hAnsi="Times New Roman" w:eastAsia="宋体" w:cs="Times New Roman"/>
                      <w:color w:val="FF0000"/>
                      <w:kern w:val="0"/>
                      <w:sz w:val="21"/>
                      <w:szCs w:val="21"/>
                      <w:lang w:val="en-US" w:eastAsia="zh-CN"/>
                    </w:rPr>
                    <w:t>加强重点区域和矿种管控。全省生态保护红线范围、各级各类自然保护地等重要生态敏感区和国家级、省级、县级公路、铁路两侧的直观可视范围内，以及其他易发生崩塌、滑坡和泥石流区域禁止新设立露天矿山。西宁市、海东市中心城区及六州下辖各县</w:t>
                  </w:r>
                  <w:r>
                    <w:rPr>
                      <w:rFonts w:hint="eastAsia" w:cs="Times New Roman"/>
                      <w:color w:val="FF0000"/>
                      <w:kern w:val="0"/>
                      <w:sz w:val="21"/>
                      <w:szCs w:val="21"/>
                      <w:lang w:val="en-US" w:eastAsia="zh-CN"/>
                    </w:rPr>
                    <w:t>（</w:t>
                  </w:r>
                  <w:r>
                    <w:rPr>
                      <w:rFonts w:hint="default" w:ascii="Times New Roman" w:hAnsi="Times New Roman" w:eastAsia="宋体" w:cs="Times New Roman"/>
                      <w:color w:val="FF0000"/>
                      <w:kern w:val="0"/>
                      <w:sz w:val="21"/>
                      <w:szCs w:val="21"/>
                      <w:lang w:val="en-US" w:eastAsia="zh-CN"/>
                    </w:rPr>
                    <w:t>市、区、行委</w:t>
                  </w:r>
                  <w:r>
                    <w:rPr>
                      <w:rFonts w:hint="eastAsia" w:cs="Times New Roman"/>
                      <w:color w:val="FF0000"/>
                      <w:kern w:val="0"/>
                      <w:sz w:val="21"/>
                      <w:szCs w:val="21"/>
                      <w:lang w:val="en-US" w:eastAsia="zh-CN"/>
                    </w:rPr>
                    <w:t>）</w:t>
                  </w:r>
                  <w:r>
                    <w:rPr>
                      <w:rFonts w:hint="default" w:ascii="Times New Roman" w:hAnsi="Times New Roman" w:eastAsia="宋体" w:cs="Times New Roman"/>
                      <w:color w:val="FF0000"/>
                      <w:kern w:val="0"/>
                      <w:sz w:val="21"/>
                      <w:szCs w:val="21"/>
                      <w:lang w:val="en-US" w:eastAsia="zh-CN"/>
                    </w:rPr>
                    <w:t>中心城区等重要区域，原则上禁止新设立露天矿山，其他区域限制新设立露天矿山。重点加强砂石、冶金建材化工类非金属矿产以及煤炭露天矿山的监督管理。</w:t>
                  </w:r>
                </w:p>
                <w:p w14:paraId="757E2055">
                  <w:pPr>
                    <w:keepNext w:val="0"/>
                    <w:keepLines w:val="0"/>
                    <w:pageBreakBefore w:val="0"/>
                    <w:widowControl/>
                    <w:suppressLineNumbers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color w:val="FF0000"/>
                      <w:kern w:val="0"/>
                      <w:sz w:val="21"/>
                      <w:szCs w:val="21"/>
                      <w:lang w:val="en-US" w:eastAsia="zh-CN"/>
                    </w:rPr>
                  </w:pPr>
                  <w:r>
                    <w:rPr>
                      <w:rFonts w:hint="eastAsia" w:cs="Times New Roman"/>
                      <w:color w:val="FF0000"/>
                      <w:kern w:val="0"/>
                      <w:sz w:val="21"/>
                      <w:szCs w:val="21"/>
                      <w:lang w:val="en-US" w:eastAsia="zh-CN"/>
                    </w:rPr>
                    <w:t>（</w:t>
                  </w:r>
                  <w:r>
                    <w:rPr>
                      <w:rFonts w:hint="default" w:ascii="Times New Roman" w:hAnsi="Times New Roman" w:eastAsia="宋体" w:cs="Times New Roman"/>
                      <w:color w:val="FF0000"/>
                      <w:kern w:val="0"/>
                      <w:sz w:val="21"/>
                      <w:szCs w:val="21"/>
                      <w:lang w:val="en-US" w:eastAsia="zh-CN"/>
                    </w:rPr>
                    <w:t>二</w:t>
                  </w:r>
                  <w:r>
                    <w:rPr>
                      <w:rFonts w:hint="eastAsia" w:cs="Times New Roman"/>
                      <w:color w:val="FF0000"/>
                      <w:kern w:val="0"/>
                      <w:sz w:val="21"/>
                      <w:szCs w:val="21"/>
                      <w:lang w:val="en-US" w:eastAsia="zh-CN"/>
                    </w:rPr>
                    <w:t>）</w:t>
                  </w:r>
                  <w:r>
                    <w:rPr>
                      <w:rFonts w:hint="default" w:ascii="Times New Roman" w:hAnsi="Times New Roman" w:eastAsia="宋体" w:cs="Times New Roman"/>
                      <w:color w:val="FF0000"/>
                      <w:kern w:val="0"/>
                      <w:sz w:val="21"/>
                      <w:szCs w:val="21"/>
                      <w:lang w:val="en-US" w:eastAsia="zh-CN"/>
                    </w:rPr>
                    <w:t>强化露天矿山规划布局。充分发挥规划的引领和管控作用，新设立露天矿山要符合国土空间规划“三条控制线”管控要求。各地区在编制矿产资源总体规划中，要综合考虑资源环境承载能力、矿产资源分布和市场需求，兼顾当前和长远发展，做好露天矿山的规划布局，严格控制露天矿山总数。通过不断优化矿产资源开采布局，实现规模化、集约化开采和可持续健康发展。</w:t>
                  </w:r>
                </w:p>
                <w:p w14:paraId="79350BC2">
                  <w:pPr>
                    <w:keepNext w:val="0"/>
                    <w:keepLines w:val="0"/>
                    <w:pageBreakBefore w:val="0"/>
                    <w:widowControl/>
                    <w:suppressLineNumbers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color w:val="FF0000"/>
                      <w:kern w:val="0"/>
                      <w:sz w:val="21"/>
                      <w:szCs w:val="21"/>
                      <w:lang w:val="en-US" w:eastAsia="zh-CN"/>
                    </w:rPr>
                  </w:pPr>
                  <w:r>
                    <w:rPr>
                      <w:rFonts w:hint="eastAsia" w:cs="Times New Roman"/>
                      <w:color w:val="FF0000"/>
                      <w:kern w:val="0"/>
                      <w:sz w:val="21"/>
                      <w:szCs w:val="21"/>
                      <w:lang w:val="en-US" w:eastAsia="zh-CN"/>
                    </w:rPr>
                    <w:t>（</w:t>
                  </w:r>
                  <w:r>
                    <w:rPr>
                      <w:rFonts w:hint="default" w:ascii="Times New Roman" w:hAnsi="Times New Roman" w:eastAsia="宋体" w:cs="Times New Roman"/>
                      <w:color w:val="FF0000"/>
                      <w:kern w:val="0"/>
                      <w:sz w:val="21"/>
                      <w:szCs w:val="21"/>
                      <w:lang w:val="en-US" w:eastAsia="zh-CN"/>
                    </w:rPr>
                    <w:t>三</w:t>
                  </w:r>
                  <w:r>
                    <w:rPr>
                      <w:rFonts w:hint="eastAsia" w:cs="Times New Roman"/>
                      <w:color w:val="FF0000"/>
                      <w:kern w:val="0"/>
                      <w:sz w:val="21"/>
                      <w:szCs w:val="21"/>
                      <w:lang w:val="en-US" w:eastAsia="zh-CN"/>
                    </w:rPr>
                    <w:t>）</w:t>
                  </w:r>
                  <w:r>
                    <w:rPr>
                      <w:rFonts w:hint="default" w:ascii="Times New Roman" w:hAnsi="Times New Roman" w:eastAsia="宋体" w:cs="Times New Roman"/>
                      <w:color w:val="FF0000"/>
                      <w:kern w:val="0"/>
                      <w:sz w:val="21"/>
                      <w:szCs w:val="21"/>
                      <w:lang w:val="en-US" w:eastAsia="zh-CN"/>
                    </w:rPr>
                    <w:t>严格执行最低开采规模。按照国家矿产资源规划和产业布局发展要求，严格执行露天矿山最低开采规模准入。其中，砂石开采规模原则上不低于10万立方米/年</w:t>
                  </w:r>
                  <w:r>
                    <w:rPr>
                      <w:rFonts w:hint="eastAsia" w:cs="Times New Roman"/>
                      <w:color w:val="FF0000"/>
                      <w:kern w:val="0"/>
                      <w:sz w:val="21"/>
                      <w:szCs w:val="21"/>
                      <w:lang w:val="en-US" w:eastAsia="zh-CN"/>
                    </w:rPr>
                    <w:t>（</w:t>
                  </w:r>
                  <w:r>
                    <w:rPr>
                      <w:rFonts w:hint="default" w:ascii="Times New Roman" w:hAnsi="Times New Roman" w:eastAsia="宋体" w:cs="Times New Roman"/>
                      <w:color w:val="FF0000"/>
                      <w:kern w:val="0"/>
                      <w:sz w:val="21"/>
                      <w:szCs w:val="21"/>
                      <w:lang w:val="en-US" w:eastAsia="zh-CN"/>
                    </w:rPr>
                    <w:t>青南地区除外</w:t>
                  </w:r>
                  <w:r>
                    <w:rPr>
                      <w:rFonts w:hint="eastAsia" w:cs="Times New Roman"/>
                      <w:color w:val="FF0000"/>
                      <w:kern w:val="0"/>
                      <w:sz w:val="21"/>
                      <w:szCs w:val="21"/>
                      <w:lang w:val="en-US" w:eastAsia="zh-CN"/>
                    </w:rPr>
                    <w:t>）</w:t>
                  </w:r>
                  <w:r>
                    <w:rPr>
                      <w:rFonts w:hint="default" w:ascii="Times New Roman" w:hAnsi="Times New Roman" w:eastAsia="宋体" w:cs="Times New Roman"/>
                      <w:color w:val="FF0000"/>
                      <w:kern w:val="0"/>
                      <w:sz w:val="21"/>
                      <w:szCs w:val="21"/>
                      <w:lang w:val="en-US" w:eastAsia="zh-CN"/>
                    </w:rPr>
                    <w:t>。</w:t>
                  </w:r>
                </w:p>
              </w:tc>
              <w:tc>
                <w:tcPr>
                  <w:tcW w:w="980" w:type="pct"/>
                  <w:tcBorders>
                    <w:tl2br w:val="nil"/>
                    <w:tr2bl w:val="nil"/>
                  </w:tcBorders>
                  <w:vAlign w:val="center"/>
                </w:tcPr>
                <w:p w14:paraId="57130D5E">
                  <w:pPr>
                    <w:keepNext w:val="0"/>
                    <w:keepLines w:val="0"/>
                    <w:pageBreakBefore w:val="0"/>
                    <w:widowControl/>
                    <w:suppressLineNumbers w:val="0"/>
                    <w:kinsoku/>
                    <w:wordWrap/>
                    <w:overflowPunct/>
                    <w:topLinePunct w:val="0"/>
                    <w:bidi w:val="0"/>
                    <w:adjustRightInd/>
                    <w:snapToGrid/>
                    <w:spacing w:line="288" w:lineRule="auto"/>
                    <w:ind w:firstLine="0" w:firstLineChars="0"/>
                    <w:jc w:val="left"/>
                    <w:textAlignment w:val="auto"/>
                    <w:rPr>
                      <w:rFonts w:hint="default" w:ascii="Times New Roman" w:hAnsi="Times New Roman" w:eastAsia="宋体" w:cs="Times New Roman"/>
                      <w:color w:val="FF0000"/>
                      <w:kern w:val="0"/>
                      <w:sz w:val="21"/>
                      <w:szCs w:val="21"/>
                      <w:lang w:val="en-US" w:eastAsia="zh-CN"/>
                    </w:rPr>
                  </w:pPr>
                  <w:r>
                    <w:rPr>
                      <w:rFonts w:hint="eastAsia" w:ascii="Times New Roman" w:hAnsi="Times New Roman" w:eastAsia="宋体" w:cs="Times New Roman"/>
                      <w:color w:val="FF0000"/>
                      <w:kern w:val="0"/>
                      <w:sz w:val="21"/>
                      <w:szCs w:val="21"/>
                      <w:lang w:val="en-US" w:eastAsia="zh-CN"/>
                    </w:rPr>
                    <w:t>1、</w:t>
                  </w:r>
                  <w:r>
                    <w:rPr>
                      <w:rFonts w:hint="default" w:ascii="Times New Roman" w:hAnsi="Times New Roman" w:eastAsia="宋体" w:cs="Times New Roman"/>
                      <w:color w:val="FF0000"/>
                      <w:kern w:val="0"/>
                      <w:sz w:val="21"/>
                      <w:szCs w:val="21"/>
                      <w:lang w:val="en-US" w:eastAsia="zh-CN"/>
                    </w:rPr>
                    <w:t>项目</w:t>
                  </w:r>
                  <w:r>
                    <w:rPr>
                      <w:rFonts w:hint="eastAsia" w:ascii="Times New Roman" w:hAnsi="Times New Roman" w:eastAsia="宋体" w:cs="Times New Roman"/>
                      <w:color w:val="FF0000"/>
                      <w:kern w:val="0"/>
                      <w:sz w:val="21"/>
                      <w:szCs w:val="21"/>
                      <w:lang w:val="en-US" w:eastAsia="zh-CN"/>
                    </w:rPr>
                    <w:t>不涉及生态保护红线，</w:t>
                  </w:r>
                  <w:r>
                    <w:rPr>
                      <w:rFonts w:hint="default" w:ascii="Times New Roman" w:hAnsi="Times New Roman" w:eastAsia="宋体" w:cs="Times New Roman"/>
                      <w:color w:val="FF0000"/>
                      <w:kern w:val="0"/>
                      <w:sz w:val="21"/>
                      <w:szCs w:val="21"/>
                      <w:lang w:val="en-US" w:eastAsia="zh-CN"/>
                    </w:rPr>
                    <w:t>不在铁路、国道、省道</w:t>
                  </w:r>
                  <w:r>
                    <w:rPr>
                      <w:rFonts w:hint="eastAsia" w:cs="Times New Roman"/>
                      <w:color w:val="FF0000"/>
                      <w:kern w:val="0"/>
                      <w:sz w:val="21"/>
                      <w:szCs w:val="21"/>
                      <w:lang w:val="en-US" w:eastAsia="zh-CN"/>
                    </w:rPr>
                    <w:t>、</w:t>
                  </w:r>
                  <w:r>
                    <w:rPr>
                      <w:rFonts w:hint="eastAsia" w:cs="Times New Roman"/>
                      <w:color w:val="0000FF"/>
                      <w:kern w:val="0"/>
                      <w:sz w:val="21"/>
                      <w:szCs w:val="21"/>
                      <w:lang w:val="en-US" w:eastAsia="zh-CN"/>
                    </w:rPr>
                    <w:t>县级公路</w:t>
                  </w:r>
                  <w:r>
                    <w:rPr>
                      <w:rFonts w:hint="default" w:ascii="Times New Roman" w:hAnsi="Times New Roman" w:eastAsia="宋体" w:cs="Times New Roman"/>
                      <w:color w:val="FF0000"/>
                      <w:kern w:val="0"/>
                      <w:sz w:val="21"/>
                      <w:szCs w:val="21"/>
                      <w:lang w:val="en-US" w:eastAsia="zh-CN"/>
                    </w:rPr>
                    <w:t>两侧的直观可视范围内</w:t>
                  </w:r>
                  <w:r>
                    <w:rPr>
                      <w:rFonts w:hint="eastAsia" w:ascii="Times New Roman" w:hAnsi="Times New Roman" w:eastAsia="宋体" w:cs="Times New Roman"/>
                      <w:color w:val="FF0000"/>
                      <w:kern w:val="0"/>
                      <w:sz w:val="21"/>
                      <w:szCs w:val="21"/>
                      <w:lang w:val="en-US" w:eastAsia="zh-CN"/>
                    </w:rPr>
                    <w:t>。本项目位于同德县河北乡，不属于中心城区等重要区域；2、根据同德县国土空间规划，本项目在“耕地和永久基本农田、生态保护红线、城镇开发边界三条控制线”范围外，且根据</w:t>
                  </w:r>
                  <w:r>
                    <w:rPr>
                      <w:rFonts w:hint="default" w:ascii="Times New Roman" w:hAnsi="Times New Roman" w:eastAsia="宋体" w:cs="Times New Roman"/>
                      <w:color w:val="FF0000"/>
                      <w:kern w:val="0"/>
                      <w:sz w:val="21"/>
                      <w:szCs w:val="21"/>
                      <w:lang w:val="en-US" w:eastAsia="zh-CN"/>
                    </w:rPr>
                    <w:t>《同德县矿产资源总体规划（2021-2025）》，本项目属于同德县主要矿产资源开采规划区块中“7、CQ007同德县河北乡吾达哇建筑用砂岩矿（建筑用砂岩）”，</w:t>
                  </w:r>
                  <w:r>
                    <w:rPr>
                      <w:rFonts w:hint="eastAsia" w:ascii="Times New Roman" w:hAnsi="Times New Roman" w:eastAsia="宋体" w:cs="Times New Roman"/>
                      <w:color w:val="FF0000"/>
                      <w:kern w:val="0"/>
                      <w:sz w:val="21"/>
                      <w:szCs w:val="21"/>
                      <w:lang w:val="en-US" w:eastAsia="zh-CN"/>
                    </w:rPr>
                    <w:t>已纳入矿产资源规划；3、本项目开采规模为100万</w:t>
                  </w:r>
                  <w:r>
                    <w:rPr>
                      <w:rFonts w:hint="default" w:ascii="Times New Roman" w:hAnsi="Times New Roman" w:eastAsia="宋体" w:cs="Times New Roman"/>
                      <w:color w:val="FF0000"/>
                      <w:kern w:val="0"/>
                      <w:sz w:val="21"/>
                      <w:szCs w:val="21"/>
                      <w:lang w:val="en-US" w:eastAsia="zh-CN"/>
                    </w:rPr>
                    <w:t>立方米/年</w:t>
                  </w:r>
                  <w:r>
                    <w:rPr>
                      <w:rFonts w:hint="eastAsia" w:cs="Times New Roman"/>
                      <w:color w:val="0000FF"/>
                      <w:kern w:val="0"/>
                      <w:sz w:val="21"/>
                      <w:szCs w:val="21"/>
                      <w:lang w:val="en-US" w:eastAsia="zh-CN"/>
                    </w:rPr>
                    <w:t>，远高于最低开采规模</w:t>
                  </w:r>
                  <w:r>
                    <w:rPr>
                      <w:rFonts w:hint="eastAsia" w:ascii="Times New Roman" w:hAnsi="Times New Roman" w:eastAsia="宋体" w:cs="Times New Roman"/>
                      <w:color w:val="FF0000"/>
                      <w:kern w:val="0"/>
                      <w:sz w:val="21"/>
                      <w:szCs w:val="21"/>
                      <w:lang w:val="en-US" w:eastAsia="zh-CN"/>
                    </w:rPr>
                    <w:t>。</w:t>
                  </w:r>
                </w:p>
              </w:tc>
              <w:tc>
                <w:tcPr>
                  <w:tcW w:w="790" w:type="pct"/>
                  <w:tcBorders>
                    <w:tl2br w:val="nil"/>
                    <w:tr2bl w:val="nil"/>
                  </w:tcBorders>
                  <w:vAlign w:val="center"/>
                </w:tcPr>
                <w:p w14:paraId="50A1875A">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14:paraId="5C1C9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pct"/>
                  <w:tcBorders>
                    <w:tl2br w:val="nil"/>
                    <w:tr2bl w:val="nil"/>
                  </w:tcBorders>
                  <w:vAlign w:val="center"/>
                </w:tcPr>
                <w:p w14:paraId="6C821935">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加强源头管理管控，严格落实准入条件</w:t>
                  </w:r>
                </w:p>
              </w:tc>
              <w:tc>
                <w:tcPr>
                  <w:tcW w:w="2572" w:type="pct"/>
                  <w:tcBorders>
                    <w:tl2br w:val="nil"/>
                    <w:tr2bl w:val="nil"/>
                  </w:tcBorders>
                  <w:vAlign w:val="center"/>
                </w:tcPr>
                <w:p w14:paraId="5EE08171">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rPr>
                  </w:pP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四</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落实新设立露天矿山准入条件。新设立露天矿山要符合矿产资源开发、生态环境保护、安全生产相关法律法规及“三线一单”生态环境分区管控等相关政策，应严格执行生态环境保护规划、矿产资源规划、相关专项规划等要求，落实最低开采规模准入及最低服务年限要求，杜绝大矿小开、一矿多开。严格采矿权出让登记管理，新设立露天矿山要按照“净矿”出让要求，提前做好用地、用林、用草、用湿、用水等审核审批事项衔接，项目涉及野生动植物及其栖息地的，依照相关法律法规管理。在露天矿山采矿权出让前，必须坚持生态保护优先，综合资源禀赋、经济技术条件等因素，开展露天开采方式必要性研究论证，慎重选择露天开采方式。矿山项目建设要严格执行环境影响评价、水土保持、排污许可，以及环境保护设施和安全设施与主体工程同时设计、同时施工、同时投产使用制度。</w:t>
                  </w:r>
                </w:p>
                <w:p w14:paraId="1BC07DA1">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五</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严格已设立露天矿山项目管理。已设立露天矿山要按照矿山企业管理规范化、资源利用高效化、生产工艺环保化、矿山环境生态化、矿地关系和谐化的总体要求实施运行管理。对于不符合重点区域管控要求，违反资源环境法律法规、规划，污染环境、破坏生态、乱采滥挖的露天矿山，依法予以关闭</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对于污染治理不规范，存在重大安全隐患以及生产工艺、设施设备落后的露天矿山，限期整改、提质改造，逾期不整改或整改后仍达不到要求以及不能完成升级改造的，依法予以关闭</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对于相邻小型露天采石场开采范围之间小于300米或爆破安全距离不满足《爆破安全规程》要求，以及布局不合理，同一矿区存在一矿多开、大矿小开的，实施资源整合，实现规模化、集约化开采</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已设立露天矿山开采完毕转井工开采的，在开展露天开采区域生态修复治理的同时，按要求做好转为井工开采的生态环境影响评价、相应开采设计和安全生产评价等工作。本措施下发前已经在非禁止区域取得露天矿山环评批复、项目核准等相关前期手续确需建设的，在严格落实相关法律法规要求前提下可继续</w:t>
                  </w:r>
                  <w:r>
                    <w:rPr>
                      <w:rFonts w:hint="eastAsia" w:ascii="Times New Roman" w:hAnsi="Times New Roman" w:eastAsia="宋体" w:cs="Times New Roman"/>
                      <w:color w:val="FF0000"/>
                      <w:sz w:val="21"/>
                      <w:szCs w:val="21"/>
                      <w:lang w:val="en-US" w:eastAsia="zh-CN"/>
                    </w:rPr>
                    <w:t>批准</w:t>
                  </w:r>
                  <w:r>
                    <w:rPr>
                      <w:rFonts w:hint="default" w:ascii="Times New Roman" w:hAnsi="Times New Roman" w:eastAsia="宋体" w:cs="Times New Roman"/>
                      <w:color w:val="FF0000"/>
                      <w:sz w:val="21"/>
                      <w:szCs w:val="21"/>
                    </w:rPr>
                    <w:t>建设。</w:t>
                  </w:r>
                </w:p>
              </w:tc>
              <w:tc>
                <w:tcPr>
                  <w:tcW w:w="980" w:type="pct"/>
                  <w:tcBorders>
                    <w:tl2br w:val="nil"/>
                    <w:tr2bl w:val="nil"/>
                  </w:tcBorders>
                  <w:vAlign w:val="center"/>
                </w:tcPr>
                <w:p w14:paraId="7EAE0872">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本</w:t>
                  </w:r>
                  <w:r>
                    <w:rPr>
                      <w:rFonts w:hint="eastAsia" w:cs="Times New Roman"/>
                      <w:color w:val="FF0000"/>
                      <w:sz w:val="21"/>
                      <w:szCs w:val="21"/>
                      <w:vertAlign w:val="baseline"/>
                      <w:lang w:val="en-US" w:eastAsia="zh-CN"/>
                    </w:rPr>
                    <w:t>项目符合</w:t>
                  </w:r>
                  <w:r>
                    <w:rPr>
                      <w:rFonts w:hint="default" w:ascii="Times New Roman" w:hAnsi="Times New Roman" w:eastAsia="宋体" w:cs="Times New Roman"/>
                      <w:color w:val="FF0000"/>
                      <w:sz w:val="21"/>
                      <w:szCs w:val="21"/>
                    </w:rPr>
                    <w:t>矿产资源开发、生态环境保护、安全生产相关法律法规及“三线一单”生态环境分区管控等相关政策</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落实最低开采规模准入及最低服务年限要求</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矿山</w:t>
                  </w:r>
                  <w:r>
                    <w:rPr>
                      <w:rFonts w:hint="eastAsia" w:ascii="Times New Roman" w:hAnsi="Times New Roman" w:eastAsia="宋体" w:cs="Times New Roman"/>
                      <w:color w:val="FF0000"/>
                      <w:sz w:val="21"/>
                      <w:szCs w:val="21"/>
                      <w:lang w:val="en-US" w:eastAsia="zh-CN"/>
                    </w:rPr>
                    <w:t>已编制开发利用方案和土地复垦方案，正在编制环评和水土保持报告，</w:t>
                  </w:r>
                  <w:r>
                    <w:rPr>
                      <w:rFonts w:hint="default" w:ascii="Times New Roman" w:hAnsi="Times New Roman" w:eastAsia="宋体" w:cs="Times New Roman"/>
                      <w:color w:val="FF0000"/>
                      <w:sz w:val="21"/>
                      <w:szCs w:val="21"/>
                    </w:rPr>
                    <w:t>项目建设要严格执行环境影响评价、水土保持、排污许可，以及环境保护设施和安全设施与主体工程同时设计、同时施工、同时投产使用制度</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本项目属于新建露天开采矿山项目</w:t>
                  </w:r>
                  <w:r>
                    <w:rPr>
                      <w:rFonts w:hint="eastAsia" w:cs="Times New Roman"/>
                      <w:color w:val="FF0000"/>
                      <w:sz w:val="21"/>
                      <w:szCs w:val="21"/>
                      <w:lang w:val="en-US" w:eastAsia="zh-CN"/>
                    </w:rPr>
                    <w:t>，</w:t>
                  </w:r>
                  <w:r>
                    <w:rPr>
                      <w:rFonts w:hint="eastAsia" w:cs="Times New Roman"/>
                      <w:color w:val="0000FF"/>
                      <w:sz w:val="21"/>
                      <w:szCs w:val="21"/>
                      <w:lang w:val="en-US" w:eastAsia="zh-CN"/>
                    </w:rPr>
                    <w:t>建设单位应</w:t>
                  </w:r>
                  <w:r>
                    <w:rPr>
                      <w:rFonts w:hint="default" w:ascii="Times New Roman" w:hAnsi="Times New Roman" w:eastAsia="宋体" w:cs="Times New Roman"/>
                      <w:color w:val="0000FF"/>
                      <w:sz w:val="21"/>
                      <w:szCs w:val="21"/>
                    </w:rPr>
                    <w:t>严格设立露天矿山项目管理</w:t>
                  </w:r>
                  <w:r>
                    <w:rPr>
                      <w:rFonts w:hint="eastAsia" w:cs="Times New Roman"/>
                      <w:color w:val="0000FF"/>
                      <w:sz w:val="21"/>
                      <w:szCs w:val="21"/>
                      <w:lang w:eastAsia="zh-CN"/>
                    </w:rPr>
                    <w:t>。</w:t>
                  </w:r>
                </w:p>
              </w:tc>
              <w:tc>
                <w:tcPr>
                  <w:tcW w:w="790" w:type="pct"/>
                  <w:tcBorders>
                    <w:tl2br w:val="nil"/>
                    <w:tr2bl w:val="nil"/>
                  </w:tcBorders>
                  <w:vAlign w:val="center"/>
                </w:tcPr>
                <w:p w14:paraId="10F76FEF">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14:paraId="04941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pct"/>
                  <w:tcBorders>
                    <w:tl2br w:val="nil"/>
                    <w:tr2bl w:val="nil"/>
                  </w:tcBorders>
                  <w:vAlign w:val="center"/>
                </w:tcPr>
                <w:p w14:paraId="51B7D57D">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提升开采利用水平，推进绿色矿山建设</w:t>
                  </w:r>
                </w:p>
              </w:tc>
              <w:tc>
                <w:tcPr>
                  <w:tcW w:w="2572" w:type="pct"/>
                  <w:tcBorders>
                    <w:tl2br w:val="nil"/>
                    <w:tr2bl w:val="nil"/>
                  </w:tcBorders>
                  <w:vAlign w:val="center"/>
                </w:tcPr>
                <w:p w14:paraId="07E4B539">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rPr>
                  </w:pP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六</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提升矿产资源利用水平。督促、引导、鼓励露天矿山企业加大科技创新投入，引进先进技术和设备，改进优化开采工艺，提升采选技术水平，提高开采回采率、选矿回收率、综合利用率指标。探索露天矿山固体废弃物排放总量控制管理制度，提升废石、废渣最大化利用水平，减少废弃物排放，降低环境保护压力。加快露天矿山转型升级和优化整合，形成规模开发程度高、综合利用水平强的现代化露天矿山开采新格局。</w:t>
                  </w:r>
                </w:p>
                <w:p w14:paraId="2D6FAB42">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七</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加大绿色矿山建设力度。新设立露天矿山要严格落实绿色矿山建设规范，并贯穿到矿山规划、设计、建设、运营、</w:t>
                  </w:r>
                  <w:r>
                    <w:rPr>
                      <w:rFonts w:hint="eastAsia" w:cs="Times New Roman"/>
                      <w:color w:val="FF0000"/>
                      <w:sz w:val="21"/>
                      <w:szCs w:val="21"/>
                      <w:lang w:eastAsia="zh-CN"/>
                    </w:rPr>
                    <w:t>闭矿</w:t>
                  </w:r>
                  <w:r>
                    <w:rPr>
                      <w:rFonts w:hint="default" w:ascii="Times New Roman" w:hAnsi="Times New Roman" w:eastAsia="宋体" w:cs="Times New Roman"/>
                      <w:color w:val="FF0000"/>
                      <w:sz w:val="21"/>
                      <w:szCs w:val="21"/>
                    </w:rPr>
                    <w:t>全过程。已设立露天矿山要加快升级改造，在开采、加工、装运、储存等主要环节采用先进、高效、节能的开采加工设备、技术和工艺，推进矿山固体废弃物综合利用、生产废水循环利用、矿山粉尘防治，限期达到绿色矿山规范要求，对拒不履行绿色矿山建设义务的，依法关闭退出。</w:t>
                  </w:r>
                </w:p>
              </w:tc>
              <w:tc>
                <w:tcPr>
                  <w:tcW w:w="980" w:type="pct"/>
                  <w:tcBorders>
                    <w:tl2br w:val="nil"/>
                    <w:tr2bl w:val="nil"/>
                  </w:tcBorders>
                  <w:vAlign w:val="center"/>
                </w:tcPr>
                <w:p w14:paraId="630B920B">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本项目开采和加工过程</w:t>
                  </w:r>
                  <w:r>
                    <w:rPr>
                      <w:rFonts w:hint="eastAsia" w:cs="Times New Roman"/>
                      <w:color w:val="0000FF"/>
                      <w:sz w:val="21"/>
                      <w:szCs w:val="21"/>
                      <w:vertAlign w:val="baseline"/>
                      <w:lang w:val="en-US" w:eastAsia="zh-CN"/>
                    </w:rPr>
                    <w:t>引用</w:t>
                  </w:r>
                  <w:r>
                    <w:rPr>
                      <w:rFonts w:hint="eastAsia" w:ascii="Times New Roman" w:hAnsi="Times New Roman" w:eastAsia="宋体" w:cs="Times New Roman"/>
                      <w:color w:val="FF0000"/>
                      <w:sz w:val="21"/>
                      <w:szCs w:val="21"/>
                      <w:vertAlign w:val="baseline"/>
                      <w:lang w:val="en-US" w:eastAsia="zh-CN"/>
                    </w:rPr>
                    <w:t>先进技术和设备，提高采选技术水平和“三率”。本项目露天矿山固体废弃物主要为剥离表土和废石，堆置排土场，用于后期恢复治理，全部综合利用；</w:t>
                  </w:r>
                  <w:r>
                    <w:rPr>
                      <w:rFonts w:hint="default" w:ascii="Times New Roman" w:hAnsi="Times New Roman" w:eastAsia="宋体" w:cs="Times New Roman"/>
                      <w:color w:val="FF0000"/>
                      <w:sz w:val="21"/>
                      <w:szCs w:val="21"/>
                    </w:rPr>
                    <w:t>严格落实绿色矿山建设规范，并贯穿到矿山规划、设计、建设、运营、</w:t>
                  </w:r>
                  <w:r>
                    <w:rPr>
                      <w:rFonts w:hint="eastAsia" w:cs="Times New Roman"/>
                      <w:color w:val="FF0000"/>
                      <w:sz w:val="21"/>
                      <w:szCs w:val="21"/>
                      <w:lang w:eastAsia="zh-CN"/>
                    </w:rPr>
                    <w:t>闭矿</w:t>
                  </w:r>
                  <w:r>
                    <w:rPr>
                      <w:rFonts w:hint="default" w:ascii="Times New Roman" w:hAnsi="Times New Roman" w:eastAsia="宋体" w:cs="Times New Roman"/>
                      <w:color w:val="FF0000"/>
                      <w:sz w:val="21"/>
                      <w:szCs w:val="21"/>
                    </w:rPr>
                    <w:t>全过程</w:t>
                  </w:r>
                  <w:r>
                    <w:rPr>
                      <w:rFonts w:hint="eastAsia" w:ascii="Times New Roman" w:hAnsi="Times New Roman" w:eastAsia="宋体" w:cs="Times New Roman"/>
                      <w:color w:val="FF0000"/>
                      <w:sz w:val="21"/>
                      <w:szCs w:val="21"/>
                      <w:lang w:eastAsia="zh-CN"/>
                    </w:rPr>
                    <w:t>。</w:t>
                  </w:r>
                </w:p>
              </w:tc>
              <w:tc>
                <w:tcPr>
                  <w:tcW w:w="790" w:type="pct"/>
                  <w:tcBorders>
                    <w:tl2br w:val="nil"/>
                    <w:tr2bl w:val="nil"/>
                  </w:tcBorders>
                  <w:vAlign w:val="center"/>
                </w:tcPr>
                <w:p w14:paraId="1362132F">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14:paraId="50EAE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pct"/>
                  <w:tcBorders>
                    <w:tl2br w:val="nil"/>
                    <w:tr2bl w:val="nil"/>
                  </w:tcBorders>
                  <w:vAlign w:val="center"/>
                </w:tcPr>
                <w:p w14:paraId="789D0DE6">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落实环境治理责任，持续推进生态修复</w:t>
                  </w:r>
                </w:p>
              </w:tc>
              <w:tc>
                <w:tcPr>
                  <w:tcW w:w="2572" w:type="pct"/>
                  <w:tcBorders>
                    <w:tl2br w:val="nil"/>
                    <w:tr2bl w:val="nil"/>
                  </w:tcBorders>
                  <w:vAlign w:val="center"/>
                </w:tcPr>
                <w:p w14:paraId="5F6425A5">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rPr>
                  </w:pP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八</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落实生态修复主体责任。露天矿山企业要坚持“谁开采、谁治理，边开采、边治理”，建立矿山地质环境治理恢复基金账户，完善基金监管</w:t>
                  </w:r>
                  <w:r>
                    <w:rPr>
                      <w:rFonts w:hint="eastAsia" w:cs="Times New Roman"/>
                      <w:color w:val="FF0000"/>
                      <w:sz w:val="21"/>
                      <w:szCs w:val="21"/>
                      <w:lang w:eastAsia="zh-CN"/>
                    </w:rPr>
                    <w:t>台账</w:t>
                  </w:r>
                  <w:r>
                    <w:rPr>
                      <w:rFonts w:hint="default" w:ascii="Times New Roman" w:hAnsi="Times New Roman" w:eastAsia="宋体" w:cs="Times New Roman"/>
                      <w:color w:val="FF0000"/>
                      <w:sz w:val="21"/>
                      <w:szCs w:val="21"/>
                    </w:rPr>
                    <w:t>，严格落实环境影响评价报告、矿山地质环境保护与土地复垦方案、水土保持方案要求，全面落实生态环境保护措施。各级政府要督促企业加强尾矿库风险隐患排查整治，全程控制扬尘噪声污染、矿山废水排放、废弃物堆放等，按照“宜林则林、宜耕则耕、宜草则草、宜景则景”原则，开展矿山生态修复和矿区复绿，对关闭、</w:t>
                  </w:r>
                  <w:r>
                    <w:rPr>
                      <w:rFonts w:hint="eastAsia" w:cs="Times New Roman"/>
                      <w:color w:val="FF0000"/>
                      <w:sz w:val="21"/>
                      <w:szCs w:val="21"/>
                      <w:lang w:eastAsia="zh-CN"/>
                    </w:rPr>
                    <w:t>闭矿</w:t>
                  </w:r>
                  <w:r>
                    <w:rPr>
                      <w:rFonts w:hint="default" w:ascii="Times New Roman" w:hAnsi="Times New Roman" w:eastAsia="宋体" w:cs="Times New Roman"/>
                      <w:color w:val="FF0000"/>
                      <w:sz w:val="21"/>
                      <w:szCs w:val="21"/>
                    </w:rPr>
                    <w:t>露天矿山全面实施恢复治理，全过程落实露天矿山生态修复责任。</w:t>
                  </w:r>
                </w:p>
                <w:p w14:paraId="77B23200">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九</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实施责任主体灭失露天矿山生态修复。各市</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州</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县级政府要多方筹措资金进一步加强对责任主体灭失露天矿山生态修复和遗留污染源治理，统筹安排各类生态修复工程、历史遗留矿山生态修复等项目。结合矿山旅游、生态产业等项目，探索“政府主导、社会参与、市场化运作”矿山地质环境恢复和综合治理新模式，加快生态修复进度。</w:t>
                  </w:r>
                </w:p>
              </w:tc>
              <w:tc>
                <w:tcPr>
                  <w:tcW w:w="980" w:type="pct"/>
                  <w:tcBorders>
                    <w:tl2br w:val="nil"/>
                    <w:tr2bl w:val="nil"/>
                  </w:tcBorders>
                  <w:vAlign w:val="center"/>
                </w:tcPr>
                <w:p w14:paraId="7E469968">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建设单位落实生态修复主体责任，坚持</w:t>
                  </w:r>
                  <w:r>
                    <w:rPr>
                      <w:rFonts w:hint="default" w:ascii="Times New Roman" w:hAnsi="Times New Roman" w:eastAsia="宋体" w:cs="Times New Roman"/>
                      <w:color w:val="FF0000"/>
                      <w:sz w:val="21"/>
                      <w:szCs w:val="21"/>
                    </w:rPr>
                    <w:t>“谁开采、谁治理，边开采、边治理”</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将</w:t>
                  </w:r>
                  <w:r>
                    <w:rPr>
                      <w:rFonts w:hint="default" w:ascii="Times New Roman" w:hAnsi="Times New Roman" w:eastAsia="宋体" w:cs="Times New Roman"/>
                      <w:color w:val="FF0000"/>
                      <w:sz w:val="21"/>
                      <w:szCs w:val="21"/>
                    </w:rPr>
                    <w:t>建立矿山地质环境治理恢复基金账户，完善基金监管</w:t>
                  </w:r>
                  <w:r>
                    <w:rPr>
                      <w:rFonts w:hint="eastAsia" w:cs="Times New Roman"/>
                      <w:color w:val="FF0000"/>
                      <w:sz w:val="21"/>
                      <w:szCs w:val="21"/>
                      <w:lang w:eastAsia="zh-CN"/>
                    </w:rPr>
                    <w:t>台账</w:t>
                  </w:r>
                  <w:r>
                    <w:rPr>
                      <w:rFonts w:hint="default" w:ascii="Times New Roman" w:hAnsi="Times New Roman" w:eastAsia="宋体" w:cs="Times New Roman"/>
                      <w:color w:val="FF0000"/>
                      <w:sz w:val="21"/>
                      <w:szCs w:val="21"/>
                    </w:rPr>
                    <w:t>，严格落实环境影响评价报告、矿山地质环境保护与土地复垦方案、水土保持方案要求，全面落实生态环境保护</w:t>
                  </w:r>
                  <w:r>
                    <w:rPr>
                      <w:rFonts w:hint="eastAsia" w:cs="Times New Roman"/>
                      <w:color w:val="FF0000"/>
                      <w:sz w:val="21"/>
                      <w:szCs w:val="21"/>
                      <w:lang w:eastAsia="zh-CN"/>
                    </w:rPr>
                    <w:t>措施</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建设单位在生态恢复的过程中</w:t>
                  </w:r>
                  <w:r>
                    <w:rPr>
                      <w:rFonts w:hint="default" w:ascii="Times New Roman" w:hAnsi="Times New Roman" w:eastAsia="宋体" w:cs="Times New Roman"/>
                      <w:color w:val="FF0000"/>
                      <w:sz w:val="21"/>
                      <w:szCs w:val="21"/>
                    </w:rPr>
                    <w:t>统筹安排各类生态修复工程、历史遗留矿山生态修复等项目</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加快生态恢复进度。</w:t>
                  </w:r>
                </w:p>
              </w:tc>
              <w:tc>
                <w:tcPr>
                  <w:tcW w:w="790" w:type="pct"/>
                  <w:tcBorders>
                    <w:tl2br w:val="nil"/>
                    <w:tr2bl w:val="nil"/>
                  </w:tcBorders>
                  <w:vAlign w:val="center"/>
                </w:tcPr>
                <w:p w14:paraId="3AF599D0">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14:paraId="093A0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pct"/>
                  <w:tcBorders>
                    <w:tl2br w:val="nil"/>
                    <w:tr2bl w:val="nil"/>
                  </w:tcBorders>
                  <w:vAlign w:val="center"/>
                </w:tcPr>
                <w:p w14:paraId="4B511B3D">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压实监管主体责任，强化执法监察力度</w:t>
                  </w:r>
                </w:p>
              </w:tc>
              <w:tc>
                <w:tcPr>
                  <w:tcW w:w="2572" w:type="pct"/>
                  <w:tcBorders>
                    <w:tl2br w:val="nil"/>
                    <w:tr2bl w:val="nil"/>
                  </w:tcBorders>
                  <w:vAlign w:val="center"/>
                </w:tcPr>
                <w:p w14:paraId="534C5B24">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rPr>
                  </w:pP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十</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健全联动机制。各市</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州</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县级政府要切实加强组织领导，建立属地发展改革、工业和信息化、公安、自然资源、生态环境、交通运输、水利、应急管理、林草、市场监管等多部门会商会审联动监管机制，形成政府领导、部门联动、透明公开、快速推进的工作格局。</w:t>
                  </w:r>
                </w:p>
                <w:p w14:paraId="4685FD46">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rPr>
                  </w:pP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十一</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强化监督管理。各市</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州</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、县级政府要进一步规范露天矿山监督管理工作，明确部门职责，强化责任意识，依法依规对露天矿山开采开展事前、事中、事后监督管理，依法依规追究履职不到位的相关部门单位及人员责任。</w:t>
                  </w:r>
                </w:p>
                <w:p w14:paraId="055139A8">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十二</w:t>
                  </w:r>
                  <w:r>
                    <w:rPr>
                      <w:rFonts w:hint="eastAsia" w:cs="Times New Roman"/>
                      <w:color w:val="FF0000"/>
                      <w:sz w:val="21"/>
                      <w:szCs w:val="21"/>
                      <w:lang w:eastAsia="zh-CN"/>
                    </w:rPr>
                    <w:t>）</w:t>
                  </w:r>
                  <w:r>
                    <w:rPr>
                      <w:rFonts w:hint="default" w:ascii="Times New Roman" w:hAnsi="Times New Roman" w:eastAsia="宋体" w:cs="Times New Roman"/>
                      <w:color w:val="FF0000"/>
                      <w:sz w:val="21"/>
                      <w:szCs w:val="21"/>
                    </w:rPr>
                    <w:t>加强执法检查。要加大联合执法检查力度，应用信息化和高科技手段开展远程监控，监督矿业权人严格执行批准的矿产资源开发利用方案、环境影响评价报告、矿山地质环境保护与土地复垦方案、水土保持方案等，严厉打击违法开采、污染环境等各类违法违规行为，构成犯罪的，依法追究法律责任。</w:t>
                  </w:r>
                </w:p>
              </w:tc>
              <w:tc>
                <w:tcPr>
                  <w:tcW w:w="980" w:type="pct"/>
                  <w:tcBorders>
                    <w:tl2br w:val="nil"/>
                    <w:tr2bl w:val="nil"/>
                  </w:tcBorders>
                  <w:vAlign w:val="center"/>
                </w:tcPr>
                <w:p w14:paraId="08359E0C">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建设单位应积极配合相关部门的监督管理。</w:t>
                  </w:r>
                </w:p>
              </w:tc>
              <w:tc>
                <w:tcPr>
                  <w:tcW w:w="790" w:type="pct"/>
                  <w:tcBorders>
                    <w:tl2br w:val="nil"/>
                    <w:tr2bl w:val="nil"/>
                  </w:tcBorders>
                  <w:vAlign w:val="center"/>
                </w:tcPr>
                <w:p w14:paraId="12AC1C76">
                  <w:pPr>
                    <w:keepNext w:val="0"/>
                    <w:keepLines w:val="0"/>
                    <w:pageBreakBefore w:val="0"/>
                    <w:widowControl w:val="0"/>
                    <w:kinsoku/>
                    <w:wordWrap/>
                    <w:overflowPunct/>
                    <w:topLinePunct w:val="0"/>
                    <w:bidi w:val="0"/>
                    <w:adjustRightInd/>
                    <w:snapToGrid/>
                    <w:spacing w:line="288"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bl>
          <w:p w14:paraId="640F2236">
            <w:pPr>
              <w:pStyle w:val="22"/>
              <w:ind w:left="0" w:leftChars="0" w:firstLine="0" w:firstLineChars="0"/>
              <w:rPr>
                <w:rFonts w:hint="default" w:ascii="Times New Roman" w:hAnsi="Times New Roman" w:eastAsia="宋体" w:cs="Times New Roman"/>
                <w:kern w:val="0"/>
                <w:szCs w:val="21"/>
                <w:lang w:val="en-US" w:eastAsia="zh-CN"/>
              </w:rPr>
            </w:pPr>
          </w:p>
          <w:p w14:paraId="3B600264">
            <w:pPr>
              <w:pStyle w:val="22"/>
              <w:ind w:left="0" w:leftChars="0" w:firstLine="0" w:firstLineChars="0"/>
              <w:rPr>
                <w:rFonts w:hint="default" w:ascii="Times New Roman" w:hAnsi="Times New Roman" w:eastAsia="宋体" w:cs="Times New Roman"/>
                <w:kern w:val="0"/>
                <w:szCs w:val="21"/>
                <w:lang w:val="en-US" w:eastAsia="zh-CN"/>
              </w:rPr>
            </w:pPr>
          </w:p>
          <w:p w14:paraId="7E882679">
            <w:pPr>
              <w:pStyle w:val="22"/>
              <w:ind w:left="0" w:leftChars="0" w:firstLine="0" w:firstLineChars="0"/>
              <w:rPr>
                <w:rFonts w:hint="default" w:ascii="Times New Roman" w:hAnsi="Times New Roman" w:eastAsia="宋体" w:cs="Times New Roman"/>
                <w:kern w:val="0"/>
                <w:szCs w:val="21"/>
                <w:lang w:val="en-US" w:eastAsia="zh-CN"/>
              </w:rPr>
            </w:pPr>
          </w:p>
        </w:tc>
      </w:tr>
    </w:tbl>
    <w:p w14:paraId="6AA635A4">
      <w:pPr>
        <w:spacing w:line="360" w:lineRule="auto"/>
        <w:outlineLvl w:val="0"/>
        <w:rPr>
          <w:rFonts w:eastAsia="黑体"/>
          <w:sz w:val="30"/>
        </w:rPr>
        <w:sectPr>
          <w:footerReference r:id="rId8" w:type="default"/>
          <w:pgSz w:w="11906" w:h="16838"/>
          <w:pgMar w:top="1440" w:right="1440" w:bottom="1440" w:left="170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85063DA">
      <w:pPr>
        <w:pStyle w:val="2"/>
        <w:keepNext/>
        <w:keepLines w:val="0"/>
        <w:pageBreakBefore w:val="0"/>
        <w:widowControl w:val="0"/>
        <w:kinsoku/>
        <w:wordWrap/>
        <w:overflowPunct w:val="0"/>
        <w:topLinePunct w:val="0"/>
        <w:autoSpaceDE/>
        <w:autoSpaceDN/>
        <w:bidi w:val="0"/>
        <w:adjustRightInd/>
        <w:snapToGrid w:val="0"/>
        <w:spacing w:line="260" w:lineRule="auto"/>
        <w:ind w:left="431" w:firstLine="0" w:firstLineChars="0"/>
        <w:textAlignment w:val="auto"/>
      </w:pPr>
      <w:r>
        <w:rPr>
          <w:rFonts w:hint="eastAsia"/>
        </w:rPr>
        <w:t>二、建设内容</w:t>
      </w:r>
    </w:p>
    <w:tbl>
      <w:tblPr>
        <w:tblStyle w:val="23"/>
        <w:tblW w:w="89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8"/>
        <w:gridCol w:w="8357"/>
      </w:tblGrid>
      <w:tr w14:paraId="73E7CB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548" w:type="dxa"/>
            <w:noWrap w:val="0"/>
            <w:vAlign w:val="center"/>
          </w:tcPr>
          <w:p w14:paraId="6F18EB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kern w:val="0"/>
                <w:szCs w:val="21"/>
              </w:rPr>
            </w:pPr>
            <w:r>
              <w:rPr>
                <w:rFonts w:hint="eastAsia" w:ascii="宋体" w:hAnsi="宋体" w:cs="宋体"/>
                <w:kern w:val="0"/>
                <w:szCs w:val="21"/>
              </w:rPr>
              <w:t>地理位置</w:t>
            </w:r>
          </w:p>
        </w:tc>
        <w:tc>
          <w:tcPr>
            <w:tcW w:w="8357" w:type="dxa"/>
            <w:noWrap w:val="0"/>
            <w:vAlign w:val="center"/>
          </w:tcPr>
          <w:p w14:paraId="11875F68">
            <w:pPr>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sz w:val="24"/>
                <w:lang w:val="en-US" w:eastAsia="zh-CN"/>
              </w:rPr>
            </w:pPr>
            <w:r>
              <w:rPr>
                <w:rFonts w:hint="default" w:ascii="Times New Roman" w:hAnsi="Times New Roman" w:cs="Times New Roman"/>
                <w:kern w:val="0"/>
                <w:sz w:val="24"/>
                <w:szCs w:val="24"/>
                <w:lang w:val="en-US" w:eastAsia="zh-CN"/>
              </w:rPr>
              <w:t>项目位于</w:t>
            </w:r>
            <w:r>
              <w:rPr>
                <w:rFonts w:hint="eastAsia" w:ascii="Times New Roman" w:hAnsi="Times New Roman" w:cs="Times New Roman"/>
                <w:kern w:val="0"/>
                <w:sz w:val="24"/>
                <w:szCs w:val="24"/>
                <w:lang w:val="en-US" w:eastAsia="zh-CN"/>
              </w:rPr>
              <w:t>青海省同德县河北乡</w:t>
            </w:r>
            <w:r>
              <w:rPr>
                <w:rFonts w:hint="default" w:ascii="Times New Roman" w:hAnsi="Times New Roman" w:cs="Times New Roman"/>
                <w:kern w:val="0"/>
                <w:sz w:val="24"/>
                <w:szCs w:val="24"/>
                <w:lang w:val="en-US" w:eastAsia="zh-CN"/>
              </w:rPr>
              <w:t>，地理坐标为</w:t>
            </w:r>
            <w:r>
              <w:rPr>
                <w:rFonts w:hint="default" w:ascii="Times New Roman" w:hAnsi="Times New Roman" w:cs="Times New Roman"/>
                <w:sz w:val="24"/>
                <w:szCs w:val="24"/>
              </w:rPr>
              <w:t>（</w:t>
            </w:r>
            <w:r>
              <w:rPr>
                <w:rFonts w:hint="default" w:ascii="Times New Roman" w:hAnsi="Times New Roman" w:cs="Times New Roman"/>
                <w:sz w:val="24"/>
                <w:szCs w:val="24"/>
                <w:u w:val="single"/>
                <w:lang w:val="en-US" w:eastAsia="zh-CN"/>
              </w:rPr>
              <w:t>100</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度</w:t>
            </w:r>
            <w:r>
              <w:rPr>
                <w:rFonts w:hint="default" w:ascii="Times New Roman" w:hAnsi="Times New Roman" w:cs="Times New Roman"/>
                <w:sz w:val="24"/>
                <w:szCs w:val="24"/>
                <w:u w:val="single"/>
              </w:rPr>
              <w:t xml:space="preserve"> </w:t>
            </w:r>
            <w:r>
              <w:rPr>
                <w:rFonts w:hint="eastAsia" w:ascii="Times New Roman" w:hAnsi="Times New Roman" w:cs="Times New Roman"/>
                <w:sz w:val="24"/>
                <w:szCs w:val="24"/>
                <w:u w:val="single"/>
                <w:lang w:val="en-US" w:eastAsia="zh-CN"/>
              </w:rPr>
              <w:t>54</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分</w:t>
            </w:r>
            <w:r>
              <w:rPr>
                <w:rFonts w:hint="default" w:ascii="Times New Roman" w:hAnsi="Times New Roman" w:cs="Times New Roman"/>
                <w:sz w:val="24"/>
                <w:szCs w:val="24"/>
                <w:u w:val="single"/>
              </w:rPr>
              <w:t xml:space="preserve"> </w:t>
            </w:r>
            <w:r>
              <w:rPr>
                <w:rFonts w:hint="eastAsia" w:ascii="Times New Roman" w:hAnsi="Times New Roman" w:cs="Times New Roman"/>
                <w:sz w:val="24"/>
                <w:szCs w:val="24"/>
                <w:u w:val="single"/>
                <w:lang w:val="en-US" w:eastAsia="zh-CN"/>
              </w:rPr>
              <w:t>21</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秒，</w:t>
            </w:r>
            <w:r>
              <w:rPr>
                <w:rFonts w:hint="default" w:ascii="Times New Roman" w:hAnsi="Times New Roman" w:cs="Times New Roman"/>
                <w:sz w:val="24"/>
                <w:szCs w:val="24"/>
                <w:u w:val="single"/>
                <w:lang w:val="en-US" w:eastAsia="zh-CN"/>
              </w:rPr>
              <w:t>3</w:t>
            </w:r>
            <w:r>
              <w:rPr>
                <w:rFonts w:hint="eastAsia" w:ascii="Times New Roman" w:hAnsi="Times New Roman" w:cs="Times New Roman"/>
                <w:sz w:val="24"/>
                <w:szCs w:val="24"/>
                <w:u w:val="single"/>
                <w:lang w:val="en-US" w:eastAsia="zh-CN"/>
              </w:rPr>
              <w:t>4</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度</w:t>
            </w:r>
            <w:r>
              <w:rPr>
                <w:rFonts w:hint="default" w:ascii="Times New Roman" w:hAnsi="Times New Roman" w:cs="Times New Roman"/>
                <w:sz w:val="24"/>
                <w:szCs w:val="24"/>
                <w:u w:val="single"/>
              </w:rPr>
              <w:t xml:space="preserve"> </w:t>
            </w:r>
            <w:r>
              <w:rPr>
                <w:rFonts w:hint="eastAsia" w:ascii="Times New Roman" w:hAnsi="Times New Roman" w:cs="Times New Roman"/>
                <w:sz w:val="24"/>
                <w:szCs w:val="24"/>
                <w:u w:val="single"/>
                <w:lang w:val="en-US" w:eastAsia="zh-CN"/>
              </w:rPr>
              <w:t>54</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分</w:t>
            </w:r>
            <w:r>
              <w:rPr>
                <w:rFonts w:hint="default" w:ascii="Times New Roman" w:hAnsi="Times New Roman" w:cs="Times New Roman"/>
                <w:sz w:val="24"/>
                <w:szCs w:val="24"/>
                <w:u w:val="single"/>
              </w:rPr>
              <w:t xml:space="preserve"> </w:t>
            </w:r>
            <w:r>
              <w:rPr>
                <w:rFonts w:hint="eastAsia" w:ascii="Times New Roman" w:hAnsi="Times New Roman" w:cs="Times New Roman"/>
                <w:sz w:val="24"/>
                <w:szCs w:val="24"/>
                <w:u w:val="single"/>
                <w:lang w:val="en-US" w:eastAsia="zh-CN"/>
              </w:rPr>
              <w:t>33</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秒）</w:t>
            </w:r>
            <w:r>
              <w:rPr>
                <w:rFonts w:hint="default" w:ascii="Times New Roman" w:hAnsi="Times New Roman" w:cs="Times New Roman"/>
                <w:sz w:val="24"/>
                <w:szCs w:val="24"/>
                <w:lang w:eastAsia="zh-CN"/>
              </w:rPr>
              <w:t>。</w:t>
            </w:r>
            <w:r>
              <w:rPr>
                <w:rFonts w:hint="eastAsia"/>
                <w:sz w:val="24"/>
                <w:szCs w:val="24"/>
              </w:rPr>
              <w:t>根据勘测定界，本项目</w:t>
            </w:r>
            <w:r>
              <w:rPr>
                <w:rFonts w:hint="eastAsia"/>
                <w:sz w:val="24"/>
                <w:szCs w:val="24"/>
                <w:lang w:val="en-US" w:eastAsia="zh-CN"/>
              </w:rPr>
              <w:t>矿区面积</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3188</w:t>
            </w:r>
            <w:r>
              <w:rPr>
                <w:rFonts w:hint="default" w:ascii="Times New Roman" w:hAnsi="Times New Roman" w:eastAsia="宋体" w:cs="Times New Roman"/>
                <w:color w:val="000000"/>
                <w:kern w:val="0"/>
                <w:sz w:val="24"/>
                <w:szCs w:val="24"/>
                <w:lang w:val="en-US" w:eastAsia="zh-CN" w:bidi="ar"/>
              </w:rPr>
              <w:t>km</w:t>
            </w:r>
            <w:r>
              <w:rPr>
                <w:rFonts w:hint="eastAsia" w:ascii="Times New Roman" w:hAnsi="Times New Roman" w:eastAsia="宋体" w:cs="Times New Roman"/>
                <w:color w:val="000000"/>
                <w:kern w:val="0"/>
                <w:sz w:val="28"/>
                <w:szCs w:val="28"/>
                <w:vertAlign w:val="superscript"/>
                <w:lang w:val="en-US" w:eastAsia="zh-CN" w:bidi="ar"/>
              </w:rPr>
              <w:t>2</w:t>
            </w:r>
            <w:r>
              <w:rPr>
                <w:rFonts w:hint="eastAsia"/>
                <w:sz w:val="24"/>
                <w:szCs w:val="24"/>
              </w:rPr>
              <w:t>，由</w:t>
            </w:r>
            <w:r>
              <w:rPr>
                <w:rFonts w:hint="eastAsia"/>
                <w:sz w:val="24"/>
                <w:szCs w:val="24"/>
                <w:lang w:val="en-US" w:eastAsia="zh-CN"/>
              </w:rPr>
              <w:t>5</w:t>
            </w:r>
            <w:r>
              <w:rPr>
                <w:rFonts w:hint="eastAsia"/>
                <w:sz w:val="24"/>
                <w:szCs w:val="24"/>
              </w:rPr>
              <w:t>个拐点连线围</w:t>
            </w:r>
            <w:r>
              <w:rPr>
                <w:rFonts w:hint="eastAsia"/>
                <w:sz w:val="24"/>
                <w:szCs w:val="24"/>
                <w:lang w:val="en-US" w:eastAsia="zh-CN"/>
              </w:rPr>
              <w:t>成</w:t>
            </w:r>
            <w:r>
              <w:rPr>
                <w:rFonts w:hint="eastAsia"/>
                <w:sz w:val="24"/>
                <w:szCs w:val="24"/>
              </w:rPr>
              <w:t>，各拐点坐标见表</w:t>
            </w:r>
            <w:r>
              <w:rPr>
                <w:rFonts w:hint="eastAsia"/>
                <w:sz w:val="24"/>
                <w:szCs w:val="24"/>
                <w:lang w:val="en-US" w:eastAsia="zh-CN"/>
              </w:rPr>
              <w:t>2-1</w:t>
            </w:r>
            <w:r>
              <w:rPr>
                <w:rFonts w:hint="eastAsia"/>
                <w:sz w:val="24"/>
                <w:szCs w:val="24"/>
              </w:rPr>
              <w:t>。</w:t>
            </w:r>
            <w:r>
              <w:rPr>
                <w:rFonts w:hint="eastAsia"/>
                <w:sz w:val="24"/>
                <w:szCs w:val="24"/>
                <w:lang w:val="en-US" w:eastAsia="zh-CN"/>
              </w:rPr>
              <w:t>地理位置</w:t>
            </w:r>
            <w:r>
              <w:rPr>
                <w:rFonts w:hint="default" w:ascii="Times New Roman" w:hAnsi="Times New Roman" w:cs="Times New Roman"/>
                <w:sz w:val="24"/>
                <w:szCs w:val="24"/>
                <w:lang w:val="en-US" w:eastAsia="zh-CN"/>
              </w:rPr>
              <w:t>详见项目地理位置图</w:t>
            </w:r>
            <w:r>
              <w:rPr>
                <w:rFonts w:hint="eastAsia" w:ascii="Times New Roman" w:hAnsi="Times New Roman" w:cs="Times New Roman"/>
                <w:sz w:val="24"/>
                <w:szCs w:val="24"/>
                <w:lang w:val="en-US" w:eastAsia="zh-CN"/>
              </w:rPr>
              <w:t>；</w:t>
            </w:r>
            <w:r>
              <w:rPr>
                <w:rFonts w:hint="eastAsia" w:ascii="Times New Roman" w:hAnsi="Times New Roman"/>
                <w:sz w:val="24"/>
                <w:lang w:val="en-US" w:eastAsia="zh-CN"/>
              </w:rPr>
              <w:t>周边环境详见项目外环境关系图。</w:t>
            </w:r>
          </w:p>
          <w:p w14:paraId="3ECA2A44">
            <w:pPr>
              <w:pStyle w:val="5"/>
              <w:keepNext w:val="0"/>
              <w:keepLines w:val="0"/>
              <w:pageBreakBefore w:val="0"/>
              <w:widowControl w:val="0"/>
              <w:kinsoku/>
              <w:wordWrap/>
              <w:overflowPunct/>
              <w:topLinePunct w:val="0"/>
              <w:autoSpaceDE/>
              <w:autoSpaceDN/>
              <w:bidi w:val="0"/>
              <w:rPr>
                <w:rFonts w:hint="eastAsia"/>
              </w:rPr>
            </w:pPr>
            <w:r>
              <w:rPr>
                <w:rFonts w:hint="eastAsia"/>
              </w:rPr>
              <w:t>表</w:t>
            </w:r>
            <w:r>
              <w:rPr>
                <w:rFonts w:hint="eastAsia"/>
                <w:lang w:val="en-US" w:eastAsia="zh-CN"/>
              </w:rPr>
              <w:t>2-1</w:t>
            </w:r>
            <w:r>
              <w:rPr>
                <w:rFonts w:hint="eastAsia"/>
              </w:rPr>
              <w:t xml:space="preserve">   矿区范围拐点坐标</w:t>
            </w:r>
          </w:p>
          <w:tbl>
            <w:tblPr>
              <w:tblStyle w:val="23"/>
              <w:tblW w:w="4997"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77"/>
              <w:gridCol w:w="2755"/>
              <w:gridCol w:w="2804"/>
            </w:tblGrid>
            <w:tr w14:paraId="369620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84" w:type="pct"/>
                  <w:tcBorders>
                    <w:tl2br w:val="nil"/>
                    <w:tr2bl w:val="nil"/>
                  </w:tcBorders>
                  <w:noWrap w:val="0"/>
                  <w:vAlign w:val="center"/>
                </w:tcPr>
                <w:p w14:paraId="0BFE64F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b/>
                      <w:szCs w:val="24"/>
                    </w:rPr>
                  </w:pPr>
                  <w:r>
                    <w:rPr>
                      <w:rFonts w:hint="eastAsia"/>
                      <w:b/>
                      <w:szCs w:val="24"/>
                    </w:rPr>
                    <w:t>序号</w:t>
                  </w:r>
                </w:p>
              </w:tc>
              <w:tc>
                <w:tcPr>
                  <w:tcW w:w="1693" w:type="pct"/>
                  <w:tcBorders>
                    <w:tl2br w:val="nil"/>
                    <w:tr2bl w:val="nil"/>
                  </w:tcBorders>
                  <w:noWrap w:val="0"/>
                  <w:vAlign w:val="center"/>
                </w:tcPr>
                <w:p w14:paraId="18AD70E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b/>
                      <w:szCs w:val="24"/>
                    </w:rPr>
                  </w:pPr>
                  <w:r>
                    <w:rPr>
                      <w:rFonts w:hint="eastAsia"/>
                      <w:b/>
                      <w:szCs w:val="24"/>
                    </w:rPr>
                    <w:t>X</w:t>
                  </w:r>
                </w:p>
              </w:tc>
              <w:tc>
                <w:tcPr>
                  <w:tcW w:w="1722" w:type="pct"/>
                  <w:tcBorders>
                    <w:tl2br w:val="nil"/>
                    <w:tr2bl w:val="nil"/>
                  </w:tcBorders>
                  <w:noWrap w:val="0"/>
                  <w:vAlign w:val="center"/>
                </w:tcPr>
                <w:p w14:paraId="5F5C25A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b/>
                      <w:szCs w:val="24"/>
                    </w:rPr>
                  </w:pPr>
                  <w:r>
                    <w:rPr>
                      <w:rFonts w:hint="eastAsia"/>
                      <w:b/>
                      <w:szCs w:val="24"/>
                    </w:rPr>
                    <w:t>Y</w:t>
                  </w:r>
                </w:p>
              </w:tc>
            </w:tr>
            <w:tr w14:paraId="15EC99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84" w:type="pct"/>
                  <w:tcBorders>
                    <w:tl2br w:val="nil"/>
                    <w:tr2bl w:val="nil"/>
                  </w:tcBorders>
                  <w:noWrap w:val="0"/>
                  <w:vAlign w:val="center"/>
                </w:tcPr>
                <w:p w14:paraId="697BA36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szCs w:val="24"/>
                    </w:rPr>
                  </w:pPr>
                  <w:r>
                    <w:rPr>
                      <w:rFonts w:hint="eastAsia"/>
                      <w:szCs w:val="24"/>
                    </w:rPr>
                    <w:t>1</w:t>
                  </w:r>
                </w:p>
              </w:tc>
              <w:tc>
                <w:tcPr>
                  <w:tcW w:w="1693" w:type="pct"/>
                  <w:tcBorders>
                    <w:tl2br w:val="nil"/>
                    <w:tr2bl w:val="nil"/>
                  </w:tcBorders>
                  <w:noWrap w:val="0"/>
                  <w:vAlign w:val="center"/>
                </w:tcPr>
                <w:p w14:paraId="5392D6A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3865360.85</w:t>
                  </w:r>
                </w:p>
              </w:tc>
              <w:tc>
                <w:tcPr>
                  <w:tcW w:w="1722" w:type="pct"/>
                  <w:tcBorders>
                    <w:tl2br w:val="nil"/>
                    <w:tr2bl w:val="nil"/>
                  </w:tcBorders>
                  <w:noWrap w:val="0"/>
                  <w:vAlign w:val="center"/>
                </w:tcPr>
                <w:p w14:paraId="1774BA16">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34400303.31</w:t>
                  </w:r>
                </w:p>
              </w:tc>
            </w:tr>
            <w:tr w14:paraId="3D974D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84" w:type="pct"/>
                  <w:tcBorders>
                    <w:tl2br w:val="nil"/>
                    <w:tr2bl w:val="nil"/>
                  </w:tcBorders>
                  <w:noWrap w:val="0"/>
                  <w:vAlign w:val="center"/>
                </w:tcPr>
                <w:p w14:paraId="7F90FD6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szCs w:val="24"/>
                    </w:rPr>
                  </w:pPr>
                  <w:r>
                    <w:rPr>
                      <w:rFonts w:hint="eastAsia"/>
                      <w:szCs w:val="24"/>
                    </w:rPr>
                    <w:t>2</w:t>
                  </w:r>
                </w:p>
              </w:tc>
              <w:tc>
                <w:tcPr>
                  <w:tcW w:w="1693" w:type="pct"/>
                  <w:tcBorders>
                    <w:tl2br w:val="nil"/>
                    <w:tr2bl w:val="nil"/>
                  </w:tcBorders>
                  <w:noWrap w:val="0"/>
                  <w:vAlign w:val="center"/>
                </w:tcPr>
                <w:p w14:paraId="1C7E8783">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3865180.62</w:t>
                  </w:r>
                </w:p>
              </w:tc>
              <w:tc>
                <w:tcPr>
                  <w:tcW w:w="1722" w:type="pct"/>
                  <w:tcBorders>
                    <w:tl2br w:val="nil"/>
                    <w:tr2bl w:val="nil"/>
                  </w:tcBorders>
                  <w:noWrap w:val="0"/>
                  <w:vAlign w:val="center"/>
                </w:tcPr>
                <w:p w14:paraId="3AB23536">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34400338.73</w:t>
                  </w:r>
                </w:p>
              </w:tc>
            </w:tr>
            <w:tr w14:paraId="020027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84" w:type="pct"/>
                  <w:tcBorders>
                    <w:tl2br w:val="nil"/>
                    <w:tr2bl w:val="nil"/>
                  </w:tcBorders>
                  <w:noWrap w:val="0"/>
                  <w:vAlign w:val="center"/>
                </w:tcPr>
                <w:p w14:paraId="0E26EDF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szCs w:val="24"/>
                    </w:rPr>
                  </w:pPr>
                  <w:r>
                    <w:rPr>
                      <w:rFonts w:hint="eastAsia"/>
                      <w:szCs w:val="24"/>
                    </w:rPr>
                    <w:t>3</w:t>
                  </w:r>
                </w:p>
              </w:tc>
              <w:tc>
                <w:tcPr>
                  <w:tcW w:w="1693" w:type="pct"/>
                  <w:tcBorders>
                    <w:tl2br w:val="nil"/>
                    <w:tr2bl w:val="nil"/>
                  </w:tcBorders>
                  <w:noWrap w:val="0"/>
                  <w:vAlign w:val="center"/>
                </w:tcPr>
                <w:p w14:paraId="7282F172">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3864855.11</w:t>
                  </w:r>
                </w:p>
              </w:tc>
              <w:tc>
                <w:tcPr>
                  <w:tcW w:w="1722" w:type="pct"/>
                  <w:tcBorders>
                    <w:tl2br w:val="nil"/>
                    <w:tr2bl w:val="nil"/>
                  </w:tcBorders>
                  <w:noWrap w:val="0"/>
                  <w:vAlign w:val="center"/>
                </w:tcPr>
                <w:p w14:paraId="1B279E44">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34400271.32</w:t>
                  </w:r>
                </w:p>
              </w:tc>
            </w:tr>
            <w:tr w14:paraId="6FA8FB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84" w:type="pct"/>
                  <w:tcBorders>
                    <w:tl2br w:val="nil"/>
                    <w:tr2bl w:val="nil"/>
                  </w:tcBorders>
                  <w:noWrap w:val="0"/>
                  <w:vAlign w:val="center"/>
                </w:tcPr>
                <w:p w14:paraId="786349E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szCs w:val="24"/>
                    </w:rPr>
                  </w:pPr>
                  <w:r>
                    <w:rPr>
                      <w:rFonts w:hint="eastAsia"/>
                      <w:szCs w:val="24"/>
                    </w:rPr>
                    <w:t>4</w:t>
                  </w:r>
                </w:p>
              </w:tc>
              <w:tc>
                <w:tcPr>
                  <w:tcW w:w="1693" w:type="pct"/>
                  <w:tcBorders>
                    <w:tl2br w:val="nil"/>
                    <w:tr2bl w:val="nil"/>
                  </w:tcBorders>
                  <w:noWrap w:val="0"/>
                  <w:vAlign w:val="center"/>
                </w:tcPr>
                <w:p w14:paraId="50D1BE4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3864777.06</w:t>
                  </w:r>
                </w:p>
              </w:tc>
              <w:tc>
                <w:tcPr>
                  <w:tcW w:w="1722" w:type="pct"/>
                  <w:tcBorders>
                    <w:tl2br w:val="nil"/>
                    <w:tr2bl w:val="nil"/>
                  </w:tcBorders>
                  <w:noWrap w:val="0"/>
                  <w:vAlign w:val="center"/>
                </w:tcPr>
                <w:p w14:paraId="32821199">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34399789.86</w:t>
                  </w:r>
                </w:p>
              </w:tc>
            </w:tr>
            <w:tr w14:paraId="6DCE1D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84" w:type="pct"/>
                  <w:tcBorders>
                    <w:tl2br w:val="nil"/>
                    <w:tr2bl w:val="nil"/>
                  </w:tcBorders>
                  <w:noWrap w:val="0"/>
                  <w:vAlign w:val="center"/>
                </w:tcPr>
                <w:p w14:paraId="050FB11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szCs w:val="24"/>
                      <w:lang w:val="en-US" w:eastAsia="zh-CN"/>
                    </w:rPr>
                  </w:pPr>
                  <w:r>
                    <w:rPr>
                      <w:rFonts w:hint="eastAsia"/>
                      <w:szCs w:val="24"/>
                      <w:lang w:val="en-US" w:eastAsia="zh-CN"/>
                    </w:rPr>
                    <w:t>5</w:t>
                  </w:r>
                </w:p>
              </w:tc>
              <w:tc>
                <w:tcPr>
                  <w:tcW w:w="1693" w:type="pct"/>
                  <w:tcBorders>
                    <w:tl2br w:val="nil"/>
                    <w:tr2bl w:val="nil"/>
                  </w:tcBorders>
                  <w:noWrap w:val="0"/>
                  <w:vAlign w:val="center"/>
                </w:tcPr>
                <w:p w14:paraId="48C13C52">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3865360.84</w:t>
                  </w:r>
                </w:p>
              </w:tc>
              <w:tc>
                <w:tcPr>
                  <w:tcW w:w="1722" w:type="pct"/>
                  <w:tcBorders>
                    <w:tl2br w:val="nil"/>
                    <w:tr2bl w:val="nil"/>
                  </w:tcBorders>
                  <w:noWrap w:val="0"/>
                  <w:vAlign w:val="center"/>
                </w:tcPr>
                <w:p w14:paraId="66249BCF">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34399664.48</w:t>
                  </w:r>
                </w:p>
              </w:tc>
            </w:tr>
            <w:tr w14:paraId="2A48AB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3"/>
                  <w:tcBorders>
                    <w:tl2br w:val="nil"/>
                    <w:tr2bl w:val="nil"/>
                  </w:tcBorders>
                  <w:noWrap w:val="0"/>
                  <w:vAlign w:val="center"/>
                </w:tcPr>
                <w:p w14:paraId="25169649">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szCs w:val="24"/>
                      <w:lang w:val="en-US"/>
                    </w:rPr>
                  </w:pPr>
                  <w:r>
                    <w:rPr>
                      <w:rFonts w:hint="default" w:ascii="Times New Roman" w:hAnsi="Times New Roman" w:eastAsia="宋体" w:cs="Times New Roman"/>
                      <w:color w:val="auto"/>
                      <w:sz w:val="24"/>
                      <w:szCs w:val="24"/>
                      <w:highlight w:val="none"/>
                    </w:rPr>
                    <w:t>开采标高：</w:t>
                  </w:r>
                  <w:r>
                    <w:rPr>
                      <w:rFonts w:hint="eastAsia" w:cs="Times New Roman"/>
                      <w:color w:val="auto"/>
                      <w:sz w:val="24"/>
                      <w:szCs w:val="24"/>
                      <w:highlight w:val="none"/>
                      <w:lang w:val="en-US" w:eastAsia="zh-CN"/>
                    </w:rPr>
                    <w:t>+4049m~+3900</w:t>
                  </w:r>
                  <w:r>
                    <w:rPr>
                      <w:rFonts w:hint="default" w:cs="Times New Roman"/>
                      <w:color w:val="auto"/>
                      <w:sz w:val="24"/>
                      <w:szCs w:val="24"/>
                      <w:highlight w:val="none"/>
                      <w:lang w:val="en-US" w:eastAsia="zh-CN"/>
                    </w:rPr>
                    <w:t xml:space="preserve">m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矿区</w:t>
                  </w:r>
                  <w:r>
                    <w:rPr>
                      <w:rFonts w:hint="default" w:ascii="Times New Roman" w:hAnsi="Times New Roman" w:eastAsia="宋体" w:cs="Times New Roman"/>
                      <w:color w:val="auto"/>
                      <w:sz w:val="24"/>
                      <w:szCs w:val="24"/>
                      <w:highlight w:val="none"/>
                    </w:rPr>
                    <w:t>面积：</w:t>
                  </w:r>
                  <w:r>
                    <w:rPr>
                      <w:rFonts w:hint="eastAsia" w:cs="Times New Roman"/>
                      <w:color w:val="auto"/>
                      <w:sz w:val="24"/>
                      <w:szCs w:val="24"/>
                      <w:highlight w:val="none"/>
                      <w:lang w:val="en-US" w:eastAsia="zh-CN"/>
                    </w:rPr>
                    <w:t>0.3188</w:t>
                  </w:r>
                  <w:r>
                    <w:rPr>
                      <w:rFonts w:hint="default" w:ascii="Times New Roman" w:hAnsi="Times New Roman" w:eastAsia="宋体" w:cs="Times New Roman"/>
                      <w:color w:val="auto"/>
                      <w:sz w:val="24"/>
                      <w:szCs w:val="24"/>
                      <w:highlight w:val="none"/>
                      <w:lang w:val="en-US" w:eastAsia="zh-CN"/>
                    </w:rPr>
                    <w:t>km</w:t>
                  </w:r>
                  <w:r>
                    <w:rPr>
                      <w:rFonts w:hint="default" w:ascii="Times New Roman" w:hAnsi="Times New Roman" w:eastAsia="宋体" w:cs="Times New Roman"/>
                      <w:color w:val="auto"/>
                      <w:sz w:val="24"/>
                      <w:szCs w:val="24"/>
                      <w:highlight w:val="none"/>
                      <w:vertAlign w:val="superscript"/>
                      <w:lang w:val="en-US" w:eastAsia="zh-CN"/>
                    </w:rPr>
                    <w:t>2</w:t>
                  </w:r>
                </w:p>
              </w:tc>
            </w:tr>
          </w:tbl>
          <w:p w14:paraId="0BD0AB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kern w:val="0"/>
                <w:szCs w:val="21"/>
                <w:lang w:val="en-US" w:eastAsia="zh-CN"/>
              </w:rPr>
            </w:pPr>
          </w:p>
        </w:tc>
      </w:tr>
      <w:tr w14:paraId="35658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noWrap w:val="0"/>
            <w:vAlign w:val="center"/>
          </w:tcPr>
          <w:p w14:paraId="7418F2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kern w:val="0"/>
                <w:szCs w:val="21"/>
              </w:rPr>
            </w:pPr>
            <w:r>
              <w:rPr>
                <w:rFonts w:hint="eastAsia" w:ascii="宋体" w:hAnsi="宋体" w:cs="宋体"/>
                <w:kern w:val="0"/>
                <w:szCs w:val="21"/>
              </w:rPr>
              <w:t>项目组成及规模</w:t>
            </w:r>
          </w:p>
        </w:tc>
        <w:tc>
          <w:tcPr>
            <w:tcW w:w="8357" w:type="dxa"/>
            <w:noWrap w:val="0"/>
            <w:vAlign w:val="center"/>
          </w:tcPr>
          <w:p w14:paraId="6260047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pacing w:val="4"/>
                <w:sz w:val="24"/>
                <w:lang w:val="en-US" w:eastAsia="zh-CN"/>
              </w:rPr>
            </w:pPr>
            <w:r>
              <w:rPr>
                <w:rFonts w:hint="eastAsia"/>
                <w:b/>
                <w:bCs/>
                <w:spacing w:val="4"/>
                <w:sz w:val="24"/>
                <w:lang w:val="en-US" w:eastAsia="zh-CN"/>
              </w:rPr>
              <w:t>1、项目组成及规模</w:t>
            </w:r>
          </w:p>
          <w:p w14:paraId="1EAEEEFC">
            <w:pPr>
              <w:keepNext w:val="0"/>
              <w:keepLines w:val="0"/>
              <w:pageBreakBefore w:val="0"/>
              <w:widowControl w:val="0"/>
              <w:suppressLineNumbers w:val="0"/>
              <w:kinsoku/>
              <w:wordWrap/>
              <w:overflowPunct/>
              <w:topLinePunct w:val="0"/>
              <w:autoSpaceDE/>
              <w:autoSpaceDN/>
              <w:bidi w:val="0"/>
              <w:jc w:val="left"/>
              <w:rPr>
                <w:rFonts w:hint="eastAsia" w:ascii="Times New Roman" w:hAnsi="Times New Roman" w:eastAsia="宋体" w:cs="Times New Roman"/>
                <w:spacing w:val="4"/>
                <w:sz w:val="24"/>
                <w:lang w:val="en-US" w:eastAsia="zh-CN"/>
              </w:rPr>
            </w:pPr>
            <w:r>
              <w:rPr>
                <w:rFonts w:hint="eastAsia" w:cs="Times New Roman"/>
                <w:spacing w:val="4"/>
                <w:sz w:val="24"/>
                <w:lang w:val="en-US" w:eastAsia="zh-CN"/>
              </w:rPr>
              <w:t>本项目</w:t>
            </w:r>
            <w:r>
              <w:rPr>
                <w:rFonts w:hint="eastAsia" w:ascii="Times New Roman" w:hAnsi="Times New Roman" w:eastAsia="宋体" w:cs="Times New Roman"/>
                <w:spacing w:val="4"/>
                <w:sz w:val="24"/>
                <w:lang w:val="en-US" w:eastAsia="zh-CN"/>
              </w:rPr>
              <w:t>新设采矿</w:t>
            </w:r>
            <w:r>
              <w:rPr>
                <w:rFonts w:hint="eastAsia" w:cs="Times New Roman"/>
                <w:spacing w:val="4"/>
                <w:sz w:val="24"/>
                <w:lang w:val="en-US" w:eastAsia="zh-CN"/>
              </w:rPr>
              <w:t>区</w:t>
            </w:r>
            <w:r>
              <w:rPr>
                <w:rFonts w:hint="eastAsia" w:ascii="Times New Roman" w:hAnsi="Times New Roman" w:eastAsia="宋体" w:cs="Times New Roman"/>
                <w:spacing w:val="4"/>
                <w:sz w:val="24"/>
                <w:lang w:val="en-US" w:eastAsia="zh-CN"/>
              </w:rPr>
              <w:t>呈多边形状，东</w:t>
            </w:r>
            <w:r>
              <w:rPr>
                <w:rFonts w:hint="default" w:ascii="Times New Roman" w:hAnsi="Times New Roman" w:eastAsia="宋体" w:cs="Times New Roman"/>
                <w:spacing w:val="4"/>
                <w:sz w:val="24"/>
                <w:lang w:val="en-US" w:eastAsia="zh-CN"/>
              </w:rPr>
              <w:t>-</w:t>
            </w:r>
            <w:r>
              <w:rPr>
                <w:rFonts w:hint="eastAsia" w:ascii="Times New Roman" w:hAnsi="Times New Roman" w:eastAsia="宋体" w:cs="Times New Roman"/>
                <w:spacing w:val="4"/>
                <w:sz w:val="24"/>
                <w:lang w:val="en-US" w:eastAsia="zh-CN"/>
              </w:rPr>
              <w:t>西长约</w:t>
            </w:r>
            <w:r>
              <w:rPr>
                <w:rFonts w:hint="default" w:ascii="Times New Roman" w:hAnsi="Times New Roman" w:eastAsia="宋体" w:cs="Times New Roman"/>
                <w:spacing w:val="4"/>
                <w:sz w:val="24"/>
                <w:lang w:val="en-US" w:eastAsia="zh-CN"/>
              </w:rPr>
              <w:t>610m</w:t>
            </w:r>
            <w:r>
              <w:rPr>
                <w:rFonts w:hint="eastAsia" w:ascii="Times New Roman" w:hAnsi="Times New Roman" w:eastAsia="宋体" w:cs="Times New Roman"/>
                <w:spacing w:val="4"/>
                <w:sz w:val="24"/>
                <w:lang w:val="en-US" w:eastAsia="zh-CN"/>
              </w:rPr>
              <w:t>，南</w:t>
            </w:r>
            <w:r>
              <w:rPr>
                <w:rFonts w:hint="default" w:ascii="Times New Roman" w:hAnsi="Times New Roman" w:eastAsia="宋体" w:cs="Times New Roman"/>
                <w:spacing w:val="4"/>
                <w:sz w:val="24"/>
                <w:lang w:val="en-US" w:eastAsia="zh-CN"/>
              </w:rPr>
              <w:t>-</w:t>
            </w:r>
            <w:r>
              <w:rPr>
                <w:rFonts w:hint="eastAsia" w:ascii="Times New Roman" w:hAnsi="Times New Roman" w:eastAsia="宋体" w:cs="Times New Roman"/>
                <w:spacing w:val="4"/>
                <w:sz w:val="24"/>
                <w:lang w:val="en-US" w:eastAsia="zh-CN"/>
              </w:rPr>
              <w:t>北宽约</w:t>
            </w:r>
            <w:r>
              <w:rPr>
                <w:rFonts w:hint="default" w:ascii="Times New Roman" w:hAnsi="Times New Roman" w:eastAsia="宋体" w:cs="Times New Roman"/>
                <w:spacing w:val="4"/>
                <w:sz w:val="24"/>
                <w:lang w:val="en-US" w:eastAsia="zh-CN"/>
              </w:rPr>
              <w:t>548m</w:t>
            </w:r>
            <w:r>
              <w:rPr>
                <w:rFonts w:hint="eastAsia" w:ascii="Times New Roman" w:hAnsi="Times New Roman" w:eastAsia="宋体" w:cs="Times New Roman"/>
                <w:spacing w:val="4"/>
                <w:sz w:val="24"/>
                <w:lang w:val="en-US" w:eastAsia="zh-CN"/>
              </w:rPr>
              <w:t>，由</w:t>
            </w:r>
            <w:r>
              <w:rPr>
                <w:rFonts w:hint="default" w:ascii="Times New Roman" w:hAnsi="Times New Roman" w:eastAsia="宋体" w:cs="Times New Roman"/>
                <w:spacing w:val="4"/>
                <w:sz w:val="24"/>
                <w:lang w:val="en-US" w:eastAsia="zh-CN"/>
              </w:rPr>
              <w:t>5</w:t>
            </w:r>
            <w:r>
              <w:rPr>
                <w:rFonts w:hint="eastAsia" w:ascii="Times New Roman" w:hAnsi="Times New Roman" w:eastAsia="宋体" w:cs="Times New Roman"/>
                <w:spacing w:val="4"/>
                <w:sz w:val="24"/>
                <w:lang w:val="en-US" w:eastAsia="zh-CN"/>
              </w:rPr>
              <w:t>个拐点坐标圈定，面积约</w:t>
            </w:r>
            <w:r>
              <w:rPr>
                <w:rFonts w:hint="default" w:ascii="Times New Roman" w:hAnsi="Times New Roman" w:eastAsia="宋体" w:cs="Times New Roman"/>
                <w:spacing w:val="4"/>
                <w:sz w:val="24"/>
                <w:lang w:val="en-US" w:eastAsia="zh-CN"/>
              </w:rPr>
              <w:t>0.3188km</w:t>
            </w:r>
            <w:r>
              <w:rPr>
                <w:rFonts w:hint="default" w:ascii="Times New Roman" w:hAnsi="Times New Roman" w:eastAsia="宋体" w:cs="Times New Roman"/>
                <w:spacing w:val="4"/>
                <w:sz w:val="24"/>
                <w:vertAlign w:val="superscript"/>
                <w:lang w:val="en-US" w:eastAsia="zh-CN"/>
              </w:rPr>
              <w:t>2</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青海省同德县河北乡吾达洼建筑用砂岩矿全矿区可采储量为</w:t>
            </w:r>
            <w:r>
              <w:rPr>
                <w:rFonts w:hint="eastAsia" w:cs="Times New Roman"/>
                <w:spacing w:val="4"/>
                <w:sz w:val="24"/>
                <w:lang w:val="en-US" w:eastAsia="zh-CN"/>
              </w:rPr>
              <w:t>600</w:t>
            </w:r>
            <w:r>
              <w:rPr>
                <w:rFonts w:hint="default" w:ascii="Times New Roman" w:hAnsi="Times New Roman" w:eastAsia="宋体" w:cs="Times New Roman"/>
                <w:spacing w:val="4"/>
                <w:sz w:val="24"/>
                <w:lang w:val="en-US" w:eastAsia="zh-CN"/>
              </w:rPr>
              <w:t>万m</w:t>
            </w:r>
            <w:r>
              <w:rPr>
                <w:rFonts w:hint="default" w:ascii="Times New Roman" w:hAnsi="Times New Roman" w:eastAsia="宋体" w:cs="Times New Roman"/>
                <w:spacing w:val="4"/>
                <w:sz w:val="24"/>
                <w:vertAlign w:val="superscript"/>
                <w:lang w:val="en-US" w:eastAsia="zh-CN"/>
              </w:rPr>
              <w:t>3</w:t>
            </w:r>
            <w:r>
              <w:rPr>
                <w:rFonts w:hint="default" w:ascii="Times New Roman" w:hAnsi="Times New Roman" w:eastAsia="宋体" w:cs="Times New Roman"/>
                <w:spacing w:val="4"/>
                <w:sz w:val="24"/>
                <w:lang w:val="en-US" w:eastAsia="zh-CN"/>
              </w:rPr>
              <w:t>，</w:t>
            </w:r>
            <w:r>
              <w:rPr>
                <w:rFonts w:hint="default" w:ascii="Times New Roman" w:hAnsi="Times New Roman" w:eastAsia="宋体" w:cs="Times New Roman"/>
                <w:color w:val="0000FF"/>
                <w:spacing w:val="4"/>
                <w:sz w:val="24"/>
                <w:lang w:val="en-US" w:eastAsia="zh-CN"/>
              </w:rPr>
              <w:t>生产规模</w:t>
            </w:r>
            <w:r>
              <w:rPr>
                <w:rFonts w:hint="eastAsia" w:cs="Times New Roman"/>
                <w:color w:val="0000FF"/>
                <w:spacing w:val="4"/>
                <w:sz w:val="24"/>
                <w:lang w:val="en-US" w:eastAsia="zh-CN"/>
              </w:rPr>
              <w:t>为每年</w:t>
            </w:r>
            <w:r>
              <w:rPr>
                <w:rFonts w:hint="default" w:ascii="Times New Roman" w:hAnsi="Times New Roman" w:eastAsia="宋体" w:cs="Times New Roman"/>
                <w:color w:val="0000FF"/>
                <w:spacing w:val="4"/>
                <w:sz w:val="24"/>
                <w:lang w:val="en-US" w:eastAsia="zh-CN"/>
              </w:rPr>
              <w:t>100万m</w:t>
            </w:r>
            <w:r>
              <w:rPr>
                <w:rFonts w:hint="default" w:ascii="Times New Roman" w:hAnsi="Times New Roman" w:eastAsia="宋体" w:cs="Times New Roman"/>
                <w:color w:val="0000FF"/>
                <w:spacing w:val="4"/>
                <w:sz w:val="24"/>
                <w:vertAlign w:val="superscript"/>
                <w:lang w:val="en-US" w:eastAsia="zh-CN"/>
              </w:rPr>
              <w:t>3</w:t>
            </w:r>
            <w:r>
              <w:rPr>
                <w:rFonts w:hint="default" w:ascii="Times New Roman" w:hAnsi="Times New Roman" w:eastAsia="宋体" w:cs="Times New Roman"/>
                <w:color w:val="0000FF"/>
                <w:spacing w:val="4"/>
                <w:sz w:val="24"/>
                <w:lang w:val="en-US" w:eastAsia="zh-CN"/>
              </w:rPr>
              <w:t>，</w:t>
            </w:r>
            <w:r>
              <w:rPr>
                <w:rFonts w:hint="default" w:ascii="Times New Roman" w:hAnsi="Times New Roman" w:eastAsia="宋体" w:cs="Times New Roman"/>
                <w:spacing w:val="4"/>
                <w:sz w:val="24"/>
                <w:lang w:val="en-US" w:eastAsia="zh-CN"/>
              </w:rPr>
              <w:t>对应的服务年限为</w:t>
            </w:r>
            <w:r>
              <w:rPr>
                <w:rFonts w:hint="eastAsia" w:cs="Times New Roman"/>
                <w:spacing w:val="4"/>
                <w:sz w:val="24"/>
                <w:lang w:val="en-US" w:eastAsia="zh-CN"/>
              </w:rPr>
              <w:t>6</w:t>
            </w:r>
            <w:r>
              <w:rPr>
                <w:rFonts w:hint="default" w:ascii="Times New Roman" w:hAnsi="Times New Roman" w:eastAsia="宋体" w:cs="Times New Roman"/>
                <w:spacing w:val="4"/>
                <w:sz w:val="24"/>
                <w:lang w:val="en-US" w:eastAsia="zh-CN"/>
              </w:rPr>
              <w:t>年</w:t>
            </w:r>
            <w:r>
              <w:rPr>
                <w:rFonts w:hint="eastAsia" w:ascii="Times New Roman" w:hAnsi="Times New Roman" w:eastAsia="宋体" w:cs="Times New Roman"/>
                <w:spacing w:val="4"/>
                <w:sz w:val="24"/>
                <w:lang w:val="en-US" w:eastAsia="zh-CN"/>
              </w:rPr>
              <w:t>。</w:t>
            </w:r>
            <w:r>
              <w:rPr>
                <w:rFonts w:hint="eastAsia" w:ascii="Times New Roman" w:hAnsi="Times New Roman" w:eastAsia="宋体" w:cs="Times New Roman"/>
                <w:b w:val="0"/>
                <w:bCs w:val="0"/>
                <w:color w:val="0000FC"/>
                <w:sz w:val="24"/>
                <w:szCs w:val="24"/>
                <w:highlight w:val="none"/>
                <w:lang w:val="en-US" w:eastAsia="zh-CN"/>
              </w:rPr>
              <w:t>项目总用地面积为</w:t>
            </w:r>
            <w:r>
              <w:rPr>
                <w:rFonts w:hint="default" w:ascii="Times New Roman" w:hAnsi="Times New Roman" w:eastAsia="宋体" w:cs="Times New Roman"/>
                <w:b w:val="0"/>
                <w:bCs w:val="0"/>
                <w:color w:val="0000FC"/>
                <w:sz w:val="24"/>
                <w:szCs w:val="24"/>
                <w:highlight w:val="none"/>
                <w:lang w:val="en-US" w:eastAsia="zh-CN"/>
              </w:rPr>
              <w:t>41.</w:t>
            </w:r>
            <w:r>
              <w:rPr>
                <w:rFonts w:hint="eastAsia" w:ascii="Times New Roman" w:hAnsi="Times New Roman" w:eastAsia="宋体" w:cs="Times New Roman"/>
                <w:b w:val="0"/>
                <w:bCs w:val="0"/>
                <w:color w:val="0000FC"/>
                <w:sz w:val="24"/>
                <w:szCs w:val="24"/>
                <w:highlight w:val="none"/>
                <w:lang w:val="en-US" w:eastAsia="zh-CN"/>
              </w:rPr>
              <w:t>8796</w:t>
            </w:r>
            <w:r>
              <w:rPr>
                <w:rFonts w:hint="default" w:ascii="Times New Roman" w:hAnsi="Times New Roman" w:eastAsia="宋体" w:cs="Times New Roman"/>
                <w:b w:val="0"/>
                <w:bCs w:val="0"/>
                <w:color w:val="0000FC"/>
                <w:sz w:val="24"/>
                <w:szCs w:val="24"/>
                <w:highlight w:val="none"/>
                <w:lang w:val="en-US" w:eastAsia="zh-CN"/>
              </w:rPr>
              <w:t>hm</w:t>
            </w:r>
            <w:r>
              <w:rPr>
                <w:rFonts w:hint="default" w:ascii="Times New Roman" w:hAnsi="Times New Roman" w:eastAsia="宋体" w:cs="Times New Roman"/>
                <w:b w:val="0"/>
                <w:bCs w:val="0"/>
                <w:color w:val="0000FC"/>
                <w:sz w:val="24"/>
                <w:szCs w:val="24"/>
                <w:highlight w:val="none"/>
                <w:vertAlign w:val="superscript"/>
                <w:lang w:val="en-US" w:eastAsia="zh-CN"/>
              </w:rPr>
              <w:t>2</w:t>
            </w:r>
            <w:r>
              <w:rPr>
                <w:rFonts w:hint="eastAsia" w:ascii="Times New Roman" w:hAnsi="Times New Roman" w:eastAsia="宋体" w:cs="Times New Roman"/>
                <w:b w:val="0"/>
                <w:bCs w:val="0"/>
                <w:color w:val="0000FC"/>
                <w:sz w:val="24"/>
                <w:szCs w:val="24"/>
                <w:highlight w:val="none"/>
                <w:lang w:val="en-US" w:eastAsia="zh-CN"/>
              </w:rPr>
              <w:t>（折合</w:t>
            </w:r>
            <w:r>
              <w:rPr>
                <w:rFonts w:hint="default" w:ascii="Times New Roman" w:hAnsi="Times New Roman" w:eastAsia="宋体" w:cs="Times New Roman"/>
                <w:b w:val="0"/>
                <w:bCs w:val="0"/>
                <w:color w:val="0000FC"/>
                <w:sz w:val="24"/>
                <w:szCs w:val="24"/>
                <w:highlight w:val="none"/>
                <w:lang w:val="en-US" w:eastAsia="zh-CN"/>
              </w:rPr>
              <w:t>628.</w:t>
            </w:r>
            <w:r>
              <w:rPr>
                <w:rFonts w:hint="eastAsia" w:ascii="Times New Roman" w:hAnsi="Times New Roman" w:eastAsia="宋体" w:cs="Times New Roman"/>
                <w:b w:val="0"/>
                <w:bCs w:val="0"/>
                <w:color w:val="0000FC"/>
                <w:sz w:val="24"/>
                <w:szCs w:val="24"/>
                <w:highlight w:val="none"/>
                <w:lang w:val="en-US" w:eastAsia="zh-CN"/>
              </w:rPr>
              <w:t>194亩</w:t>
            </w:r>
            <w:r>
              <w:rPr>
                <w:rFonts w:hint="eastAsia" w:cs="Times New Roman"/>
                <w:b w:val="0"/>
                <w:bCs w:val="0"/>
                <w:color w:val="0000FC"/>
                <w:sz w:val="24"/>
                <w:szCs w:val="24"/>
                <w:highlight w:val="none"/>
                <w:lang w:val="en-US" w:eastAsia="zh-CN"/>
              </w:rPr>
              <w:t>、</w:t>
            </w:r>
            <w:r>
              <w:rPr>
                <w:rFonts w:hint="eastAsia" w:ascii="Times New Roman" w:hAnsi="Times New Roman" w:eastAsia="宋体" w:cs="Times New Roman"/>
                <w:b w:val="0"/>
                <w:bCs w:val="0"/>
                <w:color w:val="0000FC"/>
                <w:sz w:val="24"/>
                <w:szCs w:val="24"/>
                <w:highlight w:val="none"/>
                <w:lang w:val="en-US" w:eastAsia="zh-CN"/>
              </w:rPr>
              <w:t>），其中矿区面积31.88</w:t>
            </w:r>
            <w:r>
              <w:rPr>
                <w:rFonts w:hint="default" w:ascii="Times New Roman" w:hAnsi="Times New Roman" w:eastAsia="宋体" w:cs="Times New Roman"/>
                <w:b w:val="0"/>
                <w:bCs w:val="0"/>
                <w:color w:val="0000FC"/>
                <w:sz w:val="24"/>
                <w:szCs w:val="24"/>
                <w:highlight w:val="none"/>
                <w:lang w:val="en-US" w:eastAsia="zh-CN"/>
              </w:rPr>
              <w:t>hm</w:t>
            </w:r>
            <w:r>
              <w:rPr>
                <w:rFonts w:hint="default" w:ascii="Times New Roman" w:hAnsi="Times New Roman" w:eastAsia="宋体" w:cs="Times New Roman"/>
                <w:b w:val="0"/>
                <w:bCs w:val="0"/>
                <w:color w:val="0000FC"/>
                <w:sz w:val="24"/>
                <w:szCs w:val="24"/>
                <w:highlight w:val="none"/>
                <w:vertAlign w:val="superscript"/>
                <w:lang w:val="en-US" w:eastAsia="zh-CN"/>
              </w:rPr>
              <w:t>2</w:t>
            </w:r>
            <w:r>
              <w:rPr>
                <w:rFonts w:hint="eastAsia" w:ascii="Times New Roman" w:hAnsi="Times New Roman" w:eastAsia="宋体" w:cs="Times New Roman"/>
                <w:b w:val="0"/>
                <w:bCs w:val="0"/>
                <w:color w:val="0000FC"/>
                <w:sz w:val="24"/>
                <w:szCs w:val="24"/>
                <w:highlight w:val="none"/>
                <w:lang w:val="en-US" w:eastAsia="zh-CN"/>
              </w:rPr>
              <w:t>（折合</w:t>
            </w:r>
            <w:r>
              <w:rPr>
                <w:rFonts w:hint="default" w:ascii="Times New Roman" w:hAnsi="Times New Roman" w:eastAsia="宋体" w:cs="Times New Roman"/>
                <w:b w:val="0"/>
                <w:bCs w:val="0"/>
                <w:color w:val="0000FC"/>
                <w:sz w:val="24"/>
                <w:szCs w:val="24"/>
                <w:highlight w:val="none"/>
                <w:lang w:val="en-US" w:eastAsia="zh-CN"/>
              </w:rPr>
              <w:t>478.</w:t>
            </w:r>
            <w:r>
              <w:rPr>
                <w:rFonts w:hint="eastAsia" w:ascii="Times New Roman" w:hAnsi="Times New Roman" w:eastAsia="宋体" w:cs="Times New Roman"/>
                <w:b w:val="0"/>
                <w:bCs w:val="0"/>
                <w:color w:val="0000FC"/>
                <w:sz w:val="24"/>
                <w:szCs w:val="24"/>
                <w:highlight w:val="none"/>
                <w:lang w:val="en-US" w:eastAsia="zh-CN"/>
              </w:rPr>
              <w:t>2亩），本次征用的临时用地面积</w:t>
            </w:r>
            <w:r>
              <w:rPr>
                <w:rFonts w:hint="default" w:ascii="Times New Roman" w:hAnsi="Times New Roman" w:eastAsia="宋体" w:cs="Times New Roman"/>
                <w:b w:val="0"/>
                <w:bCs w:val="0"/>
                <w:color w:val="0000FC"/>
                <w:sz w:val="24"/>
                <w:szCs w:val="24"/>
                <w:highlight w:val="none"/>
                <w:lang w:val="en-US" w:eastAsia="zh-CN"/>
              </w:rPr>
              <w:t>9</w:t>
            </w:r>
            <w:r>
              <w:rPr>
                <w:rFonts w:hint="eastAsia" w:ascii="Times New Roman" w:hAnsi="Times New Roman" w:eastAsia="宋体" w:cs="Times New Roman"/>
                <w:b w:val="0"/>
                <w:bCs w:val="0"/>
                <w:color w:val="0000FC"/>
                <w:sz w:val="24"/>
                <w:szCs w:val="24"/>
                <w:highlight w:val="none"/>
                <w:lang w:val="en-US" w:eastAsia="zh-CN"/>
              </w:rPr>
              <w:t>.</w:t>
            </w:r>
            <w:r>
              <w:rPr>
                <w:rFonts w:hint="default" w:ascii="Times New Roman" w:hAnsi="Times New Roman" w:eastAsia="宋体" w:cs="Times New Roman"/>
                <w:b w:val="0"/>
                <w:bCs w:val="0"/>
                <w:color w:val="0000FC"/>
                <w:sz w:val="24"/>
                <w:szCs w:val="24"/>
                <w:highlight w:val="none"/>
                <w:lang w:val="en-US" w:eastAsia="zh-CN"/>
              </w:rPr>
              <w:t>9998hm</w:t>
            </w:r>
            <w:r>
              <w:rPr>
                <w:rFonts w:hint="default" w:ascii="Times New Roman" w:hAnsi="Times New Roman" w:eastAsia="宋体" w:cs="Times New Roman"/>
                <w:b w:val="0"/>
                <w:bCs w:val="0"/>
                <w:color w:val="0000FC"/>
                <w:sz w:val="24"/>
                <w:szCs w:val="24"/>
                <w:highlight w:val="none"/>
                <w:vertAlign w:val="superscript"/>
                <w:lang w:val="en-US" w:eastAsia="zh-CN"/>
              </w:rPr>
              <w:t>2</w:t>
            </w:r>
            <w:r>
              <w:rPr>
                <w:rFonts w:hint="eastAsia" w:ascii="Times New Roman" w:hAnsi="Times New Roman" w:eastAsia="宋体" w:cs="Times New Roman"/>
                <w:b w:val="0"/>
                <w:bCs w:val="0"/>
                <w:color w:val="0000FC"/>
                <w:sz w:val="24"/>
                <w:szCs w:val="24"/>
                <w:highlight w:val="none"/>
                <w:lang w:val="en-US" w:eastAsia="zh-CN"/>
              </w:rPr>
              <w:t>（折合</w:t>
            </w:r>
            <w:r>
              <w:rPr>
                <w:rFonts w:hint="default" w:ascii="Times New Roman" w:hAnsi="Times New Roman" w:eastAsia="宋体" w:cs="Times New Roman"/>
                <w:b w:val="0"/>
                <w:bCs w:val="0"/>
                <w:color w:val="0000FC"/>
                <w:sz w:val="24"/>
                <w:szCs w:val="24"/>
                <w:highlight w:val="none"/>
                <w:lang w:val="en-US" w:eastAsia="zh-CN"/>
              </w:rPr>
              <w:t>150.00</w:t>
            </w:r>
            <w:r>
              <w:rPr>
                <w:rFonts w:hint="eastAsia" w:ascii="Times New Roman" w:hAnsi="Times New Roman" w:eastAsia="宋体" w:cs="Times New Roman"/>
                <w:b w:val="0"/>
                <w:bCs w:val="0"/>
                <w:color w:val="0000FC"/>
                <w:sz w:val="24"/>
                <w:szCs w:val="24"/>
                <w:highlight w:val="none"/>
                <w:lang w:val="en-US" w:eastAsia="zh-CN"/>
              </w:rPr>
              <w:t>亩）。</w:t>
            </w:r>
          </w:p>
          <w:p w14:paraId="6936F1C5">
            <w:pPr>
              <w:keepNext w:val="0"/>
              <w:keepLines w:val="0"/>
              <w:widowControl/>
              <w:suppressLineNumbers w:val="0"/>
              <w:jc w:val="left"/>
              <w:rPr>
                <w:rFonts w:hint="eastAsia" w:ascii="Times New Roman" w:hAnsi="Times New Roman" w:eastAsia="宋体" w:cs="Times New Roman"/>
                <w:spacing w:val="4"/>
                <w:sz w:val="24"/>
                <w:lang w:val="en-US" w:eastAsia="zh-CN"/>
              </w:rPr>
            </w:pPr>
            <w:r>
              <w:rPr>
                <w:rFonts w:hint="eastAsia" w:ascii="Times New Roman" w:hAnsi="Times New Roman" w:eastAsia="宋体" w:cs="Times New Roman"/>
                <w:spacing w:val="4"/>
                <w:sz w:val="24"/>
                <w:lang w:val="en-US" w:eastAsia="zh-CN"/>
              </w:rPr>
              <w:t>整</w:t>
            </w:r>
            <w:r>
              <w:rPr>
                <w:rFonts w:hint="eastAsia" w:ascii="Times New Roman" w:hAnsi="Times New Roman" w:eastAsia="宋体" w:cs="Times New Roman"/>
                <w:color w:val="FF0000"/>
                <w:spacing w:val="4"/>
                <w:sz w:val="24"/>
                <w:lang w:val="en-US" w:eastAsia="zh-CN"/>
              </w:rPr>
              <w:t>个矿区内分为北部及东南部两个采区</w:t>
            </w:r>
            <w:r>
              <w:rPr>
                <w:rFonts w:hint="eastAsia" w:ascii="Times New Roman" w:hAnsi="Times New Roman" w:eastAsia="宋体" w:cs="Times New Roman"/>
                <w:spacing w:val="4"/>
                <w:sz w:val="24"/>
                <w:lang w:val="en-US" w:eastAsia="zh-CN"/>
              </w:rPr>
              <w:t>，北部采区由</w:t>
            </w:r>
            <w:r>
              <w:rPr>
                <w:rFonts w:hint="default" w:ascii="Times New Roman" w:hAnsi="Times New Roman" w:eastAsia="宋体" w:cs="Times New Roman"/>
                <w:spacing w:val="4"/>
                <w:sz w:val="24"/>
                <w:lang w:val="en-US" w:eastAsia="zh-CN"/>
              </w:rPr>
              <w:t>+4035m</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+4020m</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+4005m</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+3990m</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+3975m</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+3960m</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+3945m</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+3930m</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+3915m</w:t>
            </w:r>
            <w:r>
              <w:rPr>
                <w:rFonts w:hint="eastAsia" w:ascii="Times New Roman" w:hAnsi="Times New Roman" w:eastAsia="宋体" w:cs="Times New Roman"/>
                <w:spacing w:val="4"/>
                <w:sz w:val="24"/>
                <w:lang w:val="en-US" w:eastAsia="zh-CN"/>
              </w:rPr>
              <w:t>及</w:t>
            </w:r>
            <w:r>
              <w:rPr>
                <w:rFonts w:hint="default" w:ascii="Times New Roman" w:hAnsi="Times New Roman" w:eastAsia="宋体" w:cs="Times New Roman"/>
                <w:spacing w:val="4"/>
                <w:sz w:val="24"/>
                <w:lang w:val="en-US" w:eastAsia="zh-CN"/>
              </w:rPr>
              <w:t>3900m</w:t>
            </w:r>
            <w:r>
              <w:rPr>
                <w:rFonts w:hint="eastAsia" w:ascii="Times New Roman" w:hAnsi="Times New Roman" w:eastAsia="宋体" w:cs="Times New Roman"/>
                <w:spacing w:val="4"/>
                <w:sz w:val="24"/>
                <w:lang w:val="en-US" w:eastAsia="zh-CN"/>
              </w:rPr>
              <w:t>水平依次进行开采，东南部采区由</w:t>
            </w:r>
            <w:r>
              <w:rPr>
                <w:rFonts w:hint="default" w:ascii="Times New Roman" w:hAnsi="Times New Roman" w:eastAsia="宋体" w:cs="Times New Roman"/>
                <w:spacing w:val="4"/>
                <w:sz w:val="24"/>
                <w:lang w:val="en-US" w:eastAsia="zh-CN"/>
              </w:rPr>
              <w:t>+3945m</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+3930m</w:t>
            </w:r>
            <w:r>
              <w:rPr>
                <w:rFonts w:hint="eastAsia" w:ascii="Times New Roman" w:hAnsi="Times New Roman" w:eastAsia="宋体" w:cs="Times New Roman"/>
                <w:spacing w:val="4"/>
                <w:sz w:val="24"/>
                <w:lang w:val="en-US" w:eastAsia="zh-CN"/>
              </w:rPr>
              <w:t>、</w:t>
            </w:r>
            <w:r>
              <w:rPr>
                <w:rFonts w:hint="default" w:ascii="Times New Roman" w:hAnsi="Times New Roman" w:eastAsia="宋体" w:cs="Times New Roman"/>
                <w:spacing w:val="4"/>
                <w:sz w:val="24"/>
                <w:lang w:val="en-US" w:eastAsia="zh-CN"/>
              </w:rPr>
              <w:t>+3915m</w:t>
            </w:r>
            <w:r>
              <w:rPr>
                <w:rFonts w:hint="eastAsia" w:ascii="Times New Roman" w:hAnsi="Times New Roman" w:eastAsia="宋体" w:cs="Times New Roman"/>
                <w:spacing w:val="4"/>
                <w:sz w:val="24"/>
                <w:lang w:val="en-US" w:eastAsia="zh-CN"/>
              </w:rPr>
              <w:t>及</w:t>
            </w:r>
            <w:r>
              <w:rPr>
                <w:rFonts w:hint="default" w:ascii="Times New Roman" w:hAnsi="Times New Roman" w:eastAsia="宋体" w:cs="Times New Roman"/>
                <w:spacing w:val="4"/>
                <w:sz w:val="24"/>
                <w:lang w:val="en-US" w:eastAsia="zh-CN"/>
              </w:rPr>
              <w:t>3900m</w:t>
            </w:r>
            <w:r>
              <w:rPr>
                <w:rFonts w:hint="eastAsia" w:ascii="Times New Roman" w:hAnsi="Times New Roman" w:eastAsia="宋体" w:cs="Times New Roman"/>
                <w:spacing w:val="4"/>
                <w:sz w:val="24"/>
                <w:lang w:val="en-US" w:eastAsia="zh-CN"/>
              </w:rPr>
              <w:t>水平依次进行开采</w:t>
            </w:r>
            <w:r>
              <w:rPr>
                <w:rFonts w:hint="eastAsia" w:cs="Times New Roman"/>
                <w:spacing w:val="4"/>
                <w:sz w:val="24"/>
                <w:lang w:val="en-US" w:eastAsia="zh-CN"/>
              </w:rPr>
              <w:t>，</w:t>
            </w:r>
            <w:r>
              <w:rPr>
                <w:rFonts w:hint="eastAsia" w:ascii="Times New Roman" w:hAnsi="Times New Roman" w:eastAsia="宋体" w:cs="Times New Roman"/>
                <w:spacing w:val="4"/>
                <w:sz w:val="24"/>
                <w:lang w:val="en-US" w:eastAsia="zh-CN"/>
              </w:rPr>
              <w:t>确定本矿山工作台阶坡面角为</w:t>
            </w:r>
            <w:r>
              <w:rPr>
                <w:rFonts w:hint="default" w:ascii="Times New Roman" w:hAnsi="Times New Roman" w:eastAsia="宋体" w:cs="Times New Roman"/>
                <w:spacing w:val="4"/>
                <w:sz w:val="24"/>
                <w:lang w:val="en-US" w:eastAsia="zh-CN"/>
              </w:rPr>
              <w:t>50°</w:t>
            </w:r>
            <w:r>
              <w:rPr>
                <w:rFonts w:hint="eastAsia" w:ascii="Times New Roman" w:hAnsi="Times New Roman" w:eastAsia="宋体" w:cs="Times New Roman"/>
                <w:spacing w:val="4"/>
                <w:sz w:val="24"/>
                <w:lang w:val="en-US" w:eastAsia="zh-CN"/>
              </w:rPr>
              <w:t>，最终帮坡角为</w:t>
            </w:r>
            <w:r>
              <w:rPr>
                <w:rFonts w:hint="default" w:ascii="Times New Roman" w:hAnsi="Times New Roman" w:eastAsia="宋体" w:cs="Times New Roman"/>
                <w:spacing w:val="4"/>
                <w:sz w:val="24"/>
                <w:lang w:val="en-US" w:eastAsia="zh-CN"/>
              </w:rPr>
              <w:t>40°</w:t>
            </w:r>
            <w:r>
              <w:rPr>
                <w:rFonts w:hint="eastAsia" w:cs="Times New Roman"/>
                <w:spacing w:val="4"/>
                <w:sz w:val="24"/>
                <w:lang w:val="en-US" w:eastAsia="zh-CN"/>
              </w:rPr>
              <w:t>。</w:t>
            </w:r>
            <w:r>
              <w:rPr>
                <w:rFonts w:hint="eastAsia" w:ascii="Times New Roman" w:hAnsi="Times New Roman" w:eastAsia="宋体" w:cs="Times New Roman"/>
                <w:spacing w:val="4"/>
                <w:sz w:val="24"/>
                <w:lang w:val="en-US" w:eastAsia="zh-CN"/>
              </w:rPr>
              <w:t>最小工作平台宽度确定为</w:t>
            </w:r>
            <w:r>
              <w:rPr>
                <w:rFonts w:hint="default" w:ascii="Times New Roman" w:hAnsi="Times New Roman" w:eastAsia="宋体" w:cs="Times New Roman"/>
                <w:spacing w:val="4"/>
                <w:sz w:val="24"/>
                <w:lang w:val="en-US" w:eastAsia="zh-CN"/>
              </w:rPr>
              <w:t>30m</w:t>
            </w:r>
            <w:r>
              <w:rPr>
                <w:rFonts w:hint="eastAsia" w:ascii="Times New Roman" w:hAnsi="Times New Roman" w:eastAsia="宋体" w:cs="Times New Roman"/>
                <w:spacing w:val="4"/>
                <w:sz w:val="24"/>
                <w:lang w:val="en-US" w:eastAsia="zh-CN"/>
              </w:rPr>
              <w:t>。</w:t>
            </w:r>
          </w:p>
          <w:p w14:paraId="40F8B15A">
            <w:pPr>
              <w:keepNext w:val="0"/>
              <w:keepLines w:val="0"/>
              <w:pageBreakBefore w:val="0"/>
              <w:widowControl w:val="0"/>
              <w:suppressLineNumbers w:val="0"/>
              <w:kinsoku/>
              <w:wordWrap/>
              <w:overflowPunct/>
              <w:topLinePunct w:val="0"/>
              <w:autoSpaceDE/>
              <w:autoSpaceDN/>
              <w:bidi w:val="0"/>
              <w:jc w:val="left"/>
              <w:rPr>
                <w:rFonts w:hint="default"/>
                <w:color w:val="0000FC"/>
                <w:sz w:val="24"/>
                <w:highlight w:val="none"/>
                <w:lang w:val="en-US" w:eastAsia="zh-CN"/>
              </w:rPr>
            </w:pPr>
            <w:r>
              <w:rPr>
                <w:rFonts w:hint="eastAsia" w:ascii="宋体" w:hAnsi="宋体" w:eastAsia="宋体" w:cs="宋体"/>
                <w:color w:val="0000FC"/>
                <w:kern w:val="0"/>
                <w:sz w:val="24"/>
                <w:szCs w:val="24"/>
                <w:lang w:val="en-US" w:eastAsia="zh-CN" w:bidi="ar"/>
              </w:rPr>
              <w:t>采取“边开采、边恢复”的措施，对已终了平台及时复垦、绿化，下一台阶剥离表土用于上一台阶的植被恢复覆土，仅少量剩余表土堆放于排土场；矿山</w:t>
            </w:r>
            <w:r>
              <w:rPr>
                <w:rFonts w:hint="eastAsia" w:ascii="宋体" w:hAnsi="宋体" w:cs="宋体"/>
                <w:color w:val="0000FC"/>
                <w:kern w:val="0"/>
                <w:sz w:val="24"/>
                <w:szCs w:val="24"/>
                <w:lang w:val="en-US" w:eastAsia="zh-CN" w:bidi="ar"/>
              </w:rPr>
              <w:t>闭矿</w:t>
            </w:r>
            <w:r>
              <w:rPr>
                <w:rFonts w:hint="eastAsia" w:ascii="宋体" w:hAnsi="宋体" w:eastAsia="宋体" w:cs="宋体"/>
                <w:color w:val="0000FC"/>
                <w:kern w:val="0"/>
                <w:sz w:val="24"/>
                <w:szCs w:val="24"/>
                <w:lang w:val="en-US" w:eastAsia="zh-CN" w:bidi="ar"/>
              </w:rPr>
              <w:t>后及时进行土地复垦、植被恢复。</w:t>
            </w:r>
          </w:p>
          <w:p w14:paraId="7EFE9873">
            <w:pPr>
              <w:keepNext w:val="0"/>
              <w:keepLines w:val="0"/>
              <w:pageBreakBefore w:val="0"/>
              <w:widowControl w:val="0"/>
              <w:suppressLineNumbers w:val="0"/>
              <w:kinsoku/>
              <w:wordWrap/>
              <w:overflowPunct/>
              <w:topLinePunct w:val="0"/>
              <w:autoSpaceDE/>
              <w:autoSpaceDN/>
              <w:bidi w:val="0"/>
              <w:jc w:val="left"/>
              <w:rPr>
                <w:rFonts w:hint="eastAsia" w:ascii="Times New Roman" w:hAnsi="Times New Roman" w:eastAsia="宋体" w:cs="Times New Roman"/>
                <w:spacing w:val="4"/>
                <w:sz w:val="24"/>
                <w:lang w:val="en-US" w:eastAsia="zh-CN"/>
              </w:rPr>
            </w:pPr>
            <w:r>
              <w:rPr>
                <w:rFonts w:hint="eastAsia" w:ascii="Times New Roman" w:hAnsi="Times New Roman" w:eastAsia="宋体" w:cs="Times New Roman"/>
                <w:color w:val="FF0000"/>
                <w:spacing w:val="4"/>
                <w:sz w:val="24"/>
                <w:lang w:val="en-US" w:eastAsia="zh-CN"/>
              </w:rPr>
              <w:t>开采的矿石由上而下依次爆破后由挖掘机</w:t>
            </w:r>
            <w:r>
              <w:rPr>
                <w:rFonts w:hint="eastAsia" w:cs="Times New Roman"/>
                <w:color w:val="FF0000"/>
                <w:spacing w:val="4"/>
                <w:sz w:val="24"/>
                <w:lang w:val="en-US" w:eastAsia="zh-CN"/>
              </w:rPr>
              <w:t>采挖，</w:t>
            </w:r>
            <w:r>
              <w:rPr>
                <w:rFonts w:hint="eastAsia" w:ascii="Times New Roman" w:hAnsi="Times New Roman" w:eastAsia="宋体" w:cs="Times New Roman"/>
                <w:color w:val="FF0000"/>
                <w:spacing w:val="4"/>
                <w:sz w:val="24"/>
                <w:lang w:val="en-US" w:eastAsia="zh-CN"/>
              </w:rPr>
              <w:t>最终两个采区采挖的矿石再由挖掘机装入自卸汽车</w:t>
            </w:r>
            <w:r>
              <w:rPr>
                <w:rFonts w:hint="eastAsia" w:cs="Times New Roman"/>
                <w:color w:val="FF0000"/>
                <w:spacing w:val="4"/>
                <w:sz w:val="24"/>
                <w:lang w:val="en-US" w:eastAsia="zh-CN"/>
              </w:rPr>
              <w:t>经矿区内的运输道路</w:t>
            </w:r>
            <w:r>
              <w:rPr>
                <w:rFonts w:hint="eastAsia" w:ascii="Times New Roman" w:hAnsi="Times New Roman" w:eastAsia="宋体" w:cs="Times New Roman"/>
                <w:color w:val="FF0000"/>
                <w:spacing w:val="4"/>
                <w:sz w:val="24"/>
                <w:lang w:val="en-US" w:eastAsia="zh-CN"/>
              </w:rPr>
              <w:t>运往矿山南部生产加工区进料口进行加工；经破碎筛分后的成品石料堆放于成品堆料场，再通过自卸汽车运往各需求地</w:t>
            </w:r>
            <w:r>
              <w:rPr>
                <w:rFonts w:hint="eastAsia" w:ascii="Times New Roman" w:hAnsi="Times New Roman" w:eastAsia="宋体" w:cs="Times New Roman"/>
                <w:spacing w:val="4"/>
                <w:sz w:val="24"/>
                <w:lang w:val="en-US" w:eastAsia="zh-CN"/>
              </w:rPr>
              <w:t>。本矿山主要开采矿种为建筑用砂岩矿，矿体破碎后产品主要为0.075-4.75mm石粉、4.75-9.50mm米石、9.50-19.50mm骨料、19.50-31.50mm骨料。</w:t>
            </w:r>
          </w:p>
          <w:p w14:paraId="29959795">
            <w:pPr>
              <w:keepNext w:val="0"/>
              <w:keepLines w:val="0"/>
              <w:pageBreakBefore w:val="0"/>
              <w:widowControl w:val="0"/>
              <w:suppressLineNumbers w:val="0"/>
              <w:kinsoku/>
              <w:wordWrap/>
              <w:overflowPunct/>
              <w:topLinePunct w:val="0"/>
              <w:autoSpaceDE/>
              <w:autoSpaceDN/>
              <w:bidi w:val="0"/>
              <w:jc w:val="left"/>
              <w:rPr>
                <w:rFonts w:hint="default" w:ascii="Times New Roman" w:hAnsi="Times New Roman" w:eastAsia="宋体" w:cs="Times New Roman"/>
                <w:spacing w:val="4"/>
                <w:sz w:val="24"/>
                <w:lang w:val="en-US" w:eastAsia="zh-CN"/>
              </w:rPr>
            </w:pPr>
            <w:r>
              <w:rPr>
                <w:rFonts w:ascii="Times New Roman" w:hAnsi="Times New Roman" w:eastAsia="宋体"/>
              </w:rPr>
              <w:t>工程总投资</w:t>
            </w:r>
            <w:r>
              <w:rPr>
                <w:rFonts w:hint="eastAsia" w:ascii="Times New Roman" w:hAnsi="Times New Roman" w:eastAsia="宋体"/>
                <w:lang w:val="en-US" w:eastAsia="zh-CN"/>
              </w:rPr>
              <w:t>3518</w:t>
            </w:r>
            <w:r>
              <w:rPr>
                <w:rFonts w:ascii="Times New Roman" w:hAnsi="Times New Roman" w:eastAsia="宋体"/>
              </w:rPr>
              <w:t>万元，环保投资为</w:t>
            </w:r>
            <w:r>
              <w:rPr>
                <w:rFonts w:hint="eastAsia" w:ascii="Times New Roman" w:hAnsi="Times New Roman" w:eastAsia="宋体"/>
                <w:lang w:val="en-US" w:eastAsia="zh-CN"/>
              </w:rPr>
              <w:t>1</w:t>
            </w:r>
            <w:r>
              <w:rPr>
                <w:rFonts w:hint="eastAsia"/>
                <w:lang w:val="en-US" w:eastAsia="zh-CN"/>
              </w:rPr>
              <w:t>45</w:t>
            </w:r>
            <w:r>
              <w:rPr>
                <w:rFonts w:hint="eastAsia" w:ascii="Times New Roman" w:hAnsi="Times New Roman" w:eastAsia="宋体"/>
                <w:lang w:val="en-US" w:eastAsia="zh-CN"/>
              </w:rPr>
              <w:t>.5</w:t>
            </w:r>
            <w:r>
              <w:rPr>
                <w:rFonts w:ascii="Times New Roman" w:hAnsi="Times New Roman" w:eastAsia="宋体"/>
              </w:rPr>
              <w:t>万元，占工程总投资的</w:t>
            </w:r>
            <w:r>
              <w:rPr>
                <w:rFonts w:hint="eastAsia"/>
                <w:lang w:val="en-US" w:eastAsia="zh-CN"/>
              </w:rPr>
              <w:t>4.14</w:t>
            </w:r>
            <w:r>
              <w:rPr>
                <w:rFonts w:hint="eastAsia" w:ascii="Times New Roman" w:hAnsi="Times New Roman" w:eastAsia="宋体"/>
                <w:lang w:val="en-US" w:eastAsia="zh-CN"/>
              </w:rPr>
              <w:t>%。</w:t>
            </w:r>
          </w:p>
          <w:p w14:paraId="0F28B6CF">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spacing w:val="4"/>
                <w:sz w:val="24"/>
                <w:lang w:val="en-US" w:eastAsia="zh-CN"/>
              </w:rPr>
            </w:pPr>
            <w:r>
              <w:rPr>
                <w:spacing w:val="4"/>
                <w:sz w:val="24"/>
              </w:rPr>
              <w:t>项目组成一览表见</w:t>
            </w:r>
            <w:r>
              <w:rPr>
                <w:rFonts w:hint="eastAsia"/>
                <w:spacing w:val="4"/>
                <w:sz w:val="24"/>
                <w:lang w:val="en-US" w:eastAsia="zh-CN"/>
              </w:rPr>
              <w:t>下</w:t>
            </w:r>
            <w:r>
              <w:rPr>
                <w:spacing w:val="4"/>
                <w:sz w:val="24"/>
              </w:rPr>
              <w:t>表。</w:t>
            </w:r>
          </w:p>
          <w:p w14:paraId="79CD8393">
            <w:pPr>
              <w:pStyle w:val="5"/>
              <w:keepNext w:val="0"/>
              <w:keepLines w:val="0"/>
              <w:pageBreakBefore w:val="0"/>
              <w:widowControl w:val="0"/>
              <w:kinsoku/>
              <w:wordWrap/>
              <w:overflowPunct/>
              <w:topLinePunct w:val="0"/>
              <w:autoSpaceDE/>
              <w:autoSpaceDN/>
              <w:bidi w:val="0"/>
            </w:pPr>
            <w:r>
              <w:t>表</w:t>
            </w:r>
            <w:r>
              <w:rPr>
                <w:rFonts w:hint="eastAsia"/>
              </w:rPr>
              <w:t>2</w:t>
            </w:r>
            <w:r>
              <w:t>-</w:t>
            </w:r>
            <w:r>
              <w:rPr>
                <w:rFonts w:hint="eastAsia"/>
                <w:lang w:val="en-US" w:eastAsia="zh-CN"/>
              </w:rPr>
              <w:t xml:space="preserve">2 </w:t>
            </w:r>
            <w:r>
              <w:t xml:space="preserve"> 项目工程组成一览表</w:t>
            </w:r>
          </w:p>
          <w:tbl>
            <w:tblPr>
              <w:tblStyle w:val="24"/>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0"/>
              <w:gridCol w:w="765"/>
              <w:gridCol w:w="1577"/>
              <w:gridCol w:w="4961"/>
            </w:tblGrid>
            <w:tr w14:paraId="10B0C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10" w:type="pct"/>
                  <w:tcBorders>
                    <w:tl2br w:val="nil"/>
                    <w:tr2bl w:val="nil"/>
                  </w:tcBorders>
                  <w:noWrap w:val="0"/>
                  <w:vAlign w:val="center"/>
                </w:tcPr>
                <w:p w14:paraId="517BA2F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类别</w:t>
                  </w:r>
                </w:p>
              </w:tc>
              <w:tc>
                <w:tcPr>
                  <w:tcW w:w="470" w:type="pct"/>
                  <w:tcBorders>
                    <w:tl2br w:val="nil"/>
                    <w:tr2bl w:val="nil"/>
                  </w:tcBorders>
                  <w:noWrap w:val="0"/>
                  <w:vAlign w:val="center"/>
                </w:tcPr>
                <w:p w14:paraId="77EEDC3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名称</w:t>
                  </w:r>
                </w:p>
              </w:tc>
              <w:tc>
                <w:tcPr>
                  <w:tcW w:w="4019" w:type="pct"/>
                  <w:gridSpan w:val="2"/>
                  <w:tcBorders>
                    <w:tl2br w:val="nil"/>
                    <w:tr2bl w:val="nil"/>
                  </w:tcBorders>
                  <w:noWrap w:val="0"/>
                  <w:vAlign w:val="center"/>
                </w:tcPr>
                <w:p w14:paraId="27ED77D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建设内容及规模</w:t>
                  </w:r>
                </w:p>
              </w:tc>
            </w:tr>
            <w:tr w14:paraId="4802E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510" w:type="pct"/>
                  <w:vMerge w:val="restart"/>
                  <w:tcBorders>
                    <w:tl2br w:val="nil"/>
                    <w:tr2bl w:val="nil"/>
                  </w:tcBorders>
                  <w:noWrap w:val="0"/>
                  <w:vAlign w:val="center"/>
                </w:tcPr>
                <w:p w14:paraId="03B6289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主体工程</w:t>
                  </w:r>
                </w:p>
              </w:tc>
              <w:tc>
                <w:tcPr>
                  <w:tcW w:w="470" w:type="pct"/>
                  <w:tcBorders>
                    <w:tl2br w:val="nil"/>
                    <w:tr2bl w:val="nil"/>
                  </w:tcBorders>
                  <w:noWrap w:val="0"/>
                  <w:vAlign w:val="center"/>
                </w:tcPr>
                <w:p w14:paraId="385B8EFB">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b w:val="0"/>
                      <w:bCs/>
                      <w:color w:val="FF0000"/>
                      <w:sz w:val="21"/>
                      <w:szCs w:val="21"/>
                      <w:vertAlign w:val="baseline"/>
                      <w:lang w:val="en-US" w:eastAsia="zh-CN"/>
                    </w:rPr>
                    <w:t>露天采场</w:t>
                  </w:r>
                </w:p>
              </w:tc>
              <w:tc>
                <w:tcPr>
                  <w:tcW w:w="4019" w:type="pct"/>
                  <w:gridSpan w:val="2"/>
                  <w:tcBorders>
                    <w:tl2br w:val="nil"/>
                    <w:tr2bl w:val="nil"/>
                  </w:tcBorders>
                  <w:noWrap w:val="0"/>
                  <w:vAlign w:val="center"/>
                </w:tcPr>
                <w:p w14:paraId="07E47948">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cs="Times New Roman"/>
                      <w:b w:val="0"/>
                      <w:bCs/>
                      <w:color w:val="FF0000"/>
                      <w:sz w:val="21"/>
                      <w:szCs w:val="21"/>
                      <w:vertAlign w:val="baseline"/>
                      <w:lang w:val="en-US" w:eastAsia="zh-CN"/>
                    </w:rPr>
                  </w:pPr>
                  <w:r>
                    <w:rPr>
                      <w:rFonts w:hint="eastAsia" w:cs="Times New Roman"/>
                      <w:b w:val="0"/>
                      <w:bCs/>
                      <w:color w:val="FF0000"/>
                      <w:sz w:val="21"/>
                      <w:szCs w:val="21"/>
                      <w:vertAlign w:val="baseline"/>
                      <w:lang w:val="en-US" w:eastAsia="zh-CN"/>
                    </w:rPr>
                    <w:t>新设采矿区呈多边形状，东</w:t>
                  </w:r>
                  <w:r>
                    <w:rPr>
                      <w:rFonts w:hint="default" w:cs="Times New Roman"/>
                      <w:b w:val="0"/>
                      <w:bCs/>
                      <w:color w:val="FF0000"/>
                      <w:sz w:val="21"/>
                      <w:szCs w:val="21"/>
                      <w:vertAlign w:val="baseline"/>
                      <w:lang w:val="en-US" w:eastAsia="zh-CN"/>
                    </w:rPr>
                    <w:t>-</w:t>
                  </w:r>
                  <w:r>
                    <w:rPr>
                      <w:rFonts w:hint="eastAsia" w:cs="Times New Roman"/>
                      <w:b w:val="0"/>
                      <w:bCs/>
                      <w:color w:val="FF0000"/>
                      <w:sz w:val="21"/>
                      <w:szCs w:val="21"/>
                      <w:vertAlign w:val="baseline"/>
                      <w:lang w:val="en-US" w:eastAsia="zh-CN"/>
                    </w:rPr>
                    <w:t>西长约</w:t>
                  </w:r>
                  <w:r>
                    <w:rPr>
                      <w:rFonts w:hint="default" w:cs="Times New Roman"/>
                      <w:b w:val="0"/>
                      <w:bCs/>
                      <w:color w:val="FF0000"/>
                      <w:sz w:val="21"/>
                      <w:szCs w:val="21"/>
                      <w:vertAlign w:val="baseline"/>
                      <w:lang w:val="en-US" w:eastAsia="zh-CN"/>
                    </w:rPr>
                    <w:t>610m</w:t>
                  </w:r>
                  <w:r>
                    <w:rPr>
                      <w:rFonts w:hint="eastAsia" w:cs="Times New Roman"/>
                      <w:b w:val="0"/>
                      <w:bCs/>
                      <w:color w:val="FF0000"/>
                      <w:sz w:val="21"/>
                      <w:szCs w:val="21"/>
                      <w:vertAlign w:val="baseline"/>
                      <w:lang w:val="en-US" w:eastAsia="zh-CN"/>
                    </w:rPr>
                    <w:t>，南</w:t>
                  </w:r>
                  <w:r>
                    <w:rPr>
                      <w:rFonts w:hint="default" w:cs="Times New Roman"/>
                      <w:b w:val="0"/>
                      <w:bCs/>
                      <w:color w:val="FF0000"/>
                      <w:sz w:val="21"/>
                      <w:szCs w:val="21"/>
                      <w:vertAlign w:val="baseline"/>
                      <w:lang w:val="en-US" w:eastAsia="zh-CN"/>
                    </w:rPr>
                    <w:t>-</w:t>
                  </w:r>
                  <w:r>
                    <w:rPr>
                      <w:rFonts w:hint="eastAsia" w:cs="Times New Roman"/>
                      <w:b w:val="0"/>
                      <w:bCs/>
                      <w:color w:val="FF0000"/>
                      <w:sz w:val="21"/>
                      <w:szCs w:val="21"/>
                      <w:vertAlign w:val="baseline"/>
                      <w:lang w:val="en-US" w:eastAsia="zh-CN"/>
                    </w:rPr>
                    <w:t>北宽约</w:t>
                  </w:r>
                  <w:r>
                    <w:rPr>
                      <w:rFonts w:hint="default" w:cs="Times New Roman"/>
                      <w:b w:val="0"/>
                      <w:bCs/>
                      <w:color w:val="FF0000"/>
                      <w:sz w:val="21"/>
                      <w:szCs w:val="21"/>
                      <w:vertAlign w:val="baseline"/>
                      <w:lang w:val="en-US" w:eastAsia="zh-CN"/>
                    </w:rPr>
                    <w:t>548m</w:t>
                  </w:r>
                  <w:r>
                    <w:rPr>
                      <w:rFonts w:hint="eastAsia" w:cs="Times New Roman"/>
                      <w:b w:val="0"/>
                      <w:bCs/>
                      <w:color w:val="FF0000"/>
                      <w:sz w:val="21"/>
                      <w:szCs w:val="21"/>
                      <w:vertAlign w:val="baseline"/>
                      <w:lang w:val="en-US" w:eastAsia="zh-CN"/>
                    </w:rPr>
                    <w:t>，由</w:t>
                  </w:r>
                  <w:r>
                    <w:rPr>
                      <w:rFonts w:hint="default" w:cs="Times New Roman"/>
                      <w:b w:val="0"/>
                      <w:bCs/>
                      <w:color w:val="FF0000"/>
                      <w:sz w:val="21"/>
                      <w:szCs w:val="21"/>
                      <w:vertAlign w:val="baseline"/>
                      <w:lang w:val="en-US" w:eastAsia="zh-CN"/>
                    </w:rPr>
                    <w:t>5</w:t>
                  </w:r>
                  <w:r>
                    <w:rPr>
                      <w:rFonts w:hint="eastAsia" w:cs="Times New Roman"/>
                      <w:b w:val="0"/>
                      <w:bCs/>
                      <w:color w:val="FF0000"/>
                      <w:sz w:val="21"/>
                      <w:szCs w:val="21"/>
                      <w:vertAlign w:val="baseline"/>
                      <w:lang w:val="en-US" w:eastAsia="zh-CN"/>
                    </w:rPr>
                    <w:t>个拐点坐标圈定，面积约</w:t>
                  </w:r>
                  <w:r>
                    <w:rPr>
                      <w:rFonts w:hint="default" w:cs="Times New Roman"/>
                      <w:b w:val="0"/>
                      <w:bCs/>
                      <w:color w:val="FF0000"/>
                      <w:sz w:val="21"/>
                      <w:szCs w:val="21"/>
                      <w:vertAlign w:val="baseline"/>
                      <w:lang w:val="en-US" w:eastAsia="zh-CN"/>
                    </w:rPr>
                    <w:t>0.3188km2</w:t>
                  </w:r>
                  <w:r>
                    <w:rPr>
                      <w:rFonts w:hint="eastAsia" w:cs="Times New Roman"/>
                      <w:b w:val="0"/>
                      <w:bCs/>
                      <w:color w:val="FF0000"/>
                      <w:sz w:val="21"/>
                      <w:szCs w:val="21"/>
                      <w:vertAlign w:val="baseline"/>
                      <w:lang w:val="en-US" w:eastAsia="zh-CN"/>
                    </w:rPr>
                    <w:t>。整个矿区内采区分为北部及东南部两个开采面，</w:t>
                  </w:r>
                  <w:r>
                    <w:rPr>
                      <w:rFonts w:hint="eastAsia" w:cs="Times New Roman"/>
                      <w:b w:val="0"/>
                      <w:bCs/>
                      <w:color w:val="0000FF"/>
                      <w:sz w:val="21"/>
                      <w:szCs w:val="21"/>
                      <w:vertAlign w:val="baseline"/>
                      <w:lang w:val="en-US" w:eastAsia="zh-CN"/>
                    </w:rPr>
                    <w:t>两个开采区同时作业开采</w:t>
                  </w:r>
                  <w:r>
                    <w:rPr>
                      <w:rFonts w:hint="default" w:cs="Times New Roman"/>
                      <w:b w:val="0"/>
                      <w:bCs/>
                      <w:color w:val="0000FF"/>
                      <w:sz w:val="21"/>
                      <w:szCs w:val="21"/>
                      <w:vertAlign w:val="baseline"/>
                      <w:lang w:val="en-US" w:eastAsia="zh-CN"/>
                    </w:rPr>
                    <w:t>规模</w:t>
                  </w:r>
                  <w:r>
                    <w:rPr>
                      <w:rFonts w:hint="eastAsia" w:cs="Times New Roman"/>
                      <w:b w:val="0"/>
                      <w:bCs/>
                      <w:color w:val="0000FF"/>
                      <w:sz w:val="21"/>
                      <w:szCs w:val="21"/>
                      <w:vertAlign w:val="baseline"/>
                      <w:lang w:val="en-US" w:eastAsia="zh-CN"/>
                    </w:rPr>
                    <w:t>为每年</w:t>
                  </w:r>
                  <w:r>
                    <w:rPr>
                      <w:rFonts w:hint="default" w:cs="Times New Roman"/>
                      <w:b w:val="0"/>
                      <w:bCs/>
                      <w:color w:val="0000FF"/>
                      <w:sz w:val="21"/>
                      <w:szCs w:val="21"/>
                      <w:vertAlign w:val="baseline"/>
                      <w:lang w:val="en-US" w:eastAsia="zh-CN"/>
                    </w:rPr>
                    <w:t>100万m</w:t>
                  </w:r>
                  <w:r>
                    <w:rPr>
                      <w:rFonts w:hint="default" w:cs="Times New Roman"/>
                      <w:b w:val="0"/>
                      <w:bCs/>
                      <w:color w:val="0000FF"/>
                      <w:sz w:val="21"/>
                      <w:szCs w:val="21"/>
                      <w:vertAlign w:val="superscript"/>
                      <w:lang w:val="en-US" w:eastAsia="zh-CN"/>
                    </w:rPr>
                    <w:t>3</w:t>
                  </w:r>
                  <w:r>
                    <w:rPr>
                      <w:rFonts w:hint="eastAsia" w:cs="Times New Roman"/>
                      <w:b w:val="0"/>
                      <w:bCs/>
                      <w:color w:val="0000FF"/>
                      <w:sz w:val="21"/>
                      <w:szCs w:val="21"/>
                      <w:vertAlign w:val="baseline"/>
                      <w:lang w:val="en-US" w:eastAsia="zh-CN"/>
                    </w:rPr>
                    <w:t>，开采顺序为北部采区由</w:t>
                  </w:r>
                  <w:r>
                    <w:rPr>
                      <w:rFonts w:hint="default" w:cs="Times New Roman"/>
                      <w:b w:val="0"/>
                      <w:bCs/>
                      <w:color w:val="0000FF"/>
                      <w:sz w:val="21"/>
                      <w:szCs w:val="21"/>
                      <w:vertAlign w:val="baseline"/>
                      <w:lang w:val="en-US" w:eastAsia="zh-CN"/>
                    </w:rPr>
                    <w:t>+4035m</w:t>
                  </w:r>
                  <w:r>
                    <w:rPr>
                      <w:rFonts w:hint="eastAsia" w:cs="Times New Roman"/>
                      <w:b w:val="0"/>
                      <w:bCs/>
                      <w:color w:val="0000FF"/>
                      <w:sz w:val="21"/>
                      <w:szCs w:val="21"/>
                      <w:vertAlign w:val="baseline"/>
                      <w:lang w:val="en-US" w:eastAsia="zh-CN"/>
                    </w:rPr>
                    <w:t>、</w:t>
                  </w:r>
                  <w:r>
                    <w:rPr>
                      <w:rFonts w:hint="default" w:cs="Times New Roman"/>
                      <w:b w:val="0"/>
                      <w:bCs/>
                      <w:color w:val="0000FF"/>
                      <w:sz w:val="21"/>
                      <w:szCs w:val="21"/>
                      <w:vertAlign w:val="baseline"/>
                      <w:lang w:val="en-US" w:eastAsia="zh-CN"/>
                    </w:rPr>
                    <w:t>+4020m</w:t>
                  </w:r>
                  <w:r>
                    <w:rPr>
                      <w:rFonts w:hint="eastAsia" w:cs="Times New Roman"/>
                      <w:b w:val="0"/>
                      <w:bCs/>
                      <w:color w:val="0000FF"/>
                      <w:sz w:val="21"/>
                      <w:szCs w:val="21"/>
                      <w:vertAlign w:val="baseline"/>
                      <w:lang w:val="en-US" w:eastAsia="zh-CN"/>
                    </w:rPr>
                    <w:t>、</w:t>
                  </w:r>
                  <w:r>
                    <w:rPr>
                      <w:rFonts w:hint="default" w:cs="Times New Roman"/>
                      <w:b w:val="0"/>
                      <w:bCs/>
                      <w:color w:val="0000FF"/>
                      <w:sz w:val="21"/>
                      <w:szCs w:val="21"/>
                      <w:vertAlign w:val="baseline"/>
                      <w:lang w:val="en-US" w:eastAsia="zh-CN"/>
                    </w:rPr>
                    <w:t>+4005m</w:t>
                  </w:r>
                  <w:r>
                    <w:rPr>
                      <w:rFonts w:hint="eastAsia" w:cs="Times New Roman"/>
                      <w:b w:val="0"/>
                      <w:bCs/>
                      <w:color w:val="0000FF"/>
                      <w:sz w:val="21"/>
                      <w:szCs w:val="21"/>
                      <w:vertAlign w:val="baseline"/>
                      <w:lang w:val="en-US" w:eastAsia="zh-CN"/>
                    </w:rPr>
                    <w:t>、</w:t>
                  </w:r>
                  <w:r>
                    <w:rPr>
                      <w:rFonts w:hint="default" w:cs="Times New Roman"/>
                      <w:b w:val="0"/>
                      <w:bCs/>
                      <w:color w:val="0000FF"/>
                      <w:sz w:val="21"/>
                      <w:szCs w:val="21"/>
                      <w:vertAlign w:val="baseline"/>
                      <w:lang w:val="en-US" w:eastAsia="zh-CN"/>
                    </w:rPr>
                    <w:t>+3990m</w:t>
                  </w:r>
                  <w:r>
                    <w:rPr>
                      <w:rFonts w:hint="eastAsia" w:cs="Times New Roman"/>
                      <w:b w:val="0"/>
                      <w:bCs/>
                      <w:color w:val="0000FF"/>
                      <w:sz w:val="21"/>
                      <w:szCs w:val="21"/>
                      <w:vertAlign w:val="baseline"/>
                      <w:lang w:val="en-US" w:eastAsia="zh-CN"/>
                    </w:rPr>
                    <w:t>、</w:t>
                  </w:r>
                  <w:r>
                    <w:rPr>
                      <w:rFonts w:hint="default" w:cs="Times New Roman"/>
                      <w:b w:val="0"/>
                      <w:bCs/>
                      <w:color w:val="0000FF"/>
                      <w:sz w:val="21"/>
                      <w:szCs w:val="21"/>
                      <w:vertAlign w:val="baseline"/>
                      <w:lang w:val="en-US" w:eastAsia="zh-CN"/>
                    </w:rPr>
                    <w:t>+3975m</w:t>
                  </w:r>
                  <w:r>
                    <w:rPr>
                      <w:rFonts w:hint="eastAsia" w:cs="Times New Roman"/>
                      <w:b w:val="0"/>
                      <w:bCs/>
                      <w:color w:val="0000FF"/>
                      <w:sz w:val="21"/>
                      <w:szCs w:val="21"/>
                      <w:vertAlign w:val="baseline"/>
                      <w:lang w:val="en-US" w:eastAsia="zh-CN"/>
                    </w:rPr>
                    <w:t>、</w:t>
                  </w:r>
                  <w:r>
                    <w:rPr>
                      <w:rFonts w:hint="default" w:cs="Times New Roman"/>
                      <w:b w:val="0"/>
                      <w:bCs/>
                      <w:color w:val="0000FF"/>
                      <w:sz w:val="21"/>
                      <w:szCs w:val="21"/>
                      <w:vertAlign w:val="baseline"/>
                      <w:lang w:val="en-US" w:eastAsia="zh-CN"/>
                    </w:rPr>
                    <w:t>+3960m</w:t>
                  </w:r>
                  <w:r>
                    <w:rPr>
                      <w:rFonts w:hint="eastAsia" w:cs="Times New Roman"/>
                      <w:b w:val="0"/>
                      <w:bCs/>
                      <w:color w:val="0000FF"/>
                      <w:sz w:val="21"/>
                      <w:szCs w:val="21"/>
                      <w:vertAlign w:val="baseline"/>
                      <w:lang w:val="en-US" w:eastAsia="zh-CN"/>
                    </w:rPr>
                    <w:t>、</w:t>
                  </w:r>
                  <w:r>
                    <w:rPr>
                      <w:rFonts w:hint="default" w:cs="Times New Roman"/>
                      <w:b w:val="0"/>
                      <w:bCs/>
                      <w:color w:val="0000FF"/>
                      <w:sz w:val="21"/>
                      <w:szCs w:val="21"/>
                      <w:vertAlign w:val="baseline"/>
                      <w:lang w:val="en-US" w:eastAsia="zh-CN"/>
                    </w:rPr>
                    <w:t>+3945m</w:t>
                  </w:r>
                  <w:r>
                    <w:rPr>
                      <w:rFonts w:hint="eastAsia" w:cs="Times New Roman"/>
                      <w:b w:val="0"/>
                      <w:bCs/>
                      <w:color w:val="0000FF"/>
                      <w:sz w:val="21"/>
                      <w:szCs w:val="21"/>
                      <w:vertAlign w:val="baseline"/>
                      <w:lang w:val="en-US" w:eastAsia="zh-CN"/>
                    </w:rPr>
                    <w:t>、</w:t>
                  </w:r>
                  <w:r>
                    <w:rPr>
                      <w:rFonts w:hint="default" w:cs="Times New Roman"/>
                      <w:b w:val="0"/>
                      <w:bCs/>
                      <w:color w:val="0000FF"/>
                      <w:sz w:val="21"/>
                      <w:szCs w:val="21"/>
                      <w:vertAlign w:val="baseline"/>
                      <w:lang w:val="en-US" w:eastAsia="zh-CN"/>
                    </w:rPr>
                    <w:t>+3930m</w:t>
                  </w:r>
                  <w:r>
                    <w:rPr>
                      <w:rFonts w:hint="eastAsia" w:cs="Times New Roman"/>
                      <w:b w:val="0"/>
                      <w:bCs/>
                      <w:color w:val="0000FF"/>
                      <w:sz w:val="21"/>
                      <w:szCs w:val="21"/>
                      <w:vertAlign w:val="baseline"/>
                      <w:lang w:val="en-US" w:eastAsia="zh-CN"/>
                    </w:rPr>
                    <w:t>、</w:t>
                  </w:r>
                  <w:r>
                    <w:rPr>
                      <w:rFonts w:hint="default" w:cs="Times New Roman"/>
                      <w:b w:val="0"/>
                      <w:bCs/>
                      <w:color w:val="0000FF"/>
                      <w:sz w:val="21"/>
                      <w:szCs w:val="21"/>
                      <w:vertAlign w:val="baseline"/>
                      <w:lang w:val="en-US" w:eastAsia="zh-CN"/>
                    </w:rPr>
                    <w:t>+3915m</w:t>
                  </w:r>
                  <w:r>
                    <w:rPr>
                      <w:rFonts w:hint="eastAsia" w:cs="Times New Roman"/>
                      <w:b w:val="0"/>
                      <w:bCs/>
                      <w:color w:val="0000FF"/>
                      <w:sz w:val="21"/>
                      <w:szCs w:val="21"/>
                      <w:vertAlign w:val="baseline"/>
                      <w:lang w:val="en-US" w:eastAsia="zh-CN"/>
                    </w:rPr>
                    <w:t>及</w:t>
                  </w:r>
                  <w:r>
                    <w:rPr>
                      <w:rFonts w:hint="default" w:cs="Times New Roman"/>
                      <w:b w:val="0"/>
                      <w:bCs/>
                      <w:color w:val="0000FF"/>
                      <w:sz w:val="21"/>
                      <w:szCs w:val="21"/>
                      <w:vertAlign w:val="baseline"/>
                      <w:lang w:val="en-US" w:eastAsia="zh-CN"/>
                    </w:rPr>
                    <w:t>3900m</w:t>
                  </w:r>
                  <w:r>
                    <w:rPr>
                      <w:rFonts w:hint="eastAsia" w:cs="Times New Roman"/>
                      <w:b w:val="0"/>
                      <w:bCs/>
                      <w:color w:val="0000FF"/>
                      <w:sz w:val="21"/>
                      <w:szCs w:val="21"/>
                      <w:vertAlign w:val="baseline"/>
                      <w:lang w:val="en-US" w:eastAsia="zh-CN"/>
                    </w:rPr>
                    <w:t>水平依次进行开采，东南部采区再由</w:t>
                  </w:r>
                  <w:r>
                    <w:rPr>
                      <w:rFonts w:hint="default" w:cs="Times New Roman"/>
                      <w:b w:val="0"/>
                      <w:bCs/>
                      <w:color w:val="0000FF"/>
                      <w:sz w:val="21"/>
                      <w:szCs w:val="21"/>
                      <w:vertAlign w:val="baseline"/>
                      <w:lang w:val="en-US" w:eastAsia="zh-CN"/>
                    </w:rPr>
                    <w:t>+3945m</w:t>
                  </w:r>
                  <w:r>
                    <w:rPr>
                      <w:rFonts w:hint="eastAsia" w:cs="Times New Roman"/>
                      <w:b w:val="0"/>
                      <w:bCs/>
                      <w:color w:val="0000FF"/>
                      <w:sz w:val="21"/>
                      <w:szCs w:val="21"/>
                      <w:vertAlign w:val="baseline"/>
                      <w:lang w:val="en-US" w:eastAsia="zh-CN"/>
                    </w:rPr>
                    <w:t>、</w:t>
                  </w:r>
                  <w:r>
                    <w:rPr>
                      <w:rFonts w:hint="default" w:cs="Times New Roman"/>
                      <w:b w:val="0"/>
                      <w:bCs/>
                      <w:color w:val="0000FF"/>
                      <w:sz w:val="21"/>
                      <w:szCs w:val="21"/>
                      <w:vertAlign w:val="baseline"/>
                      <w:lang w:val="en-US" w:eastAsia="zh-CN"/>
                    </w:rPr>
                    <w:t>+3930m</w:t>
                  </w:r>
                  <w:r>
                    <w:rPr>
                      <w:rFonts w:hint="eastAsia" w:cs="Times New Roman"/>
                      <w:b w:val="0"/>
                      <w:bCs/>
                      <w:color w:val="0000FF"/>
                      <w:sz w:val="21"/>
                      <w:szCs w:val="21"/>
                      <w:vertAlign w:val="baseline"/>
                      <w:lang w:val="en-US" w:eastAsia="zh-CN"/>
                    </w:rPr>
                    <w:t>、</w:t>
                  </w:r>
                  <w:r>
                    <w:rPr>
                      <w:rFonts w:hint="default" w:cs="Times New Roman"/>
                      <w:b w:val="0"/>
                      <w:bCs/>
                      <w:color w:val="0000FF"/>
                      <w:sz w:val="21"/>
                      <w:szCs w:val="21"/>
                      <w:vertAlign w:val="baseline"/>
                      <w:lang w:val="en-US" w:eastAsia="zh-CN"/>
                    </w:rPr>
                    <w:t>+3915m</w:t>
                  </w:r>
                  <w:r>
                    <w:rPr>
                      <w:rFonts w:hint="eastAsia" w:cs="Times New Roman"/>
                      <w:b w:val="0"/>
                      <w:bCs/>
                      <w:color w:val="0000FF"/>
                      <w:sz w:val="21"/>
                      <w:szCs w:val="21"/>
                      <w:vertAlign w:val="baseline"/>
                      <w:lang w:val="en-US" w:eastAsia="zh-CN"/>
                    </w:rPr>
                    <w:t>及</w:t>
                  </w:r>
                  <w:r>
                    <w:rPr>
                      <w:rFonts w:hint="default" w:cs="Times New Roman"/>
                      <w:b w:val="0"/>
                      <w:bCs/>
                      <w:color w:val="0000FF"/>
                      <w:sz w:val="21"/>
                      <w:szCs w:val="21"/>
                      <w:vertAlign w:val="baseline"/>
                      <w:lang w:val="en-US" w:eastAsia="zh-CN"/>
                    </w:rPr>
                    <w:t>3900m</w:t>
                  </w:r>
                  <w:r>
                    <w:rPr>
                      <w:rFonts w:hint="eastAsia" w:cs="Times New Roman"/>
                      <w:b w:val="0"/>
                      <w:bCs/>
                      <w:color w:val="0000FF"/>
                      <w:sz w:val="21"/>
                      <w:szCs w:val="21"/>
                      <w:vertAlign w:val="baseline"/>
                      <w:lang w:val="en-US" w:eastAsia="zh-CN"/>
                    </w:rPr>
                    <w:t>水平依次进行开采，开采时间由于诸多不可控因素由现场实际生产情况而定</w:t>
                  </w:r>
                </w:p>
              </w:tc>
            </w:tr>
            <w:tr w14:paraId="5297F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510" w:type="pct"/>
                  <w:vMerge w:val="continue"/>
                  <w:tcBorders>
                    <w:tl2br w:val="nil"/>
                    <w:tr2bl w:val="nil"/>
                  </w:tcBorders>
                  <w:noWrap w:val="0"/>
                  <w:vAlign w:val="center"/>
                </w:tcPr>
                <w:p w14:paraId="7C4C3CA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tcBorders>
                    <w:tl2br w:val="nil"/>
                    <w:tr2bl w:val="nil"/>
                  </w:tcBorders>
                  <w:noWrap w:val="0"/>
                  <w:vAlign w:val="center"/>
                </w:tcPr>
                <w:p w14:paraId="5F064F06">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加工区</w:t>
                  </w:r>
                </w:p>
              </w:tc>
              <w:tc>
                <w:tcPr>
                  <w:tcW w:w="4019" w:type="pct"/>
                  <w:gridSpan w:val="2"/>
                  <w:tcBorders>
                    <w:tl2br w:val="nil"/>
                    <w:tr2bl w:val="nil"/>
                  </w:tcBorders>
                  <w:noWrap w:val="0"/>
                  <w:vAlign w:val="center"/>
                </w:tcPr>
                <w:p w14:paraId="57ECE490">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设于矿区南部平缓地带，</w:t>
                  </w:r>
                  <w:r>
                    <w:rPr>
                      <w:rFonts w:hint="eastAsia" w:cs="Times New Roman"/>
                      <w:b w:val="0"/>
                      <w:bCs/>
                      <w:sz w:val="21"/>
                      <w:szCs w:val="21"/>
                      <w:vertAlign w:val="baseline"/>
                      <w:lang w:val="en-US" w:eastAsia="zh-CN"/>
                    </w:rPr>
                    <w:t>生产加工区</w:t>
                  </w:r>
                  <w:r>
                    <w:rPr>
                      <w:rFonts w:hint="eastAsia" w:ascii="Times New Roman" w:hAnsi="Times New Roman" w:eastAsia="宋体" w:cs="Times New Roman"/>
                      <w:b w:val="0"/>
                      <w:bCs/>
                      <w:sz w:val="21"/>
                      <w:szCs w:val="21"/>
                      <w:vertAlign w:val="baseline"/>
                      <w:lang w:val="en-US" w:eastAsia="zh-CN"/>
                    </w:rPr>
                    <w:t>总占地面积约</w:t>
                  </w:r>
                  <w:r>
                    <w:rPr>
                      <w:rFonts w:hint="default" w:ascii="Times New Roman" w:hAnsi="Times New Roman" w:eastAsia="宋体" w:cs="Times New Roman"/>
                      <w:b w:val="0"/>
                      <w:bCs/>
                      <w:sz w:val="21"/>
                      <w:szCs w:val="21"/>
                      <w:vertAlign w:val="baseline"/>
                      <w:lang w:val="en-US" w:eastAsia="zh-CN"/>
                    </w:rPr>
                    <w:t>18691m</w:t>
                  </w:r>
                  <w:r>
                    <w:rPr>
                      <w:rFonts w:hint="default" w:ascii="Times New Roman" w:hAnsi="Times New Roman" w:eastAsia="宋体" w:cs="Times New Roman"/>
                      <w:b w:val="0"/>
                      <w:bCs/>
                      <w:sz w:val="21"/>
                      <w:szCs w:val="21"/>
                      <w:vertAlign w:val="superscript"/>
                      <w:lang w:val="en-US" w:eastAsia="zh-CN"/>
                    </w:rPr>
                    <w:t>2</w:t>
                  </w:r>
                  <w:r>
                    <w:rPr>
                      <w:rFonts w:hint="eastAsia" w:ascii="Times New Roman" w:hAnsi="Times New Roman" w:eastAsia="宋体" w:cs="Times New Roman"/>
                      <w:b w:val="0"/>
                      <w:bCs/>
                      <w:sz w:val="21"/>
                      <w:szCs w:val="21"/>
                      <w:vertAlign w:val="baseline"/>
                      <w:lang w:val="en-US" w:eastAsia="zh-CN"/>
                    </w:rPr>
                    <w:t>，</w:t>
                  </w:r>
                  <w:r>
                    <w:rPr>
                      <w:rFonts w:hint="eastAsia" w:ascii="Times New Roman" w:hAnsi="Times New Roman" w:eastAsia="宋体" w:cs="Times New Roman"/>
                      <w:b w:val="0"/>
                      <w:bCs/>
                      <w:color w:val="FF0000"/>
                      <w:sz w:val="21"/>
                      <w:szCs w:val="21"/>
                      <w:highlight w:val="none"/>
                      <w:vertAlign w:val="baseline"/>
                      <w:lang w:val="en-US" w:eastAsia="zh-CN"/>
                    </w:rPr>
                    <w:t>设置</w:t>
                  </w:r>
                  <w:r>
                    <w:rPr>
                      <w:rFonts w:hint="eastAsia" w:cs="Times New Roman"/>
                      <w:b w:val="0"/>
                      <w:bCs/>
                      <w:color w:val="FF0000"/>
                      <w:sz w:val="21"/>
                      <w:szCs w:val="21"/>
                      <w:highlight w:val="none"/>
                      <w:vertAlign w:val="baseline"/>
                      <w:lang w:val="en-US" w:eastAsia="zh-CN"/>
                    </w:rPr>
                    <w:t>封闭式生产车间</w:t>
                  </w:r>
                  <w:r>
                    <w:rPr>
                      <w:rFonts w:hint="eastAsia" w:cs="Times New Roman"/>
                      <w:b w:val="0"/>
                      <w:bCs/>
                      <w:color w:val="0000FF"/>
                      <w:sz w:val="21"/>
                      <w:szCs w:val="21"/>
                      <w:highlight w:val="none"/>
                      <w:vertAlign w:val="baseline"/>
                      <w:lang w:val="en-US" w:eastAsia="zh-CN"/>
                    </w:rPr>
                    <w:t>（矿区开采破碎后的原料直接通过自卸汽车拉运至生产车间，不进行堆存）</w:t>
                  </w:r>
                  <w:r>
                    <w:rPr>
                      <w:rFonts w:hint="eastAsia" w:cs="Times New Roman"/>
                      <w:b w:val="0"/>
                      <w:bCs/>
                      <w:color w:val="FF0000"/>
                      <w:sz w:val="21"/>
                      <w:szCs w:val="21"/>
                      <w:highlight w:val="none"/>
                      <w:vertAlign w:val="baseline"/>
                      <w:lang w:val="en-US" w:eastAsia="zh-CN"/>
                    </w:rPr>
                    <w:t>建筑面积2460</w:t>
                  </w:r>
                  <w:r>
                    <w:rPr>
                      <w:rFonts w:hint="default" w:ascii="Times New Roman" w:hAnsi="Times New Roman" w:eastAsia="宋体" w:cs="Times New Roman"/>
                      <w:b w:val="0"/>
                      <w:bCs/>
                      <w:color w:val="FF0000"/>
                      <w:sz w:val="21"/>
                      <w:szCs w:val="21"/>
                      <w:vertAlign w:val="baseline"/>
                      <w:lang w:val="en-US" w:eastAsia="zh-CN"/>
                    </w:rPr>
                    <w:t>m</w:t>
                  </w:r>
                  <w:r>
                    <w:rPr>
                      <w:rFonts w:hint="default" w:ascii="Times New Roman" w:hAnsi="Times New Roman" w:eastAsia="宋体" w:cs="Times New Roman"/>
                      <w:b w:val="0"/>
                      <w:bCs/>
                      <w:color w:val="FF0000"/>
                      <w:sz w:val="21"/>
                      <w:szCs w:val="21"/>
                      <w:vertAlign w:val="superscript"/>
                      <w:lang w:val="en-US" w:eastAsia="zh-CN"/>
                    </w:rPr>
                    <w:t>2</w:t>
                  </w:r>
                  <w:r>
                    <w:rPr>
                      <w:rFonts w:hint="eastAsia" w:cs="Times New Roman"/>
                      <w:b w:val="0"/>
                      <w:bCs/>
                      <w:color w:val="FF0000"/>
                      <w:sz w:val="21"/>
                      <w:szCs w:val="21"/>
                      <w:highlight w:val="none"/>
                      <w:vertAlign w:val="baseline"/>
                      <w:lang w:val="en-US" w:eastAsia="zh-CN"/>
                    </w:rPr>
                    <w:t>（长宽30m*82m）、封闭式破碎车间建筑面积360</w:t>
                  </w:r>
                  <w:r>
                    <w:rPr>
                      <w:rFonts w:hint="default" w:ascii="Times New Roman" w:hAnsi="Times New Roman" w:eastAsia="宋体" w:cs="Times New Roman"/>
                      <w:b w:val="0"/>
                      <w:bCs/>
                      <w:color w:val="FF0000"/>
                      <w:sz w:val="21"/>
                      <w:szCs w:val="21"/>
                      <w:vertAlign w:val="baseline"/>
                      <w:lang w:val="en-US" w:eastAsia="zh-CN"/>
                    </w:rPr>
                    <w:t>m</w:t>
                  </w:r>
                  <w:r>
                    <w:rPr>
                      <w:rFonts w:hint="default" w:ascii="Times New Roman" w:hAnsi="Times New Roman" w:eastAsia="宋体" w:cs="Times New Roman"/>
                      <w:b w:val="0"/>
                      <w:bCs/>
                      <w:color w:val="FF0000"/>
                      <w:sz w:val="21"/>
                      <w:szCs w:val="21"/>
                      <w:vertAlign w:val="superscript"/>
                      <w:lang w:val="en-US" w:eastAsia="zh-CN"/>
                    </w:rPr>
                    <w:t>2</w:t>
                  </w:r>
                  <w:r>
                    <w:rPr>
                      <w:rFonts w:hint="eastAsia" w:cs="Times New Roman"/>
                      <w:b w:val="0"/>
                      <w:bCs/>
                      <w:color w:val="FF0000"/>
                      <w:sz w:val="21"/>
                      <w:szCs w:val="21"/>
                      <w:highlight w:val="none"/>
                      <w:vertAlign w:val="baseline"/>
                      <w:lang w:val="en-US" w:eastAsia="zh-CN"/>
                    </w:rPr>
                    <w:t>（长宽15m*24m）、封闭式筛分车间建筑面积400</w:t>
                  </w:r>
                  <w:r>
                    <w:rPr>
                      <w:rFonts w:hint="default" w:ascii="Times New Roman" w:hAnsi="Times New Roman" w:eastAsia="宋体" w:cs="Times New Roman"/>
                      <w:b w:val="0"/>
                      <w:bCs/>
                      <w:color w:val="FF0000"/>
                      <w:sz w:val="21"/>
                      <w:szCs w:val="21"/>
                      <w:vertAlign w:val="baseline"/>
                      <w:lang w:val="en-US" w:eastAsia="zh-CN"/>
                    </w:rPr>
                    <w:t>m</w:t>
                  </w:r>
                  <w:r>
                    <w:rPr>
                      <w:rFonts w:hint="default" w:ascii="Times New Roman" w:hAnsi="Times New Roman" w:eastAsia="宋体" w:cs="Times New Roman"/>
                      <w:b w:val="0"/>
                      <w:bCs/>
                      <w:color w:val="FF0000"/>
                      <w:sz w:val="21"/>
                      <w:szCs w:val="21"/>
                      <w:vertAlign w:val="superscript"/>
                      <w:lang w:val="en-US" w:eastAsia="zh-CN"/>
                    </w:rPr>
                    <w:t>2</w:t>
                  </w:r>
                  <w:r>
                    <w:rPr>
                      <w:rFonts w:hint="eastAsia" w:cs="Times New Roman"/>
                      <w:b w:val="0"/>
                      <w:bCs/>
                      <w:color w:val="FF0000"/>
                      <w:sz w:val="21"/>
                      <w:szCs w:val="21"/>
                      <w:highlight w:val="none"/>
                      <w:vertAlign w:val="baseline"/>
                      <w:lang w:val="en-US" w:eastAsia="zh-CN"/>
                    </w:rPr>
                    <w:t>（长宽20m*20m），车间顶部设置喷淋头，喷淋降尘</w:t>
                  </w:r>
                </w:p>
              </w:tc>
            </w:tr>
            <w:tr w14:paraId="1380E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510" w:type="pct"/>
                  <w:vMerge w:val="restart"/>
                  <w:tcBorders>
                    <w:tl2br w:val="nil"/>
                    <w:tr2bl w:val="nil"/>
                  </w:tcBorders>
                  <w:noWrap w:val="0"/>
                  <w:vAlign w:val="center"/>
                </w:tcPr>
                <w:p w14:paraId="7A498E8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辅助工程</w:t>
                  </w:r>
                </w:p>
              </w:tc>
              <w:tc>
                <w:tcPr>
                  <w:tcW w:w="470" w:type="pct"/>
                  <w:tcBorders>
                    <w:tl2br w:val="nil"/>
                    <w:tr2bl w:val="nil"/>
                  </w:tcBorders>
                  <w:noWrap w:val="0"/>
                  <w:vAlign w:val="center"/>
                </w:tcPr>
                <w:p w14:paraId="5E943EF4">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排水沟</w:t>
                  </w:r>
                </w:p>
              </w:tc>
              <w:tc>
                <w:tcPr>
                  <w:tcW w:w="4019" w:type="pct"/>
                  <w:gridSpan w:val="2"/>
                  <w:tcBorders>
                    <w:tl2br w:val="nil"/>
                    <w:tr2bl w:val="nil"/>
                  </w:tcBorders>
                  <w:noWrap w:val="0"/>
                  <w:vAlign w:val="center"/>
                </w:tcPr>
                <w:p w14:paraId="0E8CE68F">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采场与开采境界北侧布设排水沟，同时在生活办公区周边布设排水沟，新建排水沟总长度约长约</w:t>
                  </w:r>
                  <w:r>
                    <w:rPr>
                      <w:rFonts w:hint="default" w:ascii="Times New Roman" w:hAnsi="Times New Roman" w:eastAsia="宋体" w:cs="Times New Roman"/>
                      <w:b w:val="0"/>
                      <w:bCs/>
                      <w:sz w:val="21"/>
                      <w:szCs w:val="21"/>
                      <w:vertAlign w:val="baseline"/>
                      <w:lang w:val="en-US" w:eastAsia="zh-CN"/>
                    </w:rPr>
                    <w:t>865m</w:t>
                  </w:r>
                  <w:r>
                    <w:rPr>
                      <w:rFonts w:hint="eastAsia" w:ascii="Times New Roman" w:hAnsi="Times New Roman" w:eastAsia="宋体" w:cs="Times New Roman"/>
                      <w:b w:val="0"/>
                      <w:bCs/>
                      <w:sz w:val="21"/>
                      <w:szCs w:val="21"/>
                      <w:vertAlign w:val="baseline"/>
                      <w:lang w:val="en-US" w:eastAsia="zh-CN"/>
                    </w:rPr>
                    <w:t>，其横截面形状为倒梯形，采用浆砌石结构，顶宽</w:t>
                  </w:r>
                  <w:r>
                    <w:rPr>
                      <w:rFonts w:hint="default" w:ascii="Times New Roman" w:hAnsi="Times New Roman" w:eastAsia="宋体" w:cs="Times New Roman"/>
                      <w:b w:val="0"/>
                      <w:bCs/>
                      <w:sz w:val="21"/>
                      <w:szCs w:val="21"/>
                      <w:vertAlign w:val="baseline"/>
                      <w:lang w:val="en-US" w:eastAsia="zh-CN"/>
                    </w:rPr>
                    <w:t>0.6m</w:t>
                  </w:r>
                  <w:r>
                    <w:rPr>
                      <w:rFonts w:hint="eastAsia" w:ascii="Times New Roman" w:hAnsi="Times New Roman" w:eastAsia="宋体" w:cs="Times New Roman"/>
                      <w:b w:val="0"/>
                      <w:bCs/>
                      <w:sz w:val="21"/>
                      <w:szCs w:val="21"/>
                      <w:vertAlign w:val="baseline"/>
                      <w:lang w:val="en-US" w:eastAsia="zh-CN"/>
                    </w:rPr>
                    <w:t>、底宽</w:t>
                  </w:r>
                  <w:r>
                    <w:rPr>
                      <w:rFonts w:hint="default" w:ascii="Times New Roman" w:hAnsi="Times New Roman" w:eastAsia="宋体" w:cs="Times New Roman"/>
                      <w:b w:val="0"/>
                      <w:bCs/>
                      <w:sz w:val="21"/>
                      <w:szCs w:val="21"/>
                      <w:vertAlign w:val="baseline"/>
                      <w:lang w:val="en-US" w:eastAsia="zh-CN"/>
                    </w:rPr>
                    <w:t>0.4m</w:t>
                  </w:r>
                  <w:r>
                    <w:rPr>
                      <w:rFonts w:hint="eastAsia" w:ascii="Times New Roman" w:hAnsi="Times New Roman" w:eastAsia="宋体" w:cs="Times New Roman"/>
                      <w:b w:val="0"/>
                      <w:bCs/>
                      <w:sz w:val="21"/>
                      <w:szCs w:val="21"/>
                      <w:vertAlign w:val="baseline"/>
                      <w:lang w:val="en-US" w:eastAsia="zh-CN"/>
                    </w:rPr>
                    <w:t>、深</w:t>
                  </w:r>
                  <w:r>
                    <w:rPr>
                      <w:rFonts w:hint="default" w:ascii="Times New Roman" w:hAnsi="Times New Roman" w:eastAsia="宋体" w:cs="Times New Roman"/>
                      <w:b w:val="0"/>
                      <w:bCs/>
                      <w:sz w:val="21"/>
                      <w:szCs w:val="21"/>
                      <w:vertAlign w:val="baseline"/>
                      <w:lang w:val="en-US" w:eastAsia="zh-CN"/>
                    </w:rPr>
                    <w:t>0.4m</w:t>
                  </w:r>
                </w:p>
              </w:tc>
            </w:tr>
            <w:tr w14:paraId="7B8E7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10" w:type="pct"/>
                  <w:vMerge w:val="continue"/>
                  <w:tcBorders>
                    <w:tl2br w:val="nil"/>
                    <w:tr2bl w:val="nil"/>
                  </w:tcBorders>
                  <w:noWrap w:val="0"/>
                  <w:vAlign w:val="center"/>
                </w:tcPr>
                <w:p w14:paraId="4D61B29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rPr>
                  </w:pPr>
                </w:p>
              </w:tc>
              <w:tc>
                <w:tcPr>
                  <w:tcW w:w="470" w:type="pct"/>
                  <w:tcBorders>
                    <w:tl2br w:val="nil"/>
                    <w:tr2bl w:val="nil"/>
                  </w:tcBorders>
                  <w:noWrap w:val="0"/>
                  <w:vAlign w:val="center"/>
                </w:tcPr>
                <w:p w14:paraId="437E0106">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办公生活区</w:t>
                  </w:r>
                </w:p>
              </w:tc>
              <w:tc>
                <w:tcPr>
                  <w:tcW w:w="4019" w:type="pct"/>
                  <w:gridSpan w:val="2"/>
                  <w:tcBorders>
                    <w:tl2br w:val="nil"/>
                    <w:tr2bl w:val="nil"/>
                  </w:tcBorders>
                  <w:noWrap w:val="0"/>
                  <w:vAlign w:val="center"/>
                </w:tcPr>
                <w:p w14:paraId="7A0B7E0A">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生活办公区设于矿区外围生产加工区北侧临时用地范围内地势平缓处，占地面积约</w:t>
                  </w:r>
                  <w:r>
                    <w:rPr>
                      <w:rFonts w:hint="default" w:ascii="Times New Roman" w:hAnsi="Times New Roman" w:eastAsia="宋体" w:cs="Times New Roman"/>
                      <w:b w:val="0"/>
                      <w:bCs/>
                      <w:sz w:val="21"/>
                      <w:szCs w:val="21"/>
                      <w:vertAlign w:val="baseline"/>
                      <w:lang w:val="en-US" w:eastAsia="zh-CN"/>
                    </w:rPr>
                    <w:t>2171m</w:t>
                  </w:r>
                  <w:r>
                    <w:rPr>
                      <w:rFonts w:hint="default" w:ascii="Times New Roman" w:hAnsi="Times New Roman" w:eastAsia="宋体" w:cs="Times New Roman"/>
                      <w:b w:val="0"/>
                      <w:bCs/>
                      <w:sz w:val="21"/>
                      <w:szCs w:val="21"/>
                      <w:vertAlign w:val="superscript"/>
                      <w:lang w:val="en-US" w:eastAsia="zh-CN"/>
                    </w:rPr>
                    <w:t>2</w:t>
                  </w:r>
                  <w:r>
                    <w:rPr>
                      <w:rFonts w:hint="eastAsia" w:ascii="Times New Roman" w:hAnsi="Times New Roman" w:eastAsia="宋体" w:cs="Times New Roman"/>
                      <w:b w:val="0"/>
                      <w:bCs/>
                      <w:sz w:val="21"/>
                      <w:szCs w:val="21"/>
                      <w:vertAlign w:val="baseline"/>
                      <w:lang w:val="en-US" w:eastAsia="zh-CN"/>
                    </w:rPr>
                    <w:t>，主要为矿山职工食宿、停车与办公场地</w:t>
                  </w:r>
                  <w:r>
                    <w:rPr>
                      <w:rFonts w:hint="eastAsia" w:cs="Times New Roman"/>
                      <w:b w:val="0"/>
                      <w:bCs/>
                      <w:sz w:val="21"/>
                      <w:szCs w:val="21"/>
                      <w:vertAlign w:val="baseline"/>
                      <w:lang w:val="en-US" w:eastAsia="zh-CN"/>
                    </w:rPr>
                    <w:t>、危废贮存库</w:t>
                  </w:r>
                </w:p>
              </w:tc>
            </w:tr>
            <w:tr w14:paraId="42754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10" w:type="pct"/>
                  <w:vMerge w:val="restart"/>
                  <w:tcBorders>
                    <w:tl2br w:val="nil"/>
                    <w:tr2bl w:val="nil"/>
                  </w:tcBorders>
                  <w:noWrap w:val="0"/>
                  <w:vAlign w:val="center"/>
                </w:tcPr>
                <w:p w14:paraId="78875F2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储运工程</w:t>
                  </w:r>
                </w:p>
              </w:tc>
              <w:tc>
                <w:tcPr>
                  <w:tcW w:w="470" w:type="pct"/>
                  <w:tcBorders>
                    <w:tl2br w:val="nil"/>
                    <w:tr2bl w:val="nil"/>
                  </w:tcBorders>
                  <w:noWrap w:val="0"/>
                  <w:vAlign w:val="center"/>
                </w:tcPr>
                <w:p w14:paraId="01BB248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排土场</w:t>
                  </w:r>
                </w:p>
              </w:tc>
              <w:tc>
                <w:tcPr>
                  <w:tcW w:w="4019" w:type="pct"/>
                  <w:gridSpan w:val="2"/>
                  <w:tcBorders>
                    <w:tl2br w:val="nil"/>
                    <w:tr2bl w:val="nil"/>
                  </w:tcBorders>
                  <w:noWrap w:val="0"/>
                  <w:vAlign w:val="center"/>
                </w:tcPr>
                <w:p w14:paraId="3C90EBFB">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FF0000"/>
                      <w:sz w:val="21"/>
                      <w:szCs w:val="21"/>
                      <w:vertAlign w:val="baseline"/>
                      <w:lang w:val="en-US" w:eastAsia="zh-CN"/>
                    </w:rPr>
                    <w:t>在矿区西侧及东侧各布设一处排土场，西侧排土场占地面积约</w:t>
                  </w:r>
                  <w:r>
                    <w:rPr>
                      <w:rFonts w:hint="default" w:ascii="Times New Roman" w:hAnsi="Times New Roman" w:eastAsia="宋体" w:cs="Times New Roman"/>
                      <w:b w:val="0"/>
                      <w:bCs/>
                      <w:color w:val="FF0000"/>
                      <w:sz w:val="21"/>
                      <w:szCs w:val="21"/>
                      <w:vertAlign w:val="baseline"/>
                      <w:lang w:val="en-US" w:eastAsia="zh-CN"/>
                    </w:rPr>
                    <w:t>25973m</w:t>
                  </w:r>
                  <w:r>
                    <w:rPr>
                      <w:rFonts w:hint="default" w:ascii="Times New Roman" w:hAnsi="Times New Roman" w:eastAsia="宋体" w:cs="Times New Roman"/>
                      <w:b w:val="0"/>
                      <w:bCs/>
                      <w:color w:val="FF0000"/>
                      <w:sz w:val="21"/>
                      <w:szCs w:val="21"/>
                      <w:vertAlign w:val="superscript"/>
                      <w:lang w:val="en-US" w:eastAsia="zh-CN"/>
                    </w:rPr>
                    <w:t>2</w:t>
                  </w:r>
                  <w:r>
                    <w:rPr>
                      <w:rFonts w:hint="eastAsia" w:ascii="Times New Roman" w:hAnsi="Times New Roman" w:eastAsia="宋体" w:cs="Times New Roman"/>
                      <w:b w:val="0"/>
                      <w:bCs/>
                      <w:color w:val="FF0000"/>
                      <w:sz w:val="21"/>
                      <w:szCs w:val="21"/>
                      <w:vertAlign w:val="baseline"/>
                      <w:lang w:val="en-US" w:eastAsia="zh-CN"/>
                    </w:rPr>
                    <w:t>，东侧排土场占地面积约</w:t>
                  </w:r>
                  <w:r>
                    <w:rPr>
                      <w:rFonts w:hint="default" w:ascii="Times New Roman" w:hAnsi="Times New Roman" w:eastAsia="宋体" w:cs="Times New Roman"/>
                      <w:b w:val="0"/>
                      <w:bCs/>
                      <w:color w:val="FF0000"/>
                      <w:sz w:val="21"/>
                      <w:szCs w:val="21"/>
                      <w:vertAlign w:val="baseline"/>
                      <w:lang w:val="en-US" w:eastAsia="zh-CN"/>
                    </w:rPr>
                    <w:t>23370m</w:t>
                  </w:r>
                  <w:r>
                    <w:rPr>
                      <w:rFonts w:hint="default" w:ascii="Times New Roman" w:hAnsi="Times New Roman" w:eastAsia="宋体" w:cs="Times New Roman"/>
                      <w:b w:val="0"/>
                      <w:bCs/>
                      <w:color w:val="FF0000"/>
                      <w:sz w:val="21"/>
                      <w:szCs w:val="21"/>
                      <w:vertAlign w:val="superscript"/>
                      <w:lang w:val="en-US" w:eastAsia="zh-CN"/>
                    </w:rPr>
                    <w:t>2</w:t>
                  </w:r>
                  <w:r>
                    <w:rPr>
                      <w:rFonts w:hint="eastAsia" w:ascii="Times New Roman" w:hAnsi="Times New Roman" w:eastAsia="宋体" w:cs="Times New Roman"/>
                      <w:b w:val="0"/>
                      <w:bCs/>
                      <w:color w:val="FF0000"/>
                      <w:sz w:val="21"/>
                      <w:szCs w:val="21"/>
                      <w:vertAlign w:val="baseline"/>
                      <w:lang w:val="en-US" w:eastAsia="zh-CN"/>
                    </w:rPr>
                    <w:t>，共计</w:t>
                  </w:r>
                  <w:r>
                    <w:rPr>
                      <w:rFonts w:hint="default" w:ascii="Times New Roman" w:hAnsi="Times New Roman" w:eastAsia="宋体" w:cs="Times New Roman"/>
                      <w:b w:val="0"/>
                      <w:bCs/>
                      <w:color w:val="FF0000"/>
                      <w:sz w:val="21"/>
                      <w:szCs w:val="21"/>
                      <w:vertAlign w:val="baseline"/>
                      <w:lang w:val="en-US" w:eastAsia="zh-CN"/>
                    </w:rPr>
                    <w:t>49343m</w:t>
                  </w:r>
                  <w:r>
                    <w:rPr>
                      <w:rFonts w:hint="default" w:ascii="Times New Roman" w:hAnsi="Times New Roman" w:eastAsia="宋体" w:cs="Times New Roman"/>
                      <w:b w:val="0"/>
                      <w:bCs/>
                      <w:color w:val="FF0000"/>
                      <w:sz w:val="21"/>
                      <w:szCs w:val="21"/>
                      <w:vertAlign w:val="superscript"/>
                      <w:lang w:val="en-US" w:eastAsia="zh-CN"/>
                    </w:rPr>
                    <w:t>2</w:t>
                  </w:r>
                  <w:r>
                    <w:rPr>
                      <w:rFonts w:hint="eastAsia" w:ascii="Times New Roman" w:hAnsi="Times New Roman" w:eastAsia="宋体" w:cs="Times New Roman"/>
                      <w:b w:val="0"/>
                      <w:bCs/>
                      <w:color w:val="FF0000"/>
                      <w:sz w:val="21"/>
                      <w:szCs w:val="21"/>
                      <w:vertAlign w:val="baseline"/>
                      <w:lang w:val="en-US" w:eastAsia="zh-CN"/>
                    </w:rPr>
                    <w:t>，矿山后期表土剥离量约为</w:t>
                  </w:r>
                  <w:r>
                    <w:rPr>
                      <w:rFonts w:hint="default" w:ascii="Times New Roman" w:hAnsi="Times New Roman" w:eastAsia="宋体" w:cs="Times New Roman"/>
                      <w:b w:val="0"/>
                      <w:bCs/>
                      <w:color w:val="FF0000"/>
                      <w:sz w:val="21"/>
                      <w:szCs w:val="21"/>
                      <w:vertAlign w:val="baseline"/>
                      <w:lang w:val="en-US" w:eastAsia="zh-CN"/>
                    </w:rPr>
                    <w:t>100.77</w:t>
                  </w:r>
                  <w:r>
                    <w:rPr>
                      <w:rFonts w:hint="eastAsia" w:ascii="Times New Roman" w:hAnsi="Times New Roman" w:eastAsia="宋体" w:cs="Times New Roman"/>
                      <w:b w:val="0"/>
                      <w:bCs/>
                      <w:color w:val="FF0000"/>
                      <w:sz w:val="21"/>
                      <w:szCs w:val="21"/>
                      <w:vertAlign w:val="baseline"/>
                      <w:lang w:val="en-US" w:eastAsia="zh-CN"/>
                    </w:rPr>
                    <w:t>万</w:t>
                  </w:r>
                  <w:r>
                    <w:rPr>
                      <w:rFonts w:hint="default" w:ascii="Times New Roman" w:hAnsi="Times New Roman" w:eastAsia="宋体" w:cs="Times New Roman"/>
                      <w:b w:val="0"/>
                      <w:bCs/>
                      <w:color w:val="FF0000"/>
                      <w:sz w:val="21"/>
                      <w:szCs w:val="21"/>
                      <w:vertAlign w:val="baseline"/>
                      <w:lang w:val="en-US" w:eastAsia="zh-CN"/>
                    </w:rPr>
                    <w:t>m</w:t>
                  </w:r>
                  <w:r>
                    <w:rPr>
                      <w:rFonts w:hint="default" w:ascii="Times New Roman" w:hAnsi="Times New Roman" w:eastAsia="宋体" w:cs="Times New Roman"/>
                      <w:b w:val="0"/>
                      <w:bCs/>
                      <w:color w:val="FF0000"/>
                      <w:sz w:val="21"/>
                      <w:szCs w:val="21"/>
                      <w:vertAlign w:val="superscript"/>
                      <w:lang w:val="en-US" w:eastAsia="zh-CN"/>
                    </w:rPr>
                    <w:t>3</w:t>
                  </w:r>
                  <w:r>
                    <w:rPr>
                      <w:rFonts w:hint="eastAsia" w:ascii="Times New Roman" w:hAnsi="Times New Roman" w:eastAsia="宋体" w:cs="Times New Roman"/>
                      <w:b w:val="0"/>
                      <w:bCs/>
                      <w:color w:val="FF0000"/>
                      <w:sz w:val="21"/>
                      <w:szCs w:val="21"/>
                      <w:vertAlign w:val="baseline"/>
                      <w:lang w:val="en-US" w:eastAsia="zh-CN"/>
                    </w:rPr>
                    <w:t>。根据估算西侧排土场</w:t>
                  </w:r>
                  <w:r>
                    <w:rPr>
                      <w:rFonts w:hint="eastAsia" w:cs="Times New Roman"/>
                      <w:b w:val="0"/>
                      <w:bCs/>
                      <w:color w:val="FF0000"/>
                      <w:sz w:val="21"/>
                      <w:szCs w:val="21"/>
                      <w:vertAlign w:val="baseline"/>
                      <w:lang w:val="en-US" w:eastAsia="zh-CN"/>
                    </w:rPr>
                    <w:t>最大堆放量</w:t>
                  </w:r>
                  <w:r>
                    <w:rPr>
                      <w:rFonts w:hint="eastAsia" w:ascii="Times New Roman" w:hAnsi="Times New Roman" w:eastAsia="宋体" w:cs="Times New Roman"/>
                      <w:b w:val="0"/>
                      <w:bCs/>
                      <w:color w:val="FF0000"/>
                      <w:sz w:val="21"/>
                      <w:szCs w:val="21"/>
                      <w:vertAlign w:val="baseline"/>
                      <w:lang w:val="en-US" w:eastAsia="zh-CN"/>
                    </w:rPr>
                    <w:t>约</w:t>
                  </w:r>
                  <w:r>
                    <w:rPr>
                      <w:rFonts w:hint="default" w:ascii="Times New Roman" w:hAnsi="Times New Roman" w:eastAsia="宋体" w:cs="Times New Roman"/>
                      <w:b w:val="0"/>
                      <w:bCs/>
                      <w:color w:val="FF0000"/>
                      <w:sz w:val="21"/>
                      <w:szCs w:val="21"/>
                      <w:vertAlign w:val="baseline"/>
                      <w:lang w:val="en-US" w:eastAsia="zh-CN"/>
                    </w:rPr>
                    <w:t>59</w:t>
                  </w:r>
                  <w:r>
                    <w:rPr>
                      <w:rFonts w:hint="eastAsia" w:ascii="Times New Roman" w:hAnsi="Times New Roman" w:eastAsia="宋体" w:cs="Times New Roman"/>
                      <w:b w:val="0"/>
                      <w:bCs/>
                      <w:color w:val="FF0000"/>
                      <w:sz w:val="21"/>
                      <w:szCs w:val="21"/>
                      <w:vertAlign w:val="baseline"/>
                      <w:lang w:val="en-US" w:eastAsia="zh-CN"/>
                    </w:rPr>
                    <w:t>万</w:t>
                  </w:r>
                  <w:r>
                    <w:rPr>
                      <w:rFonts w:hint="default" w:ascii="Times New Roman" w:hAnsi="Times New Roman" w:eastAsia="宋体" w:cs="Times New Roman"/>
                      <w:b w:val="0"/>
                      <w:bCs/>
                      <w:color w:val="FF0000"/>
                      <w:sz w:val="21"/>
                      <w:szCs w:val="21"/>
                      <w:vertAlign w:val="baseline"/>
                      <w:lang w:val="en-US" w:eastAsia="zh-CN"/>
                    </w:rPr>
                    <w:t>m3</w:t>
                  </w:r>
                  <w:r>
                    <w:rPr>
                      <w:rFonts w:hint="eastAsia" w:ascii="Times New Roman" w:hAnsi="Times New Roman" w:eastAsia="宋体" w:cs="Times New Roman"/>
                      <w:b w:val="0"/>
                      <w:bCs/>
                      <w:color w:val="FF0000"/>
                      <w:sz w:val="21"/>
                      <w:szCs w:val="21"/>
                      <w:vertAlign w:val="baseline"/>
                      <w:lang w:val="en-US" w:eastAsia="zh-CN"/>
                    </w:rPr>
                    <w:t>，东侧排土场</w:t>
                  </w:r>
                  <w:r>
                    <w:rPr>
                      <w:rFonts w:hint="eastAsia" w:cs="Times New Roman"/>
                      <w:b w:val="0"/>
                      <w:bCs/>
                      <w:color w:val="FF0000"/>
                      <w:sz w:val="21"/>
                      <w:szCs w:val="21"/>
                      <w:vertAlign w:val="baseline"/>
                      <w:lang w:val="en-US" w:eastAsia="zh-CN"/>
                    </w:rPr>
                    <w:t>最大堆放量</w:t>
                  </w:r>
                  <w:r>
                    <w:rPr>
                      <w:rFonts w:hint="eastAsia" w:ascii="Times New Roman" w:hAnsi="Times New Roman" w:eastAsia="宋体" w:cs="Times New Roman"/>
                      <w:b w:val="0"/>
                      <w:bCs/>
                      <w:color w:val="FF0000"/>
                      <w:sz w:val="21"/>
                      <w:szCs w:val="21"/>
                      <w:vertAlign w:val="baseline"/>
                      <w:lang w:val="en-US" w:eastAsia="zh-CN"/>
                    </w:rPr>
                    <w:t>约</w:t>
                  </w:r>
                  <w:r>
                    <w:rPr>
                      <w:rFonts w:hint="default" w:ascii="Times New Roman" w:hAnsi="Times New Roman" w:eastAsia="宋体" w:cs="Times New Roman"/>
                      <w:b w:val="0"/>
                      <w:bCs/>
                      <w:color w:val="FF0000"/>
                      <w:sz w:val="21"/>
                      <w:szCs w:val="21"/>
                      <w:vertAlign w:val="baseline"/>
                      <w:lang w:val="en-US" w:eastAsia="zh-CN"/>
                    </w:rPr>
                    <w:t>47</w:t>
                  </w:r>
                  <w:r>
                    <w:rPr>
                      <w:rFonts w:hint="eastAsia" w:ascii="Times New Roman" w:hAnsi="Times New Roman" w:eastAsia="宋体" w:cs="Times New Roman"/>
                      <w:b w:val="0"/>
                      <w:bCs/>
                      <w:color w:val="FF0000"/>
                      <w:sz w:val="21"/>
                      <w:szCs w:val="21"/>
                      <w:vertAlign w:val="baseline"/>
                      <w:lang w:val="en-US" w:eastAsia="zh-CN"/>
                    </w:rPr>
                    <w:t>万</w:t>
                  </w:r>
                  <w:r>
                    <w:rPr>
                      <w:rFonts w:hint="default" w:ascii="Times New Roman" w:hAnsi="Times New Roman" w:eastAsia="宋体" w:cs="Times New Roman"/>
                      <w:b w:val="0"/>
                      <w:bCs/>
                      <w:color w:val="FF0000"/>
                      <w:sz w:val="21"/>
                      <w:szCs w:val="21"/>
                      <w:vertAlign w:val="baseline"/>
                      <w:lang w:val="en-US" w:eastAsia="zh-CN"/>
                    </w:rPr>
                    <w:t>m</w:t>
                  </w:r>
                  <w:r>
                    <w:rPr>
                      <w:rFonts w:hint="default" w:ascii="Times New Roman" w:hAnsi="Times New Roman" w:eastAsia="宋体" w:cs="Times New Roman"/>
                      <w:b w:val="0"/>
                      <w:bCs/>
                      <w:color w:val="FF0000"/>
                      <w:sz w:val="21"/>
                      <w:szCs w:val="21"/>
                      <w:vertAlign w:val="superscript"/>
                      <w:lang w:val="en-US" w:eastAsia="zh-CN"/>
                    </w:rPr>
                    <w:t>3</w:t>
                  </w:r>
                  <w:r>
                    <w:rPr>
                      <w:rFonts w:hint="eastAsia" w:ascii="Times New Roman" w:hAnsi="Times New Roman" w:eastAsia="宋体" w:cs="Times New Roman"/>
                      <w:b w:val="0"/>
                      <w:bCs/>
                      <w:color w:val="FF0000"/>
                      <w:sz w:val="21"/>
                      <w:szCs w:val="21"/>
                      <w:vertAlign w:val="baseline"/>
                      <w:lang w:val="en-US" w:eastAsia="zh-CN"/>
                    </w:rPr>
                    <w:t>，合计堆存方量为</w:t>
                  </w:r>
                  <w:r>
                    <w:rPr>
                      <w:rFonts w:hint="default" w:ascii="Times New Roman" w:hAnsi="Times New Roman" w:eastAsia="宋体" w:cs="Times New Roman"/>
                      <w:b w:val="0"/>
                      <w:bCs/>
                      <w:color w:val="FF0000"/>
                      <w:sz w:val="21"/>
                      <w:szCs w:val="21"/>
                      <w:vertAlign w:val="baseline"/>
                      <w:lang w:val="en-US" w:eastAsia="zh-CN"/>
                    </w:rPr>
                    <w:t>106</w:t>
                  </w:r>
                  <w:r>
                    <w:rPr>
                      <w:rFonts w:hint="eastAsia" w:ascii="Times New Roman" w:hAnsi="Times New Roman" w:eastAsia="宋体" w:cs="Times New Roman"/>
                      <w:b w:val="0"/>
                      <w:bCs/>
                      <w:color w:val="FF0000"/>
                      <w:sz w:val="21"/>
                      <w:szCs w:val="21"/>
                      <w:vertAlign w:val="baseline"/>
                      <w:lang w:val="en-US" w:eastAsia="zh-CN"/>
                    </w:rPr>
                    <w:t>万</w:t>
                  </w:r>
                  <w:r>
                    <w:rPr>
                      <w:rFonts w:hint="default" w:ascii="Times New Roman" w:hAnsi="Times New Roman" w:eastAsia="宋体" w:cs="Times New Roman"/>
                      <w:b w:val="0"/>
                      <w:bCs/>
                      <w:color w:val="FF0000"/>
                      <w:sz w:val="21"/>
                      <w:szCs w:val="21"/>
                      <w:vertAlign w:val="baseline"/>
                      <w:lang w:val="en-US" w:eastAsia="zh-CN"/>
                    </w:rPr>
                    <w:t>m</w:t>
                  </w:r>
                  <w:r>
                    <w:rPr>
                      <w:rFonts w:hint="default" w:ascii="Times New Roman" w:hAnsi="Times New Roman" w:eastAsia="宋体" w:cs="Times New Roman"/>
                      <w:b w:val="0"/>
                      <w:bCs/>
                      <w:color w:val="FF0000"/>
                      <w:sz w:val="21"/>
                      <w:szCs w:val="21"/>
                      <w:vertAlign w:val="superscript"/>
                      <w:lang w:val="en-US" w:eastAsia="zh-CN"/>
                    </w:rPr>
                    <w:t>3</w:t>
                  </w:r>
                  <w:r>
                    <w:rPr>
                      <w:rFonts w:hint="eastAsia" w:ascii="Times New Roman" w:hAnsi="Times New Roman" w:eastAsia="宋体" w:cs="Times New Roman"/>
                      <w:b w:val="0"/>
                      <w:bCs/>
                      <w:color w:val="FF0000"/>
                      <w:sz w:val="21"/>
                      <w:szCs w:val="21"/>
                      <w:vertAlign w:val="baseline"/>
                      <w:lang w:val="en-US" w:eastAsia="zh-CN"/>
                    </w:rPr>
                    <w:t>，可满足矿山废石及表土堆放。采场与排土场有便道相通。</w:t>
                  </w:r>
                </w:p>
                <w:p w14:paraId="658ECA17">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排土场的外围构筑石笼格宾挡墙，挡墙断面形状呈梯形，基础埋深</w:t>
                  </w:r>
                  <w:r>
                    <w:rPr>
                      <w:rFonts w:hint="default" w:ascii="Times New Roman" w:hAnsi="Times New Roman" w:eastAsia="宋体" w:cs="Times New Roman"/>
                      <w:b w:val="0"/>
                      <w:bCs/>
                      <w:sz w:val="21"/>
                      <w:szCs w:val="21"/>
                      <w:vertAlign w:val="baseline"/>
                      <w:lang w:val="en-US" w:eastAsia="zh-CN"/>
                    </w:rPr>
                    <w:t>0.5m</w:t>
                  </w:r>
                  <w:r>
                    <w:rPr>
                      <w:rFonts w:hint="eastAsia" w:ascii="Times New Roman" w:hAnsi="Times New Roman" w:eastAsia="宋体" w:cs="Times New Roman"/>
                      <w:b w:val="0"/>
                      <w:bCs/>
                      <w:sz w:val="21"/>
                      <w:szCs w:val="21"/>
                      <w:vertAlign w:val="baseline"/>
                      <w:lang w:val="en-US" w:eastAsia="zh-CN"/>
                    </w:rPr>
                    <w:t>，排土场挡墙</w:t>
                  </w:r>
                  <w:r>
                    <w:rPr>
                      <w:rFonts w:hint="eastAsia" w:cs="Times New Roman"/>
                      <w:b w:val="0"/>
                      <w:bCs/>
                      <w:sz w:val="21"/>
                      <w:szCs w:val="21"/>
                      <w:vertAlign w:val="baseline"/>
                      <w:lang w:val="en-US" w:eastAsia="zh-CN"/>
                    </w:rPr>
                    <w:t>长度</w:t>
                  </w:r>
                  <w:r>
                    <w:rPr>
                      <w:rFonts w:hint="default" w:ascii="Times New Roman" w:hAnsi="Times New Roman" w:eastAsia="宋体" w:cs="Times New Roman"/>
                      <w:b w:val="0"/>
                      <w:bCs/>
                      <w:sz w:val="21"/>
                      <w:szCs w:val="21"/>
                      <w:vertAlign w:val="baseline"/>
                      <w:lang w:val="en-US" w:eastAsia="zh-CN"/>
                    </w:rPr>
                    <w:t>548m</w:t>
                  </w:r>
                  <w:r>
                    <w:rPr>
                      <w:rFonts w:hint="eastAsia" w:ascii="Times New Roman" w:hAnsi="Times New Roman" w:eastAsia="宋体" w:cs="Times New Roman"/>
                      <w:b w:val="0"/>
                      <w:bCs/>
                      <w:sz w:val="21"/>
                      <w:szCs w:val="21"/>
                      <w:vertAlign w:val="baseline"/>
                      <w:lang w:val="en-US" w:eastAsia="zh-CN"/>
                    </w:rPr>
                    <w:t>，高</w:t>
                  </w:r>
                  <w:r>
                    <w:rPr>
                      <w:rFonts w:hint="default" w:ascii="Times New Roman" w:hAnsi="Times New Roman" w:eastAsia="宋体" w:cs="Times New Roman"/>
                      <w:b w:val="0"/>
                      <w:bCs/>
                      <w:sz w:val="21"/>
                      <w:szCs w:val="21"/>
                      <w:vertAlign w:val="baseline"/>
                      <w:lang w:val="en-US" w:eastAsia="zh-CN"/>
                    </w:rPr>
                    <w:t>3.0m</w:t>
                  </w:r>
                  <w:r>
                    <w:rPr>
                      <w:rFonts w:hint="eastAsia" w:ascii="Times New Roman" w:hAnsi="Times New Roman" w:eastAsia="宋体" w:cs="Times New Roman"/>
                      <w:b w:val="0"/>
                      <w:bCs/>
                      <w:sz w:val="21"/>
                      <w:szCs w:val="21"/>
                      <w:vertAlign w:val="baseline"/>
                      <w:lang w:val="en-US" w:eastAsia="zh-CN"/>
                    </w:rPr>
                    <w:t>，底宽</w:t>
                  </w:r>
                  <w:r>
                    <w:rPr>
                      <w:rFonts w:hint="default" w:ascii="Times New Roman" w:hAnsi="Times New Roman" w:eastAsia="宋体" w:cs="Times New Roman"/>
                      <w:b w:val="0"/>
                      <w:bCs/>
                      <w:sz w:val="21"/>
                      <w:szCs w:val="21"/>
                      <w:vertAlign w:val="baseline"/>
                      <w:lang w:val="en-US" w:eastAsia="zh-CN"/>
                    </w:rPr>
                    <w:t>1.0m</w:t>
                  </w:r>
                  <w:r>
                    <w:rPr>
                      <w:rFonts w:hint="eastAsia" w:ascii="Times New Roman" w:hAnsi="Times New Roman" w:eastAsia="宋体" w:cs="Times New Roman"/>
                      <w:b w:val="0"/>
                      <w:bCs/>
                      <w:sz w:val="21"/>
                      <w:szCs w:val="21"/>
                      <w:vertAlign w:val="baseline"/>
                      <w:lang w:val="en-US" w:eastAsia="zh-CN"/>
                    </w:rPr>
                    <w:t>，顶宽</w:t>
                  </w:r>
                  <w:r>
                    <w:rPr>
                      <w:rFonts w:hint="default" w:ascii="Times New Roman" w:hAnsi="Times New Roman" w:eastAsia="宋体" w:cs="Times New Roman"/>
                      <w:b w:val="0"/>
                      <w:bCs/>
                      <w:sz w:val="21"/>
                      <w:szCs w:val="21"/>
                      <w:vertAlign w:val="baseline"/>
                      <w:lang w:val="en-US" w:eastAsia="zh-CN"/>
                    </w:rPr>
                    <w:t>0.5m</w:t>
                  </w:r>
                  <w:r>
                    <w:rPr>
                      <w:rFonts w:hint="eastAsia" w:cs="Times New Roman"/>
                      <w:b w:val="0"/>
                      <w:bCs/>
                      <w:sz w:val="21"/>
                      <w:szCs w:val="21"/>
                      <w:vertAlign w:val="baseline"/>
                      <w:lang w:val="en-US" w:eastAsia="zh-CN"/>
                    </w:rPr>
                    <w:t>。</w:t>
                  </w:r>
                </w:p>
              </w:tc>
            </w:tr>
            <w:tr w14:paraId="08C7E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10" w:type="pct"/>
                  <w:vMerge w:val="continue"/>
                  <w:tcBorders>
                    <w:tl2br w:val="nil"/>
                    <w:tr2bl w:val="nil"/>
                  </w:tcBorders>
                  <w:noWrap w:val="0"/>
                  <w:vAlign w:val="center"/>
                </w:tcPr>
                <w:p w14:paraId="23D7E86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p>
              </w:tc>
              <w:tc>
                <w:tcPr>
                  <w:tcW w:w="470" w:type="pct"/>
                  <w:tcBorders>
                    <w:tl2br w:val="nil"/>
                    <w:tr2bl w:val="nil"/>
                  </w:tcBorders>
                  <w:noWrap w:val="0"/>
                  <w:vAlign w:val="center"/>
                </w:tcPr>
                <w:p w14:paraId="58EF43E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成品堆场</w:t>
                  </w:r>
                </w:p>
              </w:tc>
              <w:tc>
                <w:tcPr>
                  <w:tcW w:w="4019" w:type="pct"/>
                  <w:gridSpan w:val="2"/>
                  <w:tcBorders>
                    <w:tl2br w:val="nil"/>
                    <w:tr2bl w:val="nil"/>
                  </w:tcBorders>
                  <w:noWrap w:val="0"/>
                  <w:vAlign w:val="center"/>
                </w:tcPr>
                <w:p w14:paraId="158A8A1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FF0000"/>
                      <w:sz w:val="21"/>
                      <w:szCs w:val="21"/>
                      <w:vertAlign w:val="baseline"/>
                      <w:lang w:val="en-US" w:eastAsia="zh-CN"/>
                    </w:rPr>
                    <w:t>设于矿区南侧地势平缓处，紧临矿山生产加工区南侧，占地面积约</w:t>
                  </w:r>
                  <w:r>
                    <w:rPr>
                      <w:rFonts w:hint="default" w:ascii="Times New Roman" w:hAnsi="Times New Roman" w:eastAsia="宋体" w:cs="Times New Roman"/>
                      <w:b w:val="0"/>
                      <w:bCs/>
                      <w:color w:val="FF0000"/>
                      <w:sz w:val="21"/>
                      <w:szCs w:val="21"/>
                      <w:vertAlign w:val="baseline"/>
                      <w:lang w:val="en-US" w:eastAsia="zh-CN"/>
                    </w:rPr>
                    <w:t>21066m</w:t>
                  </w:r>
                  <w:r>
                    <w:rPr>
                      <w:rFonts w:hint="default" w:ascii="Times New Roman" w:hAnsi="Times New Roman" w:eastAsia="宋体" w:cs="Times New Roman"/>
                      <w:b w:val="0"/>
                      <w:bCs/>
                      <w:color w:val="FF0000"/>
                      <w:sz w:val="21"/>
                      <w:szCs w:val="21"/>
                      <w:vertAlign w:val="superscript"/>
                      <w:lang w:val="en-US" w:eastAsia="zh-CN"/>
                    </w:rPr>
                    <w:t>2</w:t>
                  </w:r>
                  <w:r>
                    <w:rPr>
                      <w:rFonts w:hint="eastAsia" w:ascii="Times New Roman" w:hAnsi="Times New Roman" w:eastAsia="宋体" w:cs="Times New Roman"/>
                      <w:b w:val="0"/>
                      <w:bCs/>
                      <w:color w:val="FF0000"/>
                      <w:sz w:val="21"/>
                      <w:szCs w:val="21"/>
                      <w:vertAlign w:val="baseline"/>
                      <w:lang w:val="en-US" w:eastAsia="zh-CN"/>
                    </w:rPr>
                    <w:t>，主要为成品矿石堆放场地，</w:t>
                  </w:r>
                  <w:r>
                    <w:rPr>
                      <w:rFonts w:hint="eastAsia" w:ascii="Times New Roman" w:hAnsi="Times New Roman" w:eastAsia="宋体" w:cs="Times New Roman"/>
                      <w:color w:val="FF0000"/>
                      <w:sz w:val="21"/>
                      <w:szCs w:val="21"/>
                      <w:lang w:val="en-US" w:eastAsia="zh-CN"/>
                    </w:rPr>
                    <w:t>设置</w:t>
                  </w:r>
                  <w:r>
                    <w:rPr>
                      <w:rFonts w:hint="eastAsia" w:cs="Times New Roman"/>
                      <w:color w:val="FF0000"/>
                      <w:sz w:val="21"/>
                      <w:szCs w:val="21"/>
                      <w:lang w:val="en-US" w:eastAsia="zh-CN"/>
                    </w:rPr>
                    <w:t>封闭车间</w:t>
                  </w:r>
                  <w:r>
                    <w:rPr>
                      <w:rFonts w:hint="eastAsia" w:ascii="Times New Roman" w:hAnsi="Times New Roman" w:eastAsia="宋体" w:cs="Times New Roman"/>
                      <w:color w:val="FF0000"/>
                      <w:sz w:val="21"/>
                      <w:szCs w:val="21"/>
                      <w:lang w:val="en-US" w:eastAsia="zh-CN"/>
                    </w:rPr>
                    <w:t>，</w:t>
                  </w:r>
                  <w:r>
                    <w:rPr>
                      <w:rFonts w:hint="eastAsia" w:cs="Times New Roman"/>
                      <w:color w:val="FF0000"/>
                      <w:sz w:val="21"/>
                      <w:szCs w:val="21"/>
                      <w:lang w:val="en-US" w:eastAsia="zh-CN"/>
                    </w:rPr>
                    <w:t>车间建筑面积为（长宽高30</w:t>
                  </w:r>
                  <w:r>
                    <w:rPr>
                      <w:rFonts w:hint="eastAsia" w:cs="Times New Roman"/>
                      <w:b w:val="0"/>
                      <w:bCs/>
                      <w:color w:val="FF0000"/>
                      <w:sz w:val="21"/>
                      <w:szCs w:val="21"/>
                      <w:highlight w:val="none"/>
                      <w:vertAlign w:val="baseline"/>
                      <w:lang w:val="en-US" w:eastAsia="zh-CN"/>
                    </w:rPr>
                    <w:t>m</w:t>
                  </w:r>
                  <w:r>
                    <w:rPr>
                      <w:rFonts w:hint="eastAsia" w:cs="Times New Roman"/>
                      <w:color w:val="FF0000"/>
                      <w:sz w:val="21"/>
                      <w:szCs w:val="21"/>
                      <w:lang w:val="en-US" w:eastAsia="zh-CN"/>
                    </w:rPr>
                    <w:t>*25</w:t>
                  </w:r>
                  <w:r>
                    <w:rPr>
                      <w:rFonts w:hint="eastAsia" w:cs="Times New Roman"/>
                      <w:b w:val="0"/>
                      <w:bCs/>
                      <w:color w:val="FF0000"/>
                      <w:sz w:val="21"/>
                      <w:szCs w:val="21"/>
                      <w:highlight w:val="none"/>
                      <w:vertAlign w:val="baseline"/>
                      <w:lang w:val="en-US" w:eastAsia="zh-CN"/>
                    </w:rPr>
                    <w:t>m</w:t>
                  </w:r>
                  <w:r>
                    <w:rPr>
                      <w:rFonts w:hint="eastAsia" w:cs="Times New Roman"/>
                      <w:color w:val="FF0000"/>
                      <w:sz w:val="21"/>
                      <w:szCs w:val="21"/>
                      <w:lang w:val="en-US" w:eastAsia="zh-CN"/>
                    </w:rPr>
                    <w:t>*4</w:t>
                  </w:r>
                  <w:r>
                    <w:rPr>
                      <w:rFonts w:hint="eastAsia" w:cs="Times New Roman"/>
                      <w:b w:val="0"/>
                      <w:bCs/>
                      <w:color w:val="FF0000"/>
                      <w:sz w:val="21"/>
                      <w:szCs w:val="21"/>
                      <w:highlight w:val="none"/>
                      <w:vertAlign w:val="baseline"/>
                      <w:lang w:val="en-US" w:eastAsia="zh-CN"/>
                    </w:rPr>
                    <w:t>m</w:t>
                  </w:r>
                  <w:r>
                    <w:rPr>
                      <w:rFonts w:hint="eastAsia" w:cs="Times New Roman"/>
                      <w:color w:val="FF0000"/>
                      <w:sz w:val="21"/>
                      <w:szCs w:val="21"/>
                      <w:lang w:val="en-US" w:eastAsia="zh-CN"/>
                    </w:rPr>
                    <w:t>）750m</w:t>
                  </w:r>
                  <w:r>
                    <w:rPr>
                      <w:rFonts w:hint="eastAsia" w:cs="Times New Roman"/>
                      <w:color w:val="FF0000"/>
                      <w:sz w:val="21"/>
                      <w:szCs w:val="21"/>
                      <w:vertAlign w:val="superscript"/>
                      <w:lang w:val="en-US" w:eastAsia="zh-CN"/>
                    </w:rPr>
                    <w:t>2</w:t>
                  </w:r>
                  <w:r>
                    <w:rPr>
                      <w:rFonts w:hint="eastAsia" w:cs="Times New Roman"/>
                      <w:color w:val="FF0000"/>
                      <w:sz w:val="21"/>
                      <w:szCs w:val="21"/>
                      <w:lang w:val="en-US" w:eastAsia="zh-CN"/>
                    </w:rPr>
                    <w:t>，车间顶部设置喷淋头，</w:t>
                  </w:r>
                  <w:r>
                    <w:rPr>
                      <w:rFonts w:hint="eastAsia" w:ascii="Times New Roman" w:hAnsi="Times New Roman" w:eastAsia="宋体" w:cs="Times New Roman"/>
                      <w:color w:val="FF0000"/>
                      <w:sz w:val="21"/>
                      <w:szCs w:val="21"/>
                      <w:lang w:val="en-US" w:eastAsia="zh-CN"/>
                    </w:rPr>
                    <w:t>喷淋降尘</w:t>
                  </w:r>
                </w:p>
              </w:tc>
            </w:tr>
            <w:tr w14:paraId="7AAC9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10" w:type="pct"/>
                  <w:vMerge w:val="continue"/>
                  <w:tcBorders>
                    <w:tl2br w:val="nil"/>
                    <w:tr2bl w:val="nil"/>
                  </w:tcBorders>
                  <w:noWrap w:val="0"/>
                  <w:vAlign w:val="center"/>
                </w:tcPr>
                <w:p w14:paraId="411A061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rPr>
                  </w:pPr>
                </w:p>
              </w:tc>
              <w:tc>
                <w:tcPr>
                  <w:tcW w:w="470" w:type="pct"/>
                  <w:tcBorders>
                    <w:tl2br w:val="nil"/>
                    <w:tr2bl w:val="nil"/>
                  </w:tcBorders>
                  <w:noWrap w:val="0"/>
                  <w:vAlign w:val="center"/>
                </w:tcPr>
                <w:p w14:paraId="5DDEA95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矿区</w:t>
                  </w:r>
                  <w:r>
                    <w:rPr>
                      <w:rFonts w:hint="default" w:ascii="Times New Roman" w:hAnsi="Times New Roman" w:eastAsia="宋体" w:cs="Times New Roman"/>
                      <w:b w:val="0"/>
                      <w:bCs/>
                      <w:sz w:val="21"/>
                      <w:szCs w:val="21"/>
                      <w:vertAlign w:val="baseline"/>
                      <w:lang w:val="en-US" w:eastAsia="zh-CN"/>
                    </w:rPr>
                    <w:t>道路</w:t>
                  </w:r>
                </w:p>
              </w:tc>
              <w:tc>
                <w:tcPr>
                  <w:tcW w:w="4019" w:type="pct"/>
                  <w:gridSpan w:val="2"/>
                  <w:tcBorders>
                    <w:tl2br w:val="nil"/>
                    <w:tr2bl w:val="nil"/>
                  </w:tcBorders>
                  <w:noWrap w:val="0"/>
                  <w:vAlign w:val="center"/>
                </w:tcPr>
                <w:p w14:paraId="0D66004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FF0000"/>
                      <w:sz w:val="21"/>
                      <w:szCs w:val="21"/>
                      <w:vertAlign w:val="baseline"/>
                      <w:lang w:val="en-US" w:eastAsia="zh-CN"/>
                    </w:rPr>
                    <w:t>矿山道路主要依据地形沿原有乡村道路呈“</w:t>
                  </w:r>
                  <w:r>
                    <w:rPr>
                      <w:rFonts w:hint="default" w:ascii="Times New Roman" w:hAnsi="Times New Roman" w:eastAsia="宋体" w:cs="Times New Roman"/>
                      <w:b w:val="0"/>
                      <w:bCs/>
                      <w:color w:val="FF0000"/>
                      <w:sz w:val="21"/>
                      <w:szCs w:val="21"/>
                      <w:vertAlign w:val="baseline"/>
                      <w:lang w:val="en-US" w:eastAsia="zh-CN"/>
                    </w:rPr>
                    <w:t>S</w:t>
                  </w:r>
                  <w:r>
                    <w:rPr>
                      <w:rFonts w:hint="eastAsia" w:ascii="Times New Roman" w:hAnsi="Times New Roman" w:eastAsia="宋体" w:cs="Times New Roman"/>
                      <w:b w:val="0"/>
                      <w:bCs/>
                      <w:color w:val="FF0000"/>
                      <w:sz w:val="21"/>
                      <w:szCs w:val="21"/>
                      <w:vertAlign w:val="baseline"/>
                      <w:lang w:val="en-US" w:eastAsia="zh-CN"/>
                    </w:rPr>
                    <w:t>”型布设于矿区西侧及南侧地形较缓处，采用泥浇碎石路面，宽</w:t>
                  </w:r>
                  <w:r>
                    <w:rPr>
                      <w:rFonts w:hint="default" w:ascii="Times New Roman" w:hAnsi="Times New Roman" w:eastAsia="宋体" w:cs="Times New Roman"/>
                      <w:b w:val="0"/>
                      <w:bCs/>
                      <w:color w:val="FF0000"/>
                      <w:sz w:val="21"/>
                      <w:szCs w:val="21"/>
                      <w:vertAlign w:val="baseline"/>
                      <w:lang w:val="en-US" w:eastAsia="zh-CN"/>
                    </w:rPr>
                    <w:t>6m</w:t>
                  </w:r>
                  <w:r>
                    <w:rPr>
                      <w:rFonts w:hint="eastAsia" w:ascii="Times New Roman" w:hAnsi="Times New Roman" w:eastAsia="宋体" w:cs="Times New Roman"/>
                      <w:b w:val="0"/>
                      <w:bCs/>
                      <w:color w:val="FF0000"/>
                      <w:sz w:val="21"/>
                      <w:szCs w:val="21"/>
                      <w:vertAlign w:val="baseline"/>
                      <w:lang w:val="en-US" w:eastAsia="zh-CN"/>
                    </w:rPr>
                    <w:t>，路基宽</w:t>
                  </w:r>
                  <w:r>
                    <w:rPr>
                      <w:rFonts w:hint="default" w:ascii="Times New Roman" w:hAnsi="Times New Roman" w:eastAsia="宋体" w:cs="Times New Roman"/>
                      <w:b w:val="0"/>
                      <w:bCs/>
                      <w:color w:val="FF0000"/>
                      <w:sz w:val="21"/>
                      <w:szCs w:val="21"/>
                      <w:vertAlign w:val="baseline"/>
                      <w:lang w:val="en-US" w:eastAsia="zh-CN"/>
                    </w:rPr>
                    <w:t>7m</w:t>
                  </w:r>
                  <w:r>
                    <w:rPr>
                      <w:rFonts w:hint="eastAsia" w:ascii="Times New Roman" w:hAnsi="Times New Roman" w:eastAsia="宋体" w:cs="Times New Roman"/>
                      <w:b w:val="0"/>
                      <w:bCs/>
                      <w:color w:val="FF0000"/>
                      <w:sz w:val="21"/>
                      <w:szCs w:val="21"/>
                      <w:vertAlign w:val="baseline"/>
                      <w:lang w:val="en-US" w:eastAsia="zh-CN"/>
                    </w:rPr>
                    <w:t>，路面最大纵坡</w:t>
                  </w:r>
                  <w:r>
                    <w:rPr>
                      <w:rFonts w:hint="default" w:ascii="Times New Roman" w:hAnsi="Times New Roman" w:eastAsia="宋体" w:cs="Times New Roman"/>
                      <w:b w:val="0"/>
                      <w:bCs/>
                      <w:color w:val="FF0000"/>
                      <w:sz w:val="21"/>
                      <w:szCs w:val="21"/>
                      <w:vertAlign w:val="baseline"/>
                      <w:lang w:val="en-US" w:eastAsia="zh-CN"/>
                    </w:rPr>
                    <w:t>8%</w:t>
                  </w:r>
                  <w:r>
                    <w:rPr>
                      <w:rFonts w:hint="eastAsia" w:ascii="Times New Roman" w:hAnsi="Times New Roman" w:eastAsia="宋体" w:cs="Times New Roman"/>
                      <w:b w:val="0"/>
                      <w:bCs/>
                      <w:color w:val="FF0000"/>
                      <w:sz w:val="21"/>
                      <w:szCs w:val="21"/>
                      <w:vertAlign w:val="baseline"/>
                      <w:lang w:val="en-US" w:eastAsia="zh-CN"/>
                    </w:rPr>
                    <w:t>，平均坡度小于</w:t>
                  </w:r>
                  <w:r>
                    <w:rPr>
                      <w:rFonts w:hint="default" w:ascii="Times New Roman" w:hAnsi="Times New Roman" w:eastAsia="宋体" w:cs="Times New Roman"/>
                      <w:b w:val="0"/>
                      <w:bCs/>
                      <w:color w:val="FF0000"/>
                      <w:sz w:val="21"/>
                      <w:szCs w:val="21"/>
                      <w:vertAlign w:val="baseline"/>
                      <w:lang w:val="en-US" w:eastAsia="zh-CN"/>
                    </w:rPr>
                    <w:t>6.5</w:t>
                  </w:r>
                  <w:r>
                    <w:rPr>
                      <w:rFonts w:hint="eastAsia" w:ascii="Times New Roman" w:hAnsi="Times New Roman" w:eastAsia="宋体" w:cs="Times New Roman"/>
                      <w:b w:val="0"/>
                      <w:bCs/>
                      <w:color w:val="FF0000"/>
                      <w:sz w:val="21"/>
                      <w:szCs w:val="21"/>
                      <w:vertAlign w:val="baseline"/>
                      <w:lang w:val="en-US" w:eastAsia="zh-CN"/>
                    </w:rPr>
                    <w:t>％，最小转弯半径不小于</w:t>
                  </w:r>
                  <w:r>
                    <w:rPr>
                      <w:rFonts w:hint="default" w:ascii="Times New Roman" w:hAnsi="Times New Roman" w:eastAsia="宋体" w:cs="Times New Roman"/>
                      <w:b w:val="0"/>
                      <w:bCs/>
                      <w:color w:val="FF0000"/>
                      <w:sz w:val="21"/>
                      <w:szCs w:val="21"/>
                      <w:vertAlign w:val="baseline"/>
                      <w:lang w:val="en-US" w:eastAsia="zh-CN"/>
                    </w:rPr>
                    <w:t>15m</w:t>
                  </w:r>
                </w:p>
              </w:tc>
            </w:tr>
            <w:tr w14:paraId="6C95A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10" w:type="pct"/>
                  <w:vMerge w:val="restart"/>
                  <w:tcBorders>
                    <w:tl2br w:val="nil"/>
                    <w:tr2bl w:val="nil"/>
                  </w:tcBorders>
                  <w:noWrap w:val="0"/>
                  <w:vAlign w:val="center"/>
                </w:tcPr>
                <w:p w14:paraId="277DF19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公用工程</w:t>
                  </w:r>
                </w:p>
              </w:tc>
              <w:tc>
                <w:tcPr>
                  <w:tcW w:w="470" w:type="pct"/>
                  <w:tcBorders>
                    <w:tl2br w:val="nil"/>
                    <w:tr2bl w:val="nil"/>
                  </w:tcBorders>
                  <w:noWrap w:val="0"/>
                  <w:vAlign w:val="center"/>
                </w:tcPr>
                <w:p w14:paraId="173374CD">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供水</w:t>
                  </w:r>
                </w:p>
              </w:tc>
              <w:tc>
                <w:tcPr>
                  <w:tcW w:w="4019" w:type="pct"/>
                  <w:gridSpan w:val="2"/>
                  <w:tcBorders>
                    <w:tl2br w:val="nil"/>
                    <w:tr2bl w:val="nil"/>
                  </w:tcBorders>
                  <w:noWrap w:val="0"/>
                  <w:vAlign w:val="center"/>
                </w:tcPr>
                <w:p w14:paraId="546494C3">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修建一小型蓄水池</w:t>
                  </w:r>
                  <w:r>
                    <w:rPr>
                      <w:rFonts w:hint="eastAsia" w:cs="Times New Roman"/>
                      <w:b w:val="0"/>
                      <w:bCs/>
                      <w:color w:val="0000FF"/>
                      <w:sz w:val="21"/>
                      <w:szCs w:val="21"/>
                      <w:vertAlign w:val="baseline"/>
                      <w:lang w:val="en-US" w:eastAsia="zh-CN"/>
                    </w:rPr>
                    <w:t>（约50m</w:t>
                  </w:r>
                  <w:r>
                    <w:rPr>
                      <w:rFonts w:hint="eastAsia" w:cs="Times New Roman"/>
                      <w:b w:val="0"/>
                      <w:bCs/>
                      <w:color w:val="0000FF"/>
                      <w:sz w:val="21"/>
                      <w:szCs w:val="21"/>
                      <w:vertAlign w:val="superscript"/>
                      <w:lang w:val="en-US" w:eastAsia="zh-CN"/>
                    </w:rPr>
                    <w:t>3</w:t>
                  </w:r>
                  <w:r>
                    <w:rPr>
                      <w:rFonts w:hint="eastAsia" w:cs="Times New Roman"/>
                      <w:b w:val="0"/>
                      <w:bCs/>
                      <w:color w:val="0000FF"/>
                      <w:sz w:val="21"/>
                      <w:szCs w:val="21"/>
                      <w:vertAlign w:val="baseline"/>
                      <w:lang w:val="en-US" w:eastAsia="zh-CN"/>
                    </w:rPr>
                    <w:t>）</w:t>
                  </w:r>
                  <w:r>
                    <w:rPr>
                      <w:rFonts w:hint="eastAsia" w:ascii="Times New Roman" w:hAnsi="Times New Roman" w:eastAsia="宋体" w:cs="Times New Roman"/>
                      <w:b w:val="0"/>
                      <w:bCs/>
                      <w:sz w:val="21"/>
                      <w:szCs w:val="21"/>
                      <w:vertAlign w:val="baseline"/>
                      <w:lang w:val="en-US" w:eastAsia="zh-CN"/>
                    </w:rPr>
                    <w:t>用于解决生产生活用水，</w:t>
                  </w:r>
                  <w:r>
                    <w:rPr>
                      <w:rFonts w:hint="eastAsia" w:ascii="Times New Roman" w:hAnsi="Times New Roman" w:eastAsia="宋体" w:cs="Times New Roman"/>
                      <w:b w:val="0"/>
                      <w:bCs/>
                      <w:color w:val="0000FF"/>
                      <w:sz w:val="21"/>
                      <w:szCs w:val="21"/>
                      <w:vertAlign w:val="baseline"/>
                      <w:lang w:val="en-US" w:eastAsia="zh-CN"/>
                    </w:rPr>
                    <w:t>可从矿区</w:t>
                  </w:r>
                  <w:r>
                    <w:rPr>
                      <w:rFonts w:hint="eastAsia" w:cs="Times New Roman"/>
                      <w:b w:val="0"/>
                      <w:bCs/>
                      <w:color w:val="0000FF"/>
                      <w:sz w:val="21"/>
                      <w:szCs w:val="21"/>
                      <w:vertAlign w:val="baseline"/>
                      <w:lang w:val="en-US" w:eastAsia="zh-CN"/>
                    </w:rPr>
                    <w:t>下游河北乡赛塘村</w:t>
                  </w:r>
                  <w:r>
                    <w:rPr>
                      <w:rFonts w:hint="eastAsia" w:ascii="Times New Roman" w:hAnsi="Times New Roman" w:eastAsia="宋体" w:cs="Times New Roman"/>
                      <w:b w:val="0"/>
                      <w:bCs/>
                      <w:color w:val="0000FF"/>
                      <w:sz w:val="21"/>
                      <w:szCs w:val="21"/>
                      <w:vertAlign w:val="baseline"/>
                      <w:lang w:val="en-US" w:eastAsia="zh-CN"/>
                    </w:rPr>
                    <w:t>拉运解决</w:t>
                  </w:r>
                </w:p>
              </w:tc>
            </w:tr>
            <w:tr w14:paraId="2D617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10" w:type="pct"/>
                  <w:vMerge w:val="continue"/>
                  <w:tcBorders>
                    <w:tl2br w:val="nil"/>
                    <w:tr2bl w:val="nil"/>
                  </w:tcBorders>
                  <w:noWrap w:val="0"/>
                  <w:vAlign w:val="center"/>
                </w:tcPr>
                <w:p w14:paraId="1BCAA4C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tcBorders>
                    <w:tl2br w:val="nil"/>
                    <w:tr2bl w:val="nil"/>
                  </w:tcBorders>
                  <w:noWrap w:val="0"/>
                  <w:vAlign w:val="center"/>
                </w:tcPr>
                <w:p w14:paraId="4E1EE2D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vertAlign w:val="baseline"/>
                      <w:lang w:val="en-US" w:eastAsia="zh-CN"/>
                    </w:rPr>
                  </w:pPr>
                  <w:r>
                    <w:rPr>
                      <w:rFonts w:hint="eastAsia" w:ascii="Times New Roman" w:hAnsi="Times New Roman" w:eastAsia="宋体" w:cs="Times New Roman"/>
                      <w:b w:val="0"/>
                      <w:bCs/>
                      <w:color w:val="FF0000"/>
                      <w:sz w:val="21"/>
                      <w:szCs w:val="21"/>
                      <w:vertAlign w:val="baseline"/>
                      <w:lang w:val="en-US" w:eastAsia="zh-CN"/>
                    </w:rPr>
                    <w:t>排水</w:t>
                  </w:r>
                </w:p>
              </w:tc>
              <w:tc>
                <w:tcPr>
                  <w:tcW w:w="4019" w:type="pct"/>
                  <w:gridSpan w:val="2"/>
                  <w:tcBorders>
                    <w:tl2br w:val="nil"/>
                    <w:tr2bl w:val="nil"/>
                  </w:tcBorders>
                  <w:noWrap w:val="0"/>
                  <w:vAlign w:val="center"/>
                </w:tcPr>
                <w:p w14:paraId="42B48BF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vertAlign w:val="baseline"/>
                      <w:lang w:val="en-US" w:eastAsia="zh-CN"/>
                    </w:rPr>
                  </w:pPr>
                  <w:r>
                    <w:rPr>
                      <w:rFonts w:hint="eastAsia" w:ascii="Times New Roman" w:hAnsi="Times New Roman" w:eastAsia="宋体" w:cs="Times New Roman"/>
                      <w:b w:val="0"/>
                      <w:bCs/>
                      <w:color w:val="FF0000"/>
                      <w:sz w:val="21"/>
                      <w:szCs w:val="21"/>
                      <w:vertAlign w:val="baseline"/>
                      <w:lang w:val="en-US" w:eastAsia="zh-CN"/>
                    </w:rPr>
                    <w:t>职工</w:t>
                  </w:r>
                  <w:r>
                    <w:rPr>
                      <w:rFonts w:hint="eastAsia" w:cs="Times New Roman"/>
                      <w:b w:val="0"/>
                      <w:bCs/>
                      <w:color w:val="FF0000"/>
                      <w:sz w:val="21"/>
                      <w:szCs w:val="21"/>
                      <w:vertAlign w:val="baseline"/>
                      <w:lang w:val="en-US" w:eastAsia="zh-CN"/>
                    </w:rPr>
                    <w:t>盥洗废水和淋浴废水经管道进入化粪池，职工人员</w:t>
                  </w:r>
                  <w:r>
                    <w:rPr>
                      <w:rFonts w:hint="eastAsia" w:ascii="Times New Roman" w:hAnsi="Times New Roman" w:eastAsia="宋体" w:cs="Times New Roman"/>
                      <w:b w:val="0"/>
                      <w:bCs/>
                      <w:color w:val="FF0000"/>
                      <w:sz w:val="21"/>
                      <w:szCs w:val="21"/>
                      <w:vertAlign w:val="baseline"/>
                      <w:lang w:val="en-US" w:eastAsia="zh-CN"/>
                    </w:rPr>
                    <w:t>如厕采用</w:t>
                  </w:r>
                  <w:r>
                    <w:rPr>
                      <w:rFonts w:hint="eastAsia" w:cs="Times New Roman"/>
                      <w:b w:val="0"/>
                      <w:bCs/>
                      <w:color w:val="FF0000"/>
                      <w:sz w:val="21"/>
                      <w:szCs w:val="21"/>
                      <w:vertAlign w:val="baseline"/>
                      <w:lang w:val="en-US" w:eastAsia="zh-CN"/>
                    </w:rPr>
                    <w:t>干式</w:t>
                  </w:r>
                  <w:r>
                    <w:rPr>
                      <w:rFonts w:hint="eastAsia" w:ascii="Times New Roman" w:hAnsi="Times New Roman" w:eastAsia="宋体" w:cs="Times New Roman"/>
                      <w:b w:val="0"/>
                      <w:bCs/>
                      <w:color w:val="FF0000"/>
                      <w:sz w:val="21"/>
                      <w:szCs w:val="21"/>
                      <w:vertAlign w:val="baseline"/>
                      <w:lang w:val="en-US" w:eastAsia="zh-CN"/>
                    </w:rPr>
                    <w:t>环保厕所</w:t>
                  </w:r>
                  <w:r>
                    <w:rPr>
                      <w:rFonts w:hint="eastAsia" w:cs="Times New Roman"/>
                      <w:b w:val="0"/>
                      <w:bCs/>
                      <w:color w:val="FF0000"/>
                      <w:sz w:val="21"/>
                      <w:szCs w:val="21"/>
                      <w:vertAlign w:val="baseline"/>
                      <w:lang w:val="en-US" w:eastAsia="zh-CN"/>
                    </w:rPr>
                    <w:t>，旁边设置化粪池，粪便进入化粪池后，委托有资质的单位定期清掏清运</w:t>
                  </w:r>
                </w:p>
              </w:tc>
            </w:tr>
            <w:tr w14:paraId="5A88A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10" w:type="pct"/>
                  <w:vMerge w:val="continue"/>
                  <w:tcBorders>
                    <w:tl2br w:val="nil"/>
                    <w:tr2bl w:val="nil"/>
                  </w:tcBorders>
                  <w:noWrap w:val="0"/>
                  <w:vAlign w:val="center"/>
                </w:tcPr>
                <w:p w14:paraId="1A0C360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rPr>
                  </w:pPr>
                </w:p>
              </w:tc>
              <w:tc>
                <w:tcPr>
                  <w:tcW w:w="470" w:type="pct"/>
                  <w:tcBorders>
                    <w:tl2br w:val="nil"/>
                    <w:tr2bl w:val="nil"/>
                  </w:tcBorders>
                  <w:noWrap w:val="0"/>
                  <w:vAlign w:val="center"/>
                </w:tcPr>
                <w:p w14:paraId="76A6435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供电</w:t>
                  </w:r>
                </w:p>
              </w:tc>
              <w:tc>
                <w:tcPr>
                  <w:tcW w:w="4019" w:type="pct"/>
                  <w:gridSpan w:val="2"/>
                  <w:tcBorders>
                    <w:tl2br w:val="nil"/>
                    <w:tr2bl w:val="nil"/>
                  </w:tcBorders>
                  <w:noWrap w:val="0"/>
                  <w:vAlign w:val="center"/>
                </w:tcPr>
                <w:p w14:paraId="241748D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矿山生产采用外部电源，外接</w:t>
                  </w:r>
                  <w:r>
                    <w:rPr>
                      <w:rFonts w:hint="default" w:ascii="Times New Roman" w:hAnsi="Times New Roman" w:eastAsia="宋体" w:cs="Times New Roman"/>
                      <w:b w:val="0"/>
                      <w:bCs/>
                      <w:sz w:val="21"/>
                      <w:szCs w:val="21"/>
                      <w:vertAlign w:val="baseline"/>
                      <w:lang w:val="en-US" w:eastAsia="zh-CN"/>
                    </w:rPr>
                    <w:t>10kV</w:t>
                  </w:r>
                  <w:r>
                    <w:rPr>
                      <w:rFonts w:hint="eastAsia" w:ascii="Times New Roman" w:hAnsi="Times New Roman" w:eastAsia="宋体" w:cs="Times New Roman"/>
                      <w:b w:val="0"/>
                      <w:bCs/>
                      <w:sz w:val="21"/>
                      <w:szCs w:val="21"/>
                      <w:vertAlign w:val="baseline"/>
                      <w:lang w:val="en-US" w:eastAsia="zh-CN"/>
                    </w:rPr>
                    <w:t>输电线路</w:t>
                  </w:r>
                </w:p>
              </w:tc>
            </w:tr>
            <w:tr w14:paraId="42113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10" w:type="pct"/>
                  <w:vMerge w:val="continue"/>
                  <w:tcBorders>
                    <w:tl2br w:val="nil"/>
                    <w:tr2bl w:val="nil"/>
                  </w:tcBorders>
                  <w:noWrap w:val="0"/>
                  <w:vAlign w:val="center"/>
                </w:tcPr>
                <w:p w14:paraId="51D905B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rPr>
                  </w:pPr>
                </w:p>
              </w:tc>
              <w:tc>
                <w:tcPr>
                  <w:tcW w:w="470" w:type="pct"/>
                  <w:tcBorders>
                    <w:tl2br w:val="nil"/>
                    <w:tr2bl w:val="nil"/>
                  </w:tcBorders>
                  <w:noWrap w:val="0"/>
                  <w:vAlign w:val="center"/>
                </w:tcPr>
                <w:p w14:paraId="6A480E7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供暖</w:t>
                  </w:r>
                </w:p>
              </w:tc>
              <w:tc>
                <w:tcPr>
                  <w:tcW w:w="4019" w:type="pct"/>
                  <w:gridSpan w:val="2"/>
                  <w:tcBorders>
                    <w:tl2br w:val="nil"/>
                    <w:tr2bl w:val="nil"/>
                  </w:tcBorders>
                  <w:noWrap w:val="0"/>
                  <w:vAlign w:val="center"/>
                </w:tcPr>
                <w:p w14:paraId="718557B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冬季留守值班人员采用电采暖方式</w:t>
                  </w:r>
                </w:p>
              </w:tc>
            </w:tr>
            <w:tr w14:paraId="5CDB8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10" w:type="pct"/>
                  <w:vMerge w:val="restart"/>
                  <w:tcBorders>
                    <w:tl2br w:val="nil"/>
                    <w:tr2bl w:val="nil"/>
                  </w:tcBorders>
                  <w:noWrap w:val="0"/>
                  <w:vAlign w:val="center"/>
                </w:tcPr>
                <w:p w14:paraId="204B6C3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环保工程</w:t>
                  </w:r>
                </w:p>
              </w:tc>
              <w:tc>
                <w:tcPr>
                  <w:tcW w:w="470" w:type="pct"/>
                  <w:vMerge w:val="restart"/>
                  <w:tcBorders>
                    <w:tl2br w:val="nil"/>
                    <w:tr2bl w:val="nil"/>
                  </w:tcBorders>
                  <w:noWrap w:val="0"/>
                  <w:vAlign w:val="center"/>
                </w:tcPr>
                <w:p w14:paraId="5654DBF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废气</w:t>
                  </w:r>
                </w:p>
              </w:tc>
              <w:tc>
                <w:tcPr>
                  <w:tcW w:w="969" w:type="pct"/>
                  <w:tcBorders>
                    <w:tl2br w:val="nil"/>
                    <w:tr2bl w:val="nil"/>
                  </w:tcBorders>
                  <w:noWrap w:val="0"/>
                  <w:vAlign w:val="center"/>
                </w:tcPr>
                <w:p w14:paraId="5671786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vertAlign w:val="baseline"/>
                      <w:lang w:val="en-US" w:eastAsia="zh-CN"/>
                    </w:rPr>
                  </w:pPr>
                  <w:r>
                    <w:rPr>
                      <w:rFonts w:hint="eastAsia" w:ascii="Times New Roman" w:hAnsi="Times New Roman" w:eastAsia="宋体" w:cs="Times New Roman"/>
                      <w:b w:val="0"/>
                      <w:bCs/>
                      <w:color w:val="FF0000"/>
                      <w:sz w:val="21"/>
                      <w:szCs w:val="21"/>
                      <w:vertAlign w:val="baseline"/>
                      <w:lang w:val="en-US" w:eastAsia="zh-CN"/>
                    </w:rPr>
                    <w:t>表土剥离、开采粉尘</w:t>
                  </w:r>
                </w:p>
              </w:tc>
              <w:tc>
                <w:tcPr>
                  <w:tcW w:w="3049" w:type="pct"/>
                  <w:tcBorders>
                    <w:tl2br w:val="nil"/>
                    <w:tr2bl w:val="nil"/>
                  </w:tcBorders>
                  <w:noWrap w:val="0"/>
                  <w:vAlign w:val="center"/>
                </w:tcPr>
                <w:p w14:paraId="6E392AA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vertAlign w:val="baseline"/>
                      <w:lang w:val="en-US" w:eastAsia="zh-CN"/>
                    </w:rPr>
                  </w:pPr>
                  <w:r>
                    <w:rPr>
                      <w:rFonts w:hint="eastAsia" w:ascii="Times New Roman" w:hAnsi="Times New Roman" w:eastAsia="宋体" w:cs="Times New Roman"/>
                      <w:b w:val="0"/>
                      <w:bCs/>
                      <w:color w:val="FF0000"/>
                      <w:sz w:val="21"/>
                      <w:szCs w:val="21"/>
                      <w:vertAlign w:val="baseline"/>
                      <w:lang w:val="en-US" w:eastAsia="zh-CN"/>
                    </w:rPr>
                    <w:t>设洒水车一辆、矿区及矿区道路定期洒水抑尘</w:t>
                  </w:r>
                  <w:r>
                    <w:rPr>
                      <w:rFonts w:hint="eastAsia" w:cs="Times New Roman"/>
                      <w:b w:val="0"/>
                      <w:bCs/>
                      <w:color w:val="FF0000"/>
                      <w:sz w:val="21"/>
                      <w:szCs w:val="21"/>
                      <w:vertAlign w:val="baseline"/>
                      <w:lang w:val="en-US" w:eastAsia="zh-CN"/>
                    </w:rPr>
                    <w:t>，每天平均3-4次</w:t>
                  </w:r>
                  <w:r>
                    <w:rPr>
                      <w:rFonts w:hint="eastAsia" w:ascii="Times New Roman" w:hAnsi="Times New Roman" w:eastAsia="宋体" w:cs="Times New Roman"/>
                      <w:b w:val="0"/>
                      <w:bCs/>
                      <w:color w:val="FF0000"/>
                      <w:sz w:val="21"/>
                      <w:szCs w:val="21"/>
                      <w:vertAlign w:val="baseline"/>
                      <w:lang w:val="en-US" w:eastAsia="zh-CN"/>
                    </w:rPr>
                    <w:t>；开采时设置雾炮</w:t>
                  </w:r>
                  <w:r>
                    <w:rPr>
                      <w:rFonts w:hint="eastAsia" w:cs="Times New Roman"/>
                      <w:b w:val="0"/>
                      <w:bCs/>
                      <w:color w:val="FF0000"/>
                      <w:sz w:val="21"/>
                      <w:szCs w:val="21"/>
                      <w:vertAlign w:val="baseline"/>
                      <w:lang w:val="en-US" w:eastAsia="zh-CN"/>
                    </w:rPr>
                    <w:t>机喷雾降尘</w:t>
                  </w:r>
                </w:p>
              </w:tc>
            </w:tr>
            <w:tr w14:paraId="3E3D6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0" w:type="pct"/>
                  <w:vMerge w:val="continue"/>
                  <w:tcBorders>
                    <w:tl2br w:val="nil"/>
                    <w:tr2bl w:val="nil"/>
                  </w:tcBorders>
                  <w:noWrap w:val="0"/>
                  <w:vAlign w:val="center"/>
                </w:tcPr>
                <w:p w14:paraId="6F4429A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continue"/>
                  <w:tcBorders>
                    <w:tl2br w:val="nil"/>
                    <w:tr2bl w:val="nil"/>
                  </w:tcBorders>
                  <w:noWrap w:val="0"/>
                  <w:vAlign w:val="center"/>
                </w:tcPr>
                <w:p w14:paraId="0CD1CE6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p>
              </w:tc>
              <w:tc>
                <w:tcPr>
                  <w:tcW w:w="969" w:type="pct"/>
                  <w:tcBorders>
                    <w:tl2br w:val="nil"/>
                    <w:tr2bl w:val="nil"/>
                  </w:tcBorders>
                  <w:noWrap w:val="0"/>
                  <w:vAlign w:val="center"/>
                </w:tcPr>
                <w:p w14:paraId="29611B7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排土场粉尘</w:t>
                  </w:r>
                </w:p>
              </w:tc>
              <w:tc>
                <w:tcPr>
                  <w:tcW w:w="3049" w:type="pct"/>
                  <w:tcBorders>
                    <w:tl2br w:val="nil"/>
                    <w:tr2bl w:val="nil"/>
                  </w:tcBorders>
                  <w:noWrap w:val="0"/>
                  <w:vAlign w:val="center"/>
                </w:tcPr>
                <w:p w14:paraId="67F1AD7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color w:val="FF0000"/>
                      <w:sz w:val="21"/>
                      <w:szCs w:val="21"/>
                      <w:lang w:val="en-US" w:eastAsia="zh-CN"/>
                    </w:rPr>
                  </w:pPr>
                  <w:r>
                    <w:rPr>
                      <w:rFonts w:hint="eastAsia"/>
                      <w:color w:val="FF0000"/>
                      <w:sz w:val="21"/>
                      <w:szCs w:val="21"/>
                      <w:lang w:val="en-US" w:eastAsia="zh-CN"/>
                    </w:rPr>
                    <w:t>及时苫盖；并通过雾炮机定期洒水喷雾</w:t>
                  </w:r>
                </w:p>
              </w:tc>
            </w:tr>
            <w:tr w14:paraId="4DDDA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0" w:type="pct"/>
                  <w:vMerge w:val="continue"/>
                  <w:tcBorders>
                    <w:tl2br w:val="nil"/>
                    <w:tr2bl w:val="nil"/>
                  </w:tcBorders>
                  <w:noWrap w:val="0"/>
                  <w:vAlign w:val="center"/>
                </w:tcPr>
                <w:p w14:paraId="6E4991F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continue"/>
                  <w:tcBorders>
                    <w:tl2br w:val="nil"/>
                    <w:tr2bl w:val="nil"/>
                  </w:tcBorders>
                  <w:noWrap w:val="0"/>
                  <w:vAlign w:val="center"/>
                </w:tcPr>
                <w:p w14:paraId="58B2E73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p>
              </w:tc>
              <w:tc>
                <w:tcPr>
                  <w:tcW w:w="969" w:type="pct"/>
                  <w:tcBorders>
                    <w:tl2br w:val="nil"/>
                    <w:tr2bl w:val="nil"/>
                  </w:tcBorders>
                  <w:noWrap w:val="0"/>
                  <w:vAlign w:val="center"/>
                </w:tcPr>
                <w:p w14:paraId="320E563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成品堆场粉尘</w:t>
                  </w:r>
                </w:p>
              </w:tc>
              <w:tc>
                <w:tcPr>
                  <w:tcW w:w="3049" w:type="pct"/>
                  <w:tcBorders>
                    <w:tl2br w:val="nil"/>
                    <w:tr2bl w:val="nil"/>
                  </w:tcBorders>
                  <w:noWrap w:val="0"/>
                  <w:vAlign w:val="center"/>
                </w:tcPr>
                <w:p w14:paraId="2AE07BB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sz w:val="21"/>
                      <w:szCs w:val="21"/>
                      <w:lang w:val="en-US" w:eastAsia="zh-CN"/>
                    </w:rPr>
                  </w:pPr>
                  <w:r>
                    <w:rPr>
                      <w:rFonts w:hint="eastAsia" w:ascii="Times New Roman" w:hAnsi="Times New Roman" w:eastAsia="宋体" w:cs="Times New Roman"/>
                      <w:color w:val="000000"/>
                      <w:sz w:val="21"/>
                      <w:szCs w:val="21"/>
                      <w:lang w:val="en-US" w:eastAsia="zh-CN"/>
                    </w:rPr>
                    <w:t>设置</w:t>
                  </w:r>
                  <w:r>
                    <w:rPr>
                      <w:rFonts w:hint="eastAsia" w:cs="Times New Roman"/>
                      <w:color w:val="000000"/>
                      <w:sz w:val="21"/>
                      <w:szCs w:val="21"/>
                      <w:lang w:val="en-US" w:eastAsia="zh-CN"/>
                    </w:rPr>
                    <w:t>封闭车间</w:t>
                  </w:r>
                  <w:r>
                    <w:rPr>
                      <w:rFonts w:hint="eastAsia" w:ascii="Times New Roman" w:hAnsi="Times New Roman" w:eastAsia="宋体" w:cs="Times New Roman"/>
                      <w:color w:val="000000"/>
                      <w:sz w:val="21"/>
                      <w:szCs w:val="21"/>
                      <w:lang w:val="en-US" w:eastAsia="zh-CN"/>
                    </w:rPr>
                    <w:t>，</w:t>
                  </w:r>
                  <w:r>
                    <w:rPr>
                      <w:rFonts w:hint="eastAsia" w:cs="Times New Roman"/>
                      <w:b w:val="0"/>
                      <w:bCs/>
                      <w:color w:val="FF0000"/>
                      <w:sz w:val="21"/>
                      <w:szCs w:val="21"/>
                      <w:highlight w:val="none"/>
                      <w:vertAlign w:val="baseline"/>
                      <w:lang w:val="en-US" w:eastAsia="zh-CN"/>
                    </w:rPr>
                    <w:t>车间设置喷淋设施，顶部排列喷淋头，</w:t>
                  </w:r>
                  <w:r>
                    <w:rPr>
                      <w:rFonts w:hint="eastAsia" w:cs="Times New Roman"/>
                      <w:b w:val="0"/>
                      <w:bCs/>
                      <w:color w:val="0000FF"/>
                      <w:sz w:val="21"/>
                      <w:szCs w:val="21"/>
                      <w:highlight w:val="none"/>
                      <w:vertAlign w:val="baseline"/>
                      <w:lang w:val="en-US" w:eastAsia="zh-CN"/>
                    </w:rPr>
                    <w:t>喷淋降尘</w:t>
                  </w:r>
                </w:p>
              </w:tc>
            </w:tr>
            <w:tr w14:paraId="547E1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0" w:type="pct"/>
                  <w:vMerge w:val="continue"/>
                  <w:tcBorders>
                    <w:tl2br w:val="nil"/>
                    <w:tr2bl w:val="nil"/>
                  </w:tcBorders>
                  <w:noWrap w:val="0"/>
                  <w:vAlign w:val="center"/>
                </w:tcPr>
                <w:p w14:paraId="21218B2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continue"/>
                  <w:tcBorders>
                    <w:tl2br w:val="nil"/>
                    <w:tr2bl w:val="nil"/>
                  </w:tcBorders>
                  <w:noWrap w:val="0"/>
                  <w:vAlign w:val="center"/>
                </w:tcPr>
                <w:p w14:paraId="203B76B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p>
              </w:tc>
              <w:tc>
                <w:tcPr>
                  <w:tcW w:w="969" w:type="pct"/>
                  <w:tcBorders>
                    <w:tl2br w:val="nil"/>
                    <w:tr2bl w:val="nil"/>
                  </w:tcBorders>
                  <w:noWrap w:val="0"/>
                  <w:vAlign w:val="center"/>
                </w:tcPr>
                <w:p w14:paraId="37B102C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vertAlign w:val="baseline"/>
                      <w:lang w:val="en-US" w:eastAsia="zh-CN"/>
                    </w:rPr>
                  </w:pPr>
                  <w:r>
                    <w:rPr>
                      <w:rFonts w:hint="eastAsia" w:ascii="Times New Roman" w:hAnsi="Times New Roman" w:eastAsia="宋体" w:cs="Times New Roman"/>
                      <w:b w:val="0"/>
                      <w:bCs/>
                      <w:color w:val="FF0000"/>
                      <w:sz w:val="21"/>
                      <w:szCs w:val="21"/>
                      <w:vertAlign w:val="baseline"/>
                      <w:lang w:val="en-US" w:eastAsia="zh-CN"/>
                    </w:rPr>
                    <w:t>进料口、破碎、筛分粉尘</w:t>
                  </w:r>
                </w:p>
              </w:tc>
              <w:tc>
                <w:tcPr>
                  <w:tcW w:w="3049" w:type="pct"/>
                  <w:tcBorders>
                    <w:tl2br w:val="nil"/>
                    <w:tr2bl w:val="nil"/>
                  </w:tcBorders>
                  <w:noWrap w:val="0"/>
                  <w:vAlign w:val="center"/>
                </w:tcPr>
                <w:p w14:paraId="7F358D8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color w:val="FF0000"/>
                      <w:sz w:val="21"/>
                      <w:szCs w:val="21"/>
                      <w:lang w:val="en-US" w:eastAsia="zh-CN"/>
                    </w:rPr>
                  </w:pPr>
                  <w:r>
                    <w:rPr>
                      <w:rFonts w:hint="eastAsia"/>
                      <w:color w:val="FF0000"/>
                      <w:sz w:val="21"/>
                      <w:szCs w:val="21"/>
                      <w:lang w:val="en-US" w:eastAsia="zh-CN"/>
                    </w:rPr>
                    <w:t>进料口设置在封闭式生产车间内，生产</w:t>
                  </w:r>
                  <w:r>
                    <w:rPr>
                      <w:rFonts w:hint="eastAsia" w:cs="Times New Roman"/>
                      <w:b w:val="0"/>
                      <w:bCs/>
                      <w:color w:val="FF0000"/>
                      <w:sz w:val="21"/>
                      <w:szCs w:val="21"/>
                      <w:highlight w:val="none"/>
                      <w:vertAlign w:val="baseline"/>
                      <w:lang w:val="en-US" w:eastAsia="zh-CN"/>
                    </w:rPr>
                    <w:t>车间顶部设置喷淋头，喷淋降尘；</w:t>
                  </w:r>
                  <w:r>
                    <w:rPr>
                      <w:rFonts w:hint="eastAsia"/>
                      <w:color w:val="FF0000"/>
                      <w:sz w:val="21"/>
                      <w:szCs w:val="21"/>
                      <w:lang w:val="en-US" w:eastAsia="zh-CN"/>
                    </w:rPr>
                    <w:t>破碎车间、筛分车间设置封闭厂房，输送皮带也进行封闭设置</w:t>
                  </w:r>
                  <w:r>
                    <w:rPr>
                      <w:rFonts w:hint="eastAsia" w:cs="Times New Roman"/>
                      <w:b w:val="0"/>
                      <w:bCs/>
                      <w:color w:val="FF0000"/>
                      <w:sz w:val="21"/>
                      <w:szCs w:val="21"/>
                      <w:vertAlign w:val="baseline"/>
                      <w:lang w:val="en-US" w:eastAsia="zh-CN"/>
                    </w:rPr>
                    <w:t>，</w:t>
                  </w:r>
                  <w:r>
                    <w:rPr>
                      <w:rFonts w:hint="eastAsia" w:cs="Times New Roman"/>
                      <w:b w:val="0"/>
                      <w:bCs/>
                      <w:color w:val="FF0000"/>
                      <w:sz w:val="21"/>
                      <w:szCs w:val="21"/>
                      <w:highlight w:val="none"/>
                      <w:vertAlign w:val="baseline"/>
                      <w:lang w:val="en-US" w:eastAsia="zh-CN"/>
                    </w:rPr>
                    <w:t>车间设置喷淋设施，顶部排列喷淋头，</w:t>
                  </w:r>
                  <w:r>
                    <w:rPr>
                      <w:rFonts w:hint="eastAsia" w:cs="Times New Roman"/>
                      <w:b w:val="0"/>
                      <w:bCs/>
                      <w:color w:val="0000FF"/>
                      <w:sz w:val="21"/>
                      <w:szCs w:val="21"/>
                      <w:highlight w:val="none"/>
                      <w:vertAlign w:val="baseline"/>
                      <w:lang w:val="en-US" w:eastAsia="zh-CN"/>
                    </w:rPr>
                    <w:t>喷淋降尘</w:t>
                  </w:r>
                </w:p>
              </w:tc>
            </w:tr>
            <w:tr w14:paraId="4A988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0" w:type="pct"/>
                  <w:vMerge w:val="continue"/>
                  <w:tcBorders>
                    <w:tl2br w:val="nil"/>
                    <w:tr2bl w:val="nil"/>
                  </w:tcBorders>
                  <w:noWrap w:val="0"/>
                  <w:vAlign w:val="center"/>
                </w:tcPr>
                <w:p w14:paraId="0270470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continue"/>
                  <w:tcBorders>
                    <w:tl2br w:val="nil"/>
                    <w:tr2bl w:val="nil"/>
                  </w:tcBorders>
                  <w:noWrap w:val="0"/>
                  <w:vAlign w:val="center"/>
                </w:tcPr>
                <w:p w14:paraId="653CC8C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rPr>
                  </w:pPr>
                </w:p>
              </w:tc>
              <w:tc>
                <w:tcPr>
                  <w:tcW w:w="969" w:type="pct"/>
                  <w:tcBorders>
                    <w:tl2br w:val="nil"/>
                    <w:tr2bl w:val="nil"/>
                  </w:tcBorders>
                  <w:noWrap w:val="0"/>
                  <w:vAlign w:val="center"/>
                </w:tcPr>
                <w:p w14:paraId="4E45F80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vertAlign w:val="baseline"/>
                      <w:lang w:val="en-US" w:eastAsia="zh-CN"/>
                    </w:rPr>
                  </w:pPr>
                  <w:r>
                    <w:rPr>
                      <w:rFonts w:hint="eastAsia" w:ascii="Times New Roman" w:hAnsi="Times New Roman" w:eastAsia="宋体" w:cs="Times New Roman"/>
                      <w:b w:val="0"/>
                      <w:bCs/>
                      <w:color w:val="FF0000"/>
                      <w:sz w:val="21"/>
                      <w:szCs w:val="21"/>
                      <w:vertAlign w:val="baseline"/>
                      <w:lang w:val="en-US" w:eastAsia="zh-CN"/>
                    </w:rPr>
                    <w:t>道路运输扬尘</w:t>
                  </w:r>
                </w:p>
              </w:tc>
              <w:tc>
                <w:tcPr>
                  <w:tcW w:w="3049" w:type="pct"/>
                  <w:tcBorders>
                    <w:tl2br w:val="nil"/>
                    <w:tr2bl w:val="nil"/>
                  </w:tcBorders>
                  <w:noWrap w:val="0"/>
                  <w:vAlign w:val="center"/>
                </w:tcPr>
                <w:p w14:paraId="3AEDA50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vertAlign w:val="baseline"/>
                    </w:rPr>
                  </w:pPr>
                  <w:r>
                    <w:rPr>
                      <w:rFonts w:hint="eastAsia"/>
                      <w:color w:val="FF0000"/>
                      <w:sz w:val="21"/>
                      <w:szCs w:val="21"/>
                      <w:lang w:eastAsia="zh-CN"/>
                    </w:rPr>
                    <w:t>运输车辆采用</w:t>
                  </w:r>
                  <w:r>
                    <w:rPr>
                      <w:rFonts w:hint="eastAsia"/>
                      <w:color w:val="FF0000"/>
                      <w:sz w:val="21"/>
                      <w:szCs w:val="21"/>
                      <w:lang w:val="en-US" w:eastAsia="zh-CN"/>
                    </w:rPr>
                    <w:t>密目网苫盖</w:t>
                  </w:r>
                  <w:r>
                    <w:rPr>
                      <w:rFonts w:hint="eastAsia"/>
                      <w:color w:val="FF0000"/>
                      <w:sz w:val="21"/>
                      <w:szCs w:val="21"/>
                      <w:lang w:eastAsia="zh-CN"/>
                    </w:rPr>
                    <w:t>措施，设置车辆冲洗平台，对出场车辆进行冲洗，</w:t>
                  </w:r>
                  <w:r>
                    <w:rPr>
                      <w:rFonts w:hint="eastAsia"/>
                      <w:color w:val="FF0000"/>
                      <w:sz w:val="21"/>
                      <w:szCs w:val="21"/>
                      <w:lang w:val="en-US" w:eastAsia="zh-CN"/>
                    </w:rPr>
                    <w:t>道路定期清扫、定期用洒水车洒水抑尘</w:t>
                  </w:r>
                </w:p>
              </w:tc>
            </w:tr>
            <w:tr w14:paraId="1A003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0" w:type="pct"/>
                  <w:vMerge w:val="continue"/>
                  <w:tcBorders>
                    <w:tl2br w:val="nil"/>
                    <w:tr2bl w:val="nil"/>
                  </w:tcBorders>
                  <w:noWrap w:val="0"/>
                  <w:vAlign w:val="center"/>
                </w:tcPr>
                <w:p w14:paraId="3EAD4D1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restart"/>
                  <w:tcBorders>
                    <w:tl2br w:val="nil"/>
                    <w:tr2bl w:val="nil"/>
                  </w:tcBorders>
                  <w:noWrap w:val="0"/>
                  <w:vAlign w:val="center"/>
                </w:tcPr>
                <w:p w14:paraId="35CCC12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废水</w:t>
                  </w:r>
                </w:p>
              </w:tc>
              <w:tc>
                <w:tcPr>
                  <w:tcW w:w="969" w:type="pct"/>
                  <w:tcBorders>
                    <w:tl2br w:val="nil"/>
                    <w:tr2bl w:val="nil"/>
                  </w:tcBorders>
                  <w:noWrap w:val="0"/>
                  <w:vAlign w:val="center"/>
                </w:tcPr>
                <w:p w14:paraId="71A1FA2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kern w:val="2"/>
                      <w:sz w:val="21"/>
                      <w:szCs w:val="21"/>
                      <w:lang w:val="en-US" w:eastAsia="zh-CN" w:bidi="ar-SA"/>
                    </w:rPr>
                  </w:pPr>
                  <w:r>
                    <w:rPr>
                      <w:rFonts w:hint="eastAsia"/>
                      <w:sz w:val="21"/>
                      <w:szCs w:val="21"/>
                      <w:lang w:val="en-US" w:eastAsia="zh-CN"/>
                    </w:rPr>
                    <w:t>机械、车辆</w:t>
                  </w:r>
                  <w:r>
                    <w:rPr>
                      <w:rFonts w:hint="eastAsia"/>
                      <w:sz w:val="21"/>
                      <w:szCs w:val="21"/>
                    </w:rPr>
                    <w:t>冲洗废水</w:t>
                  </w:r>
                </w:p>
              </w:tc>
              <w:tc>
                <w:tcPr>
                  <w:tcW w:w="3049" w:type="pct"/>
                  <w:tcBorders>
                    <w:tl2br w:val="nil"/>
                    <w:tr2bl w:val="nil"/>
                  </w:tcBorders>
                  <w:noWrap w:val="0"/>
                  <w:vAlign w:val="center"/>
                </w:tcPr>
                <w:p w14:paraId="2331A07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kern w:val="2"/>
                      <w:sz w:val="21"/>
                      <w:szCs w:val="21"/>
                      <w:lang w:val="en-US" w:eastAsia="zh-CN" w:bidi="ar-SA"/>
                    </w:rPr>
                  </w:pPr>
                  <w:r>
                    <w:rPr>
                      <w:rFonts w:hint="eastAsia"/>
                      <w:sz w:val="21"/>
                      <w:szCs w:val="21"/>
                    </w:rPr>
                    <w:t>冲洗平台处设置沉淀池一座，冲洗水</w:t>
                  </w:r>
                  <w:r>
                    <w:rPr>
                      <w:rFonts w:hint="eastAsia"/>
                      <w:sz w:val="21"/>
                      <w:szCs w:val="21"/>
                      <w:lang w:val="en-US" w:eastAsia="zh-CN"/>
                    </w:rPr>
                    <w:t>沉淀后</w:t>
                  </w:r>
                  <w:r>
                    <w:rPr>
                      <w:rFonts w:hint="eastAsia"/>
                      <w:sz w:val="21"/>
                      <w:szCs w:val="21"/>
                    </w:rPr>
                    <w:t>全部</w:t>
                  </w:r>
                  <w:r>
                    <w:rPr>
                      <w:rFonts w:hint="eastAsia"/>
                      <w:sz w:val="21"/>
                      <w:szCs w:val="21"/>
                      <w:lang w:val="en-US" w:eastAsia="zh-CN"/>
                    </w:rPr>
                    <w:t>循环使用</w:t>
                  </w:r>
                  <w:r>
                    <w:rPr>
                      <w:rFonts w:hint="eastAsia"/>
                      <w:sz w:val="21"/>
                      <w:szCs w:val="21"/>
                      <w:lang w:eastAsia="zh-CN"/>
                    </w:rPr>
                    <w:t>，</w:t>
                  </w:r>
                  <w:r>
                    <w:rPr>
                      <w:rFonts w:hint="eastAsia"/>
                      <w:sz w:val="21"/>
                      <w:szCs w:val="21"/>
                    </w:rPr>
                    <w:t>不外排</w:t>
                  </w:r>
                </w:p>
              </w:tc>
            </w:tr>
            <w:tr w14:paraId="11417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0" w:type="pct"/>
                  <w:vMerge w:val="continue"/>
                  <w:tcBorders>
                    <w:tl2br w:val="nil"/>
                    <w:tr2bl w:val="nil"/>
                  </w:tcBorders>
                  <w:noWrap w:val="0"/>
                  <w:vAlign w:val="center"/>
                </w:tcPr>
                <w:p w14:paraId="7CFAF58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continue"/>
                  <w:tcBorders>
                    <w:tl2br w:val="nil"/>
                    <w:tr2bl w:val="nil"/>
                  </w:tcBorders>
                  <w:noWrap w:val="0"/>
                  <w:vAlign w:val="center"/>
                </w:tcPr>
                <w:p w14:paraId="3FE5A39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p>
              </w:tc>
              <w:tc>
                <w:tcPr>
                  <w:tcW w:w="969" w:type="pct"/>
                  <w:tcBorders>
                    <w:tl2br w:val="nil"/>
                    <w:tr2bl w:val="nil"/>
                  </w:tcBorders>
                  <w:noWrap w:val="0"/>
                  <w:vAlign w:val="center"/>
                </w:tcPr>
                <w:p w14:paraId="581D2BF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kern w:val="2"/>
                      <w:sz w:val="21"/>
                      <w:szCs w:val="21"/>
                      <w:lang w:val="en-US" w:eastAsia="zh-CN" w:bidi="ar-SA"/>
                    </w:rPr>
                  </w:pPr>
                  <w:r>
                    <w:rPr>
                      <w:rFonts w:hint="eastAsia"/>
                      <w:sz w:val="21"/>
                      <w:szCs w:val="21"/>
                    </w:rPr>
                    <w:t>生活污水</w:t>
                  </w:r>
                </w:p>
              </w:tc>
              <w:tc>
                <w:tcPr>
                  <w:tcW w:w="3049" w:type="pct"/>
                  <w:tcBorders>
                    <w:tl2br w:val="nil"/>
                    <w:tr2bl w:val="nil"/>
                  </w:tcBorders>
                  <w:noWrap w:val="0"/>
                  <w:vAlign w:val="center"/>
                </w:tcPr>
                <w:p w14:paraId="34D0302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kern w:val="2"/>
                      <w:sz w:val="21"/>
                      <w:szCs w:val="21"/>
                      <w:lang w:val="en-US" w:eastAsia="zh-CN" w:bidi="ar-SA"/>
                    </w:rPr>
                  </w:pPr>
                  <w:r>
                    <w:rPr>
                      <w:rFonts w:hint="eastAsia" w:ascii="Times New Roman" w:hAnsi="Times New Roman" w:eastAsia="宋体" w:cs="Times New Roman"/>
                      <w:b w:val="0"/>
                      <w:bCs/>
                      <w:color w:val="FF0000"/>
                      <w:sz w:val="21"/>
                      <w:szCs w:val="21"/>
                      <w:vertAlign w:val="baseline"/>
                      <w:lang w:val="en-US" w:eastAsia="zh-CN"/>
                    </w:rPr>
                    <w:t>职工</w:t>
                  </w:r>
                  <w:r>
                    <w:rPr>
                      <w:rFonts w:hint="eastAsia" w:cs="Times New Roman"/>
                      <w:b w:val="0"/>
                      <w:bCs/>
                      <w:color w:val="FF0000"/>
                      <w:sz w:val="21"/>
                      <w:szCs w:val="21"/>
                      <w:vertAlign w:val="baseline"/>
                      <w:lang w:val="en-US" w:eastAsia="zh-CN"/>
                    </w:rPr>
                    <w:t>盥洗废水和淋浴废水经管道进入化粪池，职工人员</w:t>
                  </w:r>
                  <w:r>
                    <w:rPr>
                      <w:rFonts w:hint="eastAsia" w:ascii="Times New Roman" w:hAnsi="Times New Roman" w:eastAsia="宋体" w:cs="Times New Roman"/>
                      <w:b w:val="0"/>
                      <w:bCs/>
                      <w:color w:val="FF0000"/>
                      <w:sz w:val="21"/>
                      <w:szCs w:val="21"/>
                      <w:vertAlign w:val="baseline"/>
                      <w:lang w:val="en-US" w:eastAsia="zh-CN"/>
                    </w:rPr>
                    <w:t>如厕采用</w:t>
                  </w:r>
                  <w:r>
                    <w:rPr>
                      <w:rFonts w:hint="eastAsia" w:cs="Times New Roman"/>
                      <w:b w:val="0"/>
                      <w:bCs/>
                      <w:color w:val="FF0000"/>
                      <w:sz w:val="21"/>
                      <w:szCs w:val="21"/>
                      <w:vertAlign w:val="baseline"/>
                      <w:lang w:val="en-US" w:eastAsia="zh-CN"/>
                    </w:rPr>
                    <w:t>干式</w:t>
                  </w:r>
                  <w:r>
                    <w:rPr>
                      <w:rFonts w:hint="eastAsia" w:ascii="Times New Roman" w:hAnsi="Times New Roman" w:eastAsia="宋体" w:cs="Times New Roman"/>
                      <w:b w:val="0"/>
                      <w:bCs/>
                      <w:color w:val="FF0000"/>
                      <w:sz w:val="21"/>
                      <w:szCs w:val="21"/>
                      <w:vertAlign w:val="baseline"/>
                      <w:lang w:val="en-US" w:eastAsia="zh-CN"/>
                    </w:rPr>
                    <w:t>环保厕所</w:t>
                  </w:r>
                  <w:r>
                    <w:rPr>
                      <w:rFonts w:hint="eastAsia" w:cs="Times New Roman"/>
                      <w:b w:val="0"/>
                      <w:bCs/>
                      <w:color w:val="FF0000"/>
                      <w:sz w:val="21"/>
                      <w:szCs w:val="21"/>
                      <w:vertAlign w:val="baseline"/>
                      <w:lang w:val="en-US" w:eastAsia="zh-CN"/>
                    </w:rPr>
                    <w:t>，旁边设置化粪池，粪便进入化粪池后，定期委托专业公司吸污车抽吸拉运至污水处理厂深度处理</w:t>
                  </w:r>
                </w:p>
              </w:tc>
            </w:tr>
            <w:tr w14:paraId="6C2A7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0" w:type="pct"/>
                  <w:vMerge w:val="continue"/>
                  <w:tcBorders>
                    <w:tl2br w:val="nil"/>
                    <w:tr2bl w:val="nil"/>
                  </w:tcBorders>
                  <w:noWrap w:val="0"/>
                  <w:vAlign w:val="center"/>
                </w:tcPr>
                <w:p w14:paraId="6430F89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restart"/>
                  <w:tcBorders>
                    <w:tl2br w:val="nil"/>
                    <w:tr2bl w:val="nil"/>
                  </w:tcBorders>
                  <w:noWrap w:val="0"/>
                  <w:vAlign w:val="center"/>
                </w:tcPr>
                <w:p w14:paraId="409E044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kern w:val="2"/>
                      <w:sz w:val="21"/>
                      <w:szCs w:val="21"/>
                      <w:lang w:val="en-US" w:eastAsia="zh-CN" w:bidi="ar-SA"/>
                    </w:rPr>
                  </w:pPr>
                  <w:r>
                    <w:rPr>
                      <w:rFonts w:hint="eastAsia"/>
                      <w:sz w:val="21"/>
                      <w:szCs w:val="21"/>
                      <w:lang w:val="en-US" w:eastAsia="zh-CN"/>
                    </w:rPr>
                    <w:t>固体废物</w:t>
                  </w:r>
                </w:p>
              </w:tc>
              <w:tc>
                <w:tcPr>
                  <w:tcW w:w="969" w:type="pct"/>
                  <w:tcBorders>
                    <w:tl2br w:val="nil"/>
                    <w:tr2bl w:val="nil"/>
                  </w:tcBorders>
                  <w:noWrap w:val="0"/>
                  <w:vAlign w:val="center"/>
                </w:tcPr>
                <w:p w14:paraId="0835948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剥离表土</w:t>
                  </w:r>
                </w:p>
              </w:tc>
              <w:tc>
                <w:tcPr>
                  <w:tcW w:w="3049" w:type="pct"/>
                  <w:tcBorders>
                    <w:tl2br w:val="nil"/>
                    <w:tr2bl w:val="nil"/>
                  </w:tcBorders>
                  <w:noWrap w:val="0"/>
                  <w:vAlign w:val="center"/>
                </w:tcPr>
                <w:p w14:paraId="0EE0A109">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eastAsia="宋体"/>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表土单独存放于排土场，妥善保存，与废石分开堆放，用于后期植被恢复</w:t>
                  </w:r>
                </w:p>
              </w:tc>
            </w:tr>
            <w:tr w14:paraId="346B9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0" w:type="pct"/>
                  <w:vMerge w:val="continue"/>
                  <w:tcBorders>
                    <w:tl2br w:val="nil"/>
                    <w:tr2bl w:val="nil"/>
                  </w:tcBorders>
                  <w:noWrap w:val="0"/>
                  <w:vAlign w:val="center"/>
                </w:tcPr>
                <w:p w14:paraId="3B5AE50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continue"/>
                  <w:tcBorders>
                    <w:tl2br w:val="nil"/>
                    <w:tr2bl w:val="nil"/>
                  </w:tcBorders>
                  <w:noWrap w:val="0"/>
                  <w:vAlign w:val="center"/>
                </w:tcPr>
                <w:p w14:paraId="435CB28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sz w:val="21"/>
                      <w:szCs w:val="21"/>
                      <w:lang w:val="en-US" w:eastAsia="zh-CN"/>
                    </w:rPr>
                  </w:pPr>
                </w:p>
              </w:tc>
              <w:tc>
                <w:tcPr>
                  <w:tcW w:w="969" w:type="pct"/>
                  <w:tcBorders>
                    <w:tl2br w:val="nil"/>
                    <w:tr2bl w:val="nil"/>
                  </w:tcBorders>
                  <w:noWrap w:val="0"/>
                  <w:vAlign w:val="center"/>
                </w:tcPr>
                <w:p w14:paraId="05D2B08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废石</w:t>
                  </w:r>
                </w:p>
              </w:tc>
              <w:tc>
                <w:tcPr>
                  <w:tcW w:w="3049" w:type="pct"/>
                  <w:tcBorders>
                    <w:tl2br w:val="nil"/>
                    <w:tr2bl w:val="nil"/>
                  </w:tcBorders>
                  <w:noWrap w:val="0"/>
                  <w:vAlign w:val="center"/>
                </w:tcPr>
                <w:p w14:paraId="66E25653">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废石堆放至排土场，用于后期回填</w:t>
                  </w:r>
                </w:p>
              </w:tc>
            </w:tr>
            <w:tr w14:paraId="4DEC9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0" w:type="pct"/>
                  <w:vMerge w:val="continue"/>
                  <w:tcBorders>
                    <w:tl2br w:val="nil"/>
                    <w:tr2bl w:val="nil"/>
                  </w:tcBorders>
                  <w:noWrap w:val="0"/>
                  <w:vAlign w:val="center"/>
                </w:tcPr>
                <w:p w14:paraId="3C74B8C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continue"/>
                  <w:tcBorders>
                    <w:tl2br w:val="nil"/>
                    <w:tr2bl w:val="nil"/>
                  </w:tcBorders>
                  <w:noWrap w:val="0"/>
                  <w:vAlign w:val="center"/>
                </w:tcPr>
                <w:p w14:paraId="6CBCD2D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sz w:val="21"/>
                      <w:szCs w:val="21"/>
                      <w:lang w:val="en-US" w:eastAsia="zh-CN"/>
                    </w:rPr>
                  </w:pPr>
                </w:p>
              </w:tc>
              <w:tc>
                <w:tcPr>
                  <w:tcW w:w="969" w:type="pct"/>
                  <w:tcBorders>
                    <w:tl2br w:val="nil"/>
                    <w:tr2bl w:val="nil"/>
                  </w:tcBorders>
                  <w:noWrap w:val="0"/>
                  <w:vAlign w:val="center"/>
                </w:tcPr>
                <w:p w14:paraId="48217490">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FF0000"/>
                      <w:sz w:val="21"/>
                      <w:szCs w:val="21"/>
                      <w:highlight w:val="yellow"/>
                      <w:lang w:val="en-US" w:eastAsia="zh-CN"/>
                    </w:rPr>
                  </w:pPr>
                  <w:r>
                    <w:rPr>
                      <w:rFonts w:hint="eastAsia" w:ascii="Times New Roman" w:hAnsi="Times New Roman" w:eastAsia="宋体"/>
                      <w:color w:val="FF0000"/>
                      <w:sz w:val="21"/>
                      <w:szCs w:val="21"/>
                      <w:lang w:val="en-US" w:eastAsia="zh-CN"/>
                    </w:rPr>
                    <w:t>沉淀池污泥</w:t>
                  </w:r>
                </w:p>
              </w:tc>
              <w:tc>
                <w:tcPr>
                  <w:tcW w:w="3049" w:type="pct"/>
                  <w:tcBorders>
                    <w:tl2br w:val="nil"/>
                    <w:tr2bl w:val="nil"/>
                  </w:tcBorders>
                  <w:noWrap w:val="0"/>
                  <w:vAlign w:val="center"/>
                </w:tcPr>
                <w:p w14:paraId="5133044C">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eastAsia="宋体"/>
                      <w:color w:val="FF0000"/>
                      <w:sz w:val="21"/>
                      <w:szCs w:val="21"/>
                      <w:lang w:val="en-US" w:eastAsia="zh-CN"/>
                    </w:rPr>
                  </w:pPr>
                  <w:r>
                    <w:rPr>
                      <w:rFonts w:hint="eastAsia" w:ascii="Times New Roman" w:hAnsi="Times New Roman" w:eastAsia="宋体"/>
                      <w:color w:val="FF0000"/>
                      <w:sz w:val="21"/>
                      <w:szCs w:val="21"/>
                      <w:lang w:val="en-US" w:eastAsia="zh-CN"/>
                    </w:rPr>
                    <w:t>定期清掏至排土场，用于后期土地复垦回填</w:t>
                  </w:r>
                </w:p>
              </w:tc>
            </w:tr>
            <w:tr w14:paraId="4463E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0" w:type="pct"/>
                  <w:vMerge w:val="continue"/>
                  <w:tcBorders>
                    <w:tl2br w:val="nil"/>
                    <w:tr2bl w:val="nil"/>
                  </w:tcBorders>
                  <w:noWrap w:val="0"/>
                  <w:vAlign w:val="center"/>
                </w:tcPr>
                <w:p w14:paraId="0E21A98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continue"/>
                  <w:tcBorders>
                    <w:tl2br w:val="nil"/>
                    <w:tr2bl w:val="nil"/>
                  </w:tcBorders>
                  <w:noWrap w:val="0"/>
                  <w:vAlign w:val="center"/>
                </w:tcPr>
                <w:p w14:paraId="602AFB5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kern w:val="2"/>
                      <w:sz w:val="21"/>
                      <w:szCs w:val="21"/>
                      <w:lang w:val="en-US" w:eastAsia="zh-CN" w:bidi="ar-SA"/>
                    </w:rPr>
                  </w:pPr>
                </w:p>
              </w:tc>
              <w:tc>
                <w:tcPr>
                  <w:tcW w:w="969" w:type="pct"/>
                  <w:tcBorders>
                    <w:tl2br w:val="nil"/>
                    <w:tr2bl w:val="nil"/>
                  </w:tcBorders>
                  <w:noWrap w:val="0"/>
                  <w:vAlign w:val="center"/>
                </w:tcPr>
                <w:p w14:paraId="751D0BF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kern w:val="2"/>
                      <w:sz w:val="21"/>
                      <w:szCs w:val="21"/>
                      <w:lang w:val="en-US" w:eastAsia="zh-CN" w:bidi="ar-SA"/>
                    </w:rPr>
                  </w:pPr>
                  <w:r>
                    <w:rPr>
                      <w:rFonts w:hint="eastAsia"/>
                      <w:kern w:val="2"/>
                      <w:sz w:val="21"/>
                      <w:szCs w:val="21"/>
                      <w:lang w:val="en-US" w:eastAsia="zh-CN" w:bidi="ar-SA"/>
                    </w:rPr>
                    <w:t>生活垃圾</w:t>
                  </w:r>
                </w:p>
              </w:tc>
              <w:tc>
                <w:tcPr>
                  <w:tcW w:w="3049" w:type="pct"/>
                  <w:tcBorders>
                    <w:tl2br w:val="nil"/>
                    <w:tr2bl w:val="nil"/>
                  </w:tcBorders>
                  <w:noWrap w:val="0"/>
                  <w:vAlign w:val="center"/>
                </w:tcPr>
                <w:p w14:paraId="6D99086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rPr>
                  </w:pPr>
                  <w:r>
                    <w:rPr>
                      <w:rFonts w:hint="eastAsia"/>
                      <w:sz w:val="21"/>
                      <w:szCs w:val="21"/>
                      <w:lang w:eastAsia="zh-CN"/>
                    </w:rPr>
                    <w:t>由</w:t>
                  </w:r>
                  <w:r>
                    <w:rPr>
                      <w:rFonts w:hint="eastAsia"/>
                      <w:sz w:val="21"/>
                      <w:szCs w:val="21"/>
                    </w:rPr>
                    <w:t>垃圾</w:t>
                  </w:r>
                  <w:r>
                    <w:rPr>
                      <w:rFonts w:hint="eastAsia"/>
                      <w:sz w:val="21"/>
                      <w:szCs w:val="21"/>
                      <w:lang w:eastAsia="zh-CN"/>
                    </w:rPr>
                    <w:t>桶</w:t>
                  </w:r>
                  <w:r>
                    <w:rPr>
                      <w:rFonts w:hint="eastAsia"/>
                      <w:sz w:val="21"/>
                      <w:szCs w:val="21"/>
                    </w:rPr>
                    <w:t>收集</w:t>
                  </w:r>
                  <w:r>
                    <w:rPr>
                      <w:rFonts w:hint="eastAsia"/>
                      <w:sz w:val="21"/>
                      <w:szCs w:val="21"/>
                      <w:lang w:eastAsia="zh-CN"/>
                    </w:rPr>
                    <w:t>后</w:t>
                  </w:r>
                  <w:r>
                    <w:rPr>
                      <w:rFonts w:hint="eastAsia"/>
                      <w:sz w:val="21"/>
                      <w:szCs w:val="21"/>
                      <w:lang w:val="en-US" w:eastAsia="zh-CN"/>
                    </w:rPr>
                    <w:t>由当地环卫部门统一清运处置</w:t>
                  </w:r>
                </w:p>
              </w:tc>
            </w:tr>
            <w:tr w14:paraId="31421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0" w:type="pct"/>
                  <w:vMerge w:val="continue"/>
                  <w:tcBorders>
                    <w:tl2br w:val="nil"/>
                    <w:tr2bl w:val="nil"/>
                  </w:tcBorders>
                  <w:noWrap w:val="0"/>
                  <w:vAlign w:val="center"/>
                </w:tcPr>
                <w:p w14:paraId="0C6A792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vMerge w:val="continue"/>
                  <w:tcBorders>
                    <w:tl2br w:val="nil"/>
                    <w:tr2bl w:val="nil"/>
                  </w:tcBorders>
                  <w:noWrap w:val="0"/>
                  <w:vAlign w:val="center"/>
                </w:tcPr>
                <w:p w14:paraId="5F087F1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sz w:val="21"/>
                      <w:szCs w:val="21"/>
                      <w:lang w:val="en-US" w:eastAsia="zh-CN"/>
                    </w:rPr>
                  </w:pPr>
                </w:p>
              </w:tc>
              <w:tc>
                <w:tcPr>
                  <w:tcW w:w="969" w:type="pct"/>
                  <w:tcBorders>
                    <w:tl2br w:val="nil"/>
                    <w:tr2bl w:val="nil"/>
                  </w:tcBorders>
                  <w:noWrap w:val="0"/>
                  <w:vAlign w:val="center"/>
                </w:tcPr>
                <w:p w14:paraId="108898A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kern w:val="2"/>
                      <w:sz w:val="21"/>
                      <w:szCs w:val="21"/>
                      <w:lang w:val="en-US" w:eastAsia="zh-CN" w:bidi="ar-SA"/>
                    </w:rPr>
                  </w:pPr>
                  <w:r>
                    <w:rPr>
                      <w:rFonts w:hint="eastAsia"/>
                      <w:kern w:val="2"/>
                      <w:sz w:val="21"/>
                      <w:szCs w:val="21"/>
                      <w:lang w:val="en-US" w:eastAsia="zh-CN" w:bidi="ar-SA"/>
                    </w:rPr>
                    <w:t>危险废物</w:t>
                  </w:r>
                </w:p>
              </w:tc>
              <w:tc>
                <w:tcPr>
                  <w:tcW w:w="3049" w:type="pct"/>
                  <w:tcBorders>
                    <w:tl2br w:val="nil"/>
                    <w:tr2bl w:val="nil"/>
                  </w:tcBorders>
                  <w:noWrap w:val="0"/>
                  <w:vAlign w:val="center"/>
                </w:tcPr>
                <w:p w14:paraId="0F8F6CE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sz w:val="21"/>
                      <w:szCs w:val="21"/>
                      <w:lang w:val="en-US" w:eastAsia="zh-CN"/>
                    </w:rPr>
                  </w:pPr>
                  <w:r>
                    <w:rPr>
                      <w:rFonts w:hint="eastAsia"/>
                      <w:sz w:val="21"/>
                      <w:szCs w:val="21"/>
                      <w:lang w:val="en-US" w:eastAsia="zh-CN"/>
                    </w:rPr>
                    <w:t>维修更换的废机油等危险废物暂存于危险废物贮存库，定期交由有资质的单位进行处置</w:t>
                  </w:r>
                </w:p>
              </w:tc>
            </w:tr>
            <w:tr w14:paraId="4F586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510" w:type="pct"/>
                  <w:vMerge w:val="continue"/>
                  <w:tcBorders>
                    <w:tl2br w:val="nil"/>
                    <w:tr2bl w:val="nil"/>
                  </w:tcBorders>
                  <w:noWrap w:val="0"/>
                  <w:vAlign w:val="center"/>
                </w:tcPr>
                <w:p w14:paraId="2307590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tcBorders>
                    <w:tl2br w:val="nil"/>
                    <w:tr2bl w:val="nil"/>
                  </w:tcBorders>
                  <w:noWrap w:val="0"/>
                  <w:vAlign w:val="center"/>
                </w:tcPr>
                <w:p w14:paraId="19F1DAE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kern w:val="2"/>
                      <w:sz w:val="21"/>
                      <w:szCs w:val="21"/>
                      <w:lang w:val="en-US" w:eastAsia="zh-CN" w:bidi="ar-SA"/>
                    </w:rPr>
                  </w:pPr>
                  <w:r>
                    <w:rPr>
                      <w:rFonts w:hint="eastAsia"/>
                      <w:sz w:val="21"/>
                      <w:szCs w:val="21"/>
                      <w:lang w:val="en-US" w:eastAsia="zh-CN"/>
                    </w:rPr>
                    <w:t>噪声</w:t>
                  </w:r>
                </w:p>
              </w:tc>
              <w:tc>
                <w:tcPr>
                  <w:tcW w:w="4019" w:type="pct"/>
                  <w:gridSpan w:val="2"/>
                  <w:tcBorders>
                    <w:tl2br w:val="nil"/>
                    <w:tr2bl w:val="nil"/>
                  </w:tcBorders>
                  <w:noWrap w:val="0"/>
                  <w:vAlign w:val="center"/>
                </w:tcPr>
                <w:p w14:paraId="0754020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eastAsia="zh-CN"/>
                    </w:rPr>
                  </w:pPr>
                  <w:r>
                    <w:rPr>
                      <w:rFonts w:hint="eastAsia"/>
                      <w:sz w:val="21"/>
                      <w:szCs w:val="21"/>
                    </w:rPr>
                    <w:t>选用低噪声优质</w:t>
                  </w:r>
                  <w:r>
                    <w:rPr>
                      <w:sz w:val="21"/>
                      <w:szCs w:val="21"/>
                    </w:rPr>
                    <w:t>设备、合理布局，安装减震垫、加强设备保养、合理安排生产时间</w:t>
                  </w:r>
                </w:p>
              </w:tc>
            </w:tr>
            <w:tr w14:paraId="04F7B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0" w:type="pct"/>
                  <w:vMerge w:val="continue"/>
                  <w:tcBorders>
                    <w:tl2br w:val="nil"/>
                    <w:tr2bl w:val="nil"/>
                  </w:tcBorders>
                  <w:noWrap w:val="0"/>
                  <w:vAlign w:val="center"/>
                </w:tcPr>
                <w:p w14:paraId="400F1F2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p>
              </w:tc>
              <w:tc>
                <w:tcPr>
                  <w:tcW w:w="470" w:type="pct"/>
                  <w:tcBorders>
                    <w:tl2br w:val="nil"/>
                    <w:tr2bl w:val="nil"/>
                  </w:tcBorders>
                  <w:noWrap w:val="0"/>
                  <w:vAlign w:val="center"/>
                </w:tcPr>
                <w:p w14:paraId="3D55AD9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生态</w:t>
                  </w:r>
                </w:p>
              </w:tc>
              <w:tc>
                <w:tcPr>
                  <w:tcW w:w="4019" w:type="pct"/>
                  <w:gridSpan w:val="2"/>
                  <w:tcBorders>
                    <w:tl2br w:val="nil"/>
                    <w:tr2bl w:val="nil"/>
                  </w:tcBorders>
                  <w:noWrap w:val="0"/>
                  <w:vAlign w:val="center"/>
                </w:tcPr>
                <w:p w14:paraId="56450C30">
                  <w:pPr>
                    <w:keepNext w:val="0"/>
                    <w:keepLines w:val="0"/>
                    <w:pageBreakBefore w:val="0"/>
                    <w:widowControl w:val="0"/>
                    <w:suppressLineNumbers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color w:val="auto"/>
                      <w:sz w:val="21"/>
                      <w:szCs w:val="21"/>
                      <w:highlight w:val="none"/>
                      <w:lang w:eastAsia="zh-CN"/>
                    </w:rPr>
                    <w:t>在采场外围设置排水沟，采矿过程中，采矿平台应保持</w:t>
                  </w:r>
                  <w:r>
                    <w:rPr>
                      <w:rFonts w:hint="default" w:ascii="Times New Roman" w:hAnsi="Times New Roman" w:eastAsia="宋体" w:cs="Times New Roman"/>
                      <w:color w:val="auto"/>
                      <w:sz w:val="21"/>
                      <w:szCs w:val="21"/>
                      <w:highlight w:val="none"/>
                      <w:lang w:val="en-US" w:eastAsia="zh-CN"/>
                    </w:rPr>
                    <w:t>2～3‰的坡度，向内侧倾斜，在安全平台及清扫平台内侧设置导水沟，引至采场外围排水沟，将大气降水顺山坡排出，防止雨水对边坡的冲刷，以达到保证采场边坡稳定、减少水土流失的目的</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FF0000"/>
                      <w:sz w:val="21"/>
                      <w:szCs w:val="21"/>
                      <w:highlight w:val="none"/>
                      <w:lang w:val="en-US" w:eastAsia="zh-CN"/>
                    </w:rPr>
                    <w:t>矿山开采采取“边开采、边恢复”的措施，对已终了平台及时复垦、绿化，</w:t>
                  </w:r>
                  <w:r>
                    <w:rPr>
                      <w:rFonts w:hint="eastAsia" w:ascii="宋体" w:hAnsi="宋体" w:eastAsia="宋体" w:cs="宋体"/>
                      <w:color w:val="FF0000"/>
                      <w:kern w:val="0"/>
                      <w:sz w:val="21"/>
                      <w:szCs w:val="21"/>
                      <w:lang w:val="en-US" w:eastAsia="zh-CN" w:bidi="ar"/>
                    </w:rPr>
                    <w:t>下一台阶剥离表土用于上一台阶的植被恢复覆土，仅少量剩余表土堆放于排土场</w:t>
                  </w:r>
                  <w:r>
                    <w:rPr>
                      <w:rFonts w:hint="eastAsia" w:ascii="Times New Roman" w:hAnsi="Times New Roman" w:eastAsia="宋体" w:cs="Times New Roman"/>
                      <w:color w:val="auto"/>
                      <w:sz w:val="21"/>
                      <w:szCs w:val="21"/>
                      <w:highlight w:val="none"/>
                      <w:lang w:val="en-US" w:eastAsia="zh-CN"/>
                    </w:rPr>
                    <w:t>；矿山</w:t>
                  </w:r>
                  <w:r>
                    <w:rPr>
                      <w:rFonts w:hint="eastAsia" w:cs="Times New Roman"/>
                      <w:color w:val="auto"/>
                      <w:sz w:val="21"/>
                      <w:szCs w:val="21"/>
                      <w:highlight w:val="none"/>
                      <w:lang w:val="en-US" w:eastAsia="zh-CN"/>
                    </w:rPr>
                    <w:t>闭矿</w:t>
                  </w:r>
                  <w:r>
                    <w:rPr>
                      <w:rFonts w:hint="eastAsia" w:ascii="Times New Roman" w:hAnsi="Times New Roman" w:eastAsia="宋体" w:cs="Times New Roman"/>
                      <w:color w:val="auto"/>
                      <w:sz w:val="21"/>
                      <w:szCs w:val="21"/>
                      <w:highlight w:val="none"/>
                      <w:lang w:val="en-US" w:eastAsia="zh-CN"/>
                    </w:rPr>
                    <w:t>后及时进行土地复垦、植被恢复</w:t>
                  </w:r>
                </w:p>
              </w:tc>
            </w:tr>
          </w:tbl>
          <w:p w14:paraId="555FBB85">
            <w:pPr>
              <w:keepNext w:val="0"/>
              <w:keepLines w:val="0"/>
              <w:pageBreakBefore w:val="0"/>
              <w:widowControl w:val="0"/>
              <w:kinsoku/>
              <w:wordWrap/>
              <w:overflowPunct/>
              <w:topLinePunct w:val="0"/>
              <w:autoSpaceDE/>
              <w:autoSpaceDN/>
              <w:bidi w:val="0"/>
              <w:adjustRightInd w:val="0"/>
              <w:snapToGrid w:val="0"/>
              <w:spacing w:line="360" w:lineRule="auto"/>
              <w:rPr>
                <w:rFonts w:hint="default" w:ascii="Times New Roman" w:hAnsi="Times New Roman" w:cs="Times New Roman"/>
                <w:b/>
                <w:bCs/>
                <w:spacing w:val="4"/>
                <w:sz w:val="24"/>
                <w:szCs w:val="24"/>
              </w:rPr>
            </w:pPr>
            <w:r>
              <w:rPr>
                <w:rFonts w:hint="default" w:ascii="Times New Roman" w:hAnsi="Times New Roman" w:cs="Times New Roman"/>
                <w:b/>
                <w:bCs/>
                <w:sz w:val="24"/>
                <w:szCs w:val="24"/>
              </w:rPr>
              <w:t>2</w:t>
            </w:r>
            <w:r>
              <w:rPr>
                <w:rFonts w:hint="default" w:ascii="Times New Roman" w:hAnsi="Times New Roman" w:cs="Times New Roman"/>
                <w:b/>
                <w:bCs/>
                <w:spacing w:val="4"/>
                <w:sz w:val="24"/>
                <w:szCs w:val="24"/>
              </w:rPr>
              <w:t>、设备清单</w:t>
            </w:r>
          </w:p>
          <w:p w14:paraId="5666D6B2">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rPr>
                <w:rFonts w:hint="default" w:ascii="Times New Roman" w:hAnsi="Times New Roman" w:cs="Times New Roman"/>
                <w:spacing w:val="4"/>
                <w:sz w:val="24"/>
                <w:szCs w:val="24"/>
              </w:rPr>
            </w:pPr>
            <w:r>
              <w:rPr>
                <w:rFonts w:hint="default" w:ascii="Times New Roman" w:hAnsi="Times New Roman" w:cs="Times New Roman"/>
                <w:spacing w:val="4"/>
                <w:sz w:val="24"/>
                <w:szCs w:val="24"/>
              </w:rPr>
              <w:t>项目主要仪器设备详见</w:t>
            </w:r>
            <w:r>
              <w:rPr>
                <w:rFonts w:hint="eastAsia" w:ascii="Times New Roman" w:hAnsi="Times New Roman" w:cs="Times New Roman"/>
                <w:spacing w:val="4"/>
                <w:sz w:val="24"/>
                <w:szCs w:val="24"/>
                <w:lang w:val="en-US" w:eastAsia="zh-CN"/>
              </w:rPr>
              <w:t>下</w:t>
            </w:r>
            <w:r>
              <w:rPr>
                <w:rFonts w:hint="default" w:ascii="Times New Roman" w:hAnsi="Times New Roman" w:cs="Times New Roman"/>
                <w:spacing w:val="4"/>
                <w:sz w:val="24"/>
                <w:szCs w:val="24"/>
              </w:rPr>
              <w:t>表。</w:t>
            </w:r>
          </w:p>
          <w:p w14:paraId="1D840770">
            <w:pPr>
              <w:keepNext w:val="0"/>
              <w:keepLines w:val="0"/>
              <w:pageBreakBefore w:val="0"/>
              <w:widowControl w:val="0"/>
              <w:kinsoku/>
              <w:wordWrap/>
              <w:overflowPunct/>
              <w:topLinePunct w:val="0"/>
              <w:autoSpaceDE/>
              <w:autoSpaceDN/>
              <w:bidi w:val="0"/>
              <w:jc w:val="center"/>
              <w:textAlignment w:val="bottom"/>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表2-</w:t>
            </w:r>
            <w:r>
              <w:rPr>
                <w:rFonts w:hint="eastAsia" w:ascii="Times New Roman" w:hAnsi="Times New Roman" w:cs="Times New Roman"/>
                <w:b/>
                <w:bCs/>
                <w:color w:val="auto"/>
                <w:kern w:val="0"/>
                <w:sz w:val="24"/>
                <w:szCs w:val="24"/>
                <w:lang w:val="en-US" w:eastAsia="zh-CN"/>
              </w:rPr>
              <w:t>3</w:t>
            </w:r>
            <w:r>
              <w:rPr>
                <w:rFonts w:hint="default" w:ascii="Times New Roman" w:hAnsi="Times New Roman" w:cs="Times New Roman"/>
                <w:b/>
                <w:bCs/>
                <w:color w:val="auto"/>
                <w:kern w:val="0"/>
                <w:sz w:val="24"/>
                <w:szCs w:val="24"/>
              </w:rPr>
              <w:t xml:space="preserve">  主要设备清单</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587"/>
              <w:gridCol w:w="2014"/>
              <w:gridCol w:w="1111"/>
              <w:gridCol w:w="862"/>
              <w:gridCol w:w="1797"/>
            </w:tblGrid>
            <w:tr w14:paraId="5536F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top"/>
                </w:tcPr>
                <w:p w14:paraId="4FC0E68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序号</w:t>
                  </w:r>
                </w:p>
              </w:tc>
              <w:tc>
                <w:tcPr>
                  <w:tcW w:w="975" w:type="pct"/>
                  <w:tcBorders>
                    <w:tl2br w:val="nil"/>
                    <w:tr2bl w:val="nil"/>
                  </w:tcBorders>
                  <w:noWrap w:val="0"/>
                  <w:vAlign w:val="top"/>
                </w:tcPr>
                <w:p w14:paraId="0752972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设备名称</w:t>
                  </w:r>
                </w:p>
              </w:tc>
              <w:tc>
                <w:tcPr>
                  <w:tcW w:w="1238" w:type="pct"/>
                  <w:tcBorders>
                    <w:tl2br w:val="nil"/>
                    <w:tr2bl w:val="nil"/>
                  </w:tcBorders>
                  <w:noWrap w:val="0"/>
                  <w:vAlign w:val="top"/>
                </w:tcPr>
                <w:p w14:paraId="18FE27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规格型号</w:t>
                  </w:r>
                </w:p>
              </w:tc>
              <w:tc>
                <w:tcPr>
                  <w:tcW w:w="683" w:type="pct"/>
                  <w:tcBorders>
                    <w:tl2br w:val="nil"/>
                    <w:tr2bl w:val="nil"/>
                  </w:tcBorders>
                  <w:noWrap w:val="0"/>
                  <w:vAlign w:val="top"/>
                </w:tcPr>
                <w:p w14:paraId="674D145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单位</w:t>
                  </w:r>
                </w:p>
              </w:tc>
              <w:tc>
                <w:tcPr>
                  <w:tcW w:w="530" w:type="pct"/>
                  <w:tcBorders>
                    <w:tl2br w:val="nil"/>
                    <w:tr2bl w:val="nil"/>
                  </w:tcBorders>
                  <w:noWrap w:val="0"/>
                  <w:vAlign w:val="top"/>
                </w:tcPr>
                <w:p w14:paraId="2CBEF0D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sz w:val="21"/>
                      <w:szCs w:val="21"/>
                    </w:rPr>
                    <w:t>数量</w:t>
                  </w:r>
                </w:p>
              </w:tc>
              <w:tc>
                <w:tcPr>
                  <w:tcW w:w="1101" w:type="pct"/>
                  <w:tcBorders>
                    <w:tl2br w:val="nil"/>
                    <w:tr2bl w:val="nil"/>
                  </w:tcBorders>
                  <w:noWrap w:val="0"/>
                  <w:vAlign w:val="center"/>
                </w:tcPr>
                <w:p w14:paraId="276F840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备注</w:t>
                  </w:r>
                </w:p>
              </w:tc>
            </w:tr>
            <w:tr w14:paraId="4BF34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7B7E37D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采矿设备</w:t>
                  </w:r>
                </w:p>
              </w:tc>
            </w:tr>
            <w:tr w14:paraId="3A88C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top"/>
                </w:tcPr>
                <w:p w14:paraId="063C67C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w:t>
                  </w:r>
                </w:p>
              </w:tc>
              <w:tc>
                <w:tcPr>
                  <w:tcW w:w="975" w:type="pct"/>
                  <w:tcBorders>
                    <w:tl2br w:val="nil"/>
                    <w:tr2bl w:val="nil"/>
                  </w:tcBorders>
                  <w:noWrap w:val="0"/>
                  <w:vAlign w:val="center"/>
                </w:tcPr>
                <w:p w14:paraId="371F2A4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color w:val="auto"/>
                      <w:sz w:val="21"/>
                      <w:szCs w:val="21"/>
                      <w:highlight w:val="none"/>
                    </w:rPr>
                    <w:t>潜孔钻机</w:t>
                  </w:r>
                </w:p>
              </w:tc>
              <w:tc>
                <w:tcPr>
                  <w:tcW w:w="1238" w:type="pct"/>
                  <w:tcBorders>
                    <w:tl2br w:val="nil"/>
                    <w:tr2bl w:val="nil"/>
                  </w:tcBorders>
                  <w:noWrap w:val="0"/>
                  <w:vAlign w:val="center"/>
                </w:tcPr>
                <w:p w14:paraId="23FC30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 w:val="0"/>
                      <w:bCs/>
                      <w:color w:val="auto"/>
                      <w:sz w:val="21"/>
                      <w:szCs w:val="21"/>
                      <w:highlight w:val="none"/>
                    </w:rPr>
                    <w:t>ROCD55</w:t>
                  </w:r>
                </w:p>
              </w:tc>
              <w:tc>
                <w:tcPr>
                  <w:tcW w:w="683" w:type="pct"/>
                  <w:tcBorders>
                    <w:tl2br w:val="nil"/>
                    <w:tr2bl w:val="nil"/>
                  </w:tcBorders>
                  <w:noWrap w:val="0"/>
                  <w:vAlign w:val="center"/>
                </w:tcPr>
                <w:p w14:paraId="40071E7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 w:val="0"/>
                      <w:bCs/>
                      <w:color w:val="auto"/>
                      <w:sz w:val="21"/>
                      <w:szCs w:val="21"/>
                      <w:highlight w:val="none"/>
                    </w:rPr>
                    <w:t>台</w:t>
                  </w:r>
                </w:p>
              </w:tc>
              <w:tc>
                <w:tcPr>
                  <w:tcW w:w="530" w:type="pct"/>
                  <w:tcBorders>
                    <w:tl2br w:val="nil"/>
                    <w:tr2bl w:val="nil"/>
                  </w:tcBorders>
                  <w:noWrap w:val="0"/>
                  <w:vAlign w:val="center"/>
                </w:tcPr>
                <w:p w14:paraId="36756A4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color w:val="auto"/>
                      <w:sz w:val="21"/>
                      <w:szCs w:val="21"/>
                      <w:highlight w:val="none"/>
                      <w:lang w:val="en-US" w:eastAsia="zh-CN"/>
                    </w:rPr>
                    <w:t>4</w:t>
                  </w:r>
                </w:p>
              </w:tc>
              <w:tc>
                <w:tcPr>
                  <w:tcW w:w="1101" w:type="pct"/>
                  <w:tcBorders>
                    <w:tl2br w:val="nil"/>
                    <w:tr2bl w:val="nil"/>
                  </w:tcBorders>
                  <w:noWrap w:val="0"/>
                  <w:vAlign w:val="center"/>
                </w:tcPr>
                <w:p w14:paraId="543A6EA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φ=1</w:t>
                  </w:r>
                  <w:r>
                    <w:rPr>
                      <w:rFonts w:hint="default" w:ascii="Times New Roman" w:hAnsi="Times New Roman" w:eastAsia="宋体" w:cs="Times New Roman"/>
                      <w:b w:val="0"/>
                      <w:bCs/>
                      <w:color w:val="auto"/>
                      <w:sz w:val="21"/>
                      <w:szCs w:val="21"/>
                      <w:highlight w:val="none"/>
                      <w:lang w:val="en-US" w:eastAsia="zh-CN"/>
                    </w:rPr>
                    <w:t>52</w:t>
                  </w:r>
                  <w:r>
                    <w:rPr>
                      <w:rFonts w:hint="default" w:ascii="Times New Roman" w:hAnsi="Times New Roman" w:eastAsia="宋体" w:cs="Times New Roman"/>
                      <w:b w:val="0"/>
                      <w:bCs/>
                      <w:color w:val="auto"/>
                      <w:sz w:val="21"/>
                      <w:szCs w:val="21"/>
                      <w:highlight w:val="none"/>
                    </w:rPr>
                    <w:t>mm</w:t>
                  </w:r>
                </w:p>
              </w:tc>
            </w:tr>
            <w:tr w14:paraId="5D3DE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top"/>
                </w:tcPr>
                <w:p w14:paraId="5909217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w:t>
                  </w:r>
                </w:p>
              </w:tc>
              <w:tc>
                <w:tcPr>
                  <w:tcW w:w="975" w:type="pct"/>
                  <w:tcBorders>
                    <w:tl2br w:val="nil"/>
                    <w:tr2bl w:val="nil"/>
                  </w:tcBorders>
                  <w:noWrap w:val="0"/>
                  <w:vAlign w:val="center"/>
                </w:tcPr>
                <w:p w14:paraId="0A3066F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color w:val="auto"/>
                      <w:sz w:val="21"/>
                      <w:szCs w:val="21"/>
                      <w:highlight w:val="none"/>
                    </w:rPr>
                    <w:t>液压挖掘机</w:t>
                  </w:r>
                </w:p>
              </w:tc>
              <w:tc>
                <w:tcPr>
                  <w:tcW w:w="1238" w:type="pct"/>
                  <w:tcBorders>
                    <w:tl2br w:val="nil"/>
                    <w:tr2bl w:val="nil"/>
                  </w:tcBorders>
                  <w:noWrap w:val="0"/>
                  <w:vAlign w:val="center"/>
                </w:tcPr>
                <w:p w14:paraId="5149E17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color w:val="auto"/>
                      <w:sz w:val="21"/>
                      <w:szCs w:val="21"/>
                      <w:highlight w:val="none"/>
                    </w:rPr>
                    <w:t>PC</w:t>
                  </w:r>
                  <w:r>
                    <w:rPr>
                      <w:rFonts w:hint="eastAsia" w:ascii="Times New Roman" w:hAnsi="Times New Roman" w:eastAsia="宋体" w:cs="Times New Roman"/>
                      <w:b w:val="0"/>
                      <w:bCs/>
                      <w:color w:val="auto"/>
                      <w:sz w:val="21"/>
                      <w:szCs w:val="21"/>
                      <w:highlight w:val="none"/>
                      <w:lang w:val="en-US" w:eastAsia="zh-CN"/>
                    </w:rPr>
                    <w:t>260LC</w:t>
                  </w:r>
                  <w:r>
                    <w:rPr>
                      <w:rFonts w:hint="default" w:ascii="Times New Roman" w:hAnsi="Times New Roman" w:eastAsia="宋体" w:cs="Times New Roman"/>
                      <w:b w:val="0"/>
                      <w:bCs/>
                      <w:color w:val="auto"/>
                      <w:sz w:val="21"/>
                      <w:szCs w:val="21"/>
                      <w:highlight w:val="none"/>
                    </w:rPr>
                    <w:t>-</w:t>
                  </w:r>
                  <w:r>
                    <w:rPr>
                      <w:rFonts w:hint="eastAsia" w:ascii="Times New Roman" w:hAnsi="Times New Roman" w:eastAsia="宋体" w:cs="Times New Roman"/>
                      <w:b w:val="0"/>
                      <w:bCs/>
                      <w:color w:val="auto"/>
                      <w:sz w:val="21"/>
                      <w:szCs w:val="21"/>
                      <w:highlight w:val="none"/>
                      <w:lang w:val="en-US" w:eastAsia="zh-CN"/>
                    </w:rPr>
                    <w:t>11M0</w:t>
                  </w:r>
                </w:p>
              </w:tc>
              <w:tc>
                <w:tcPr>
                  <w:tcW w:w="683" w:type="pct"/>
                  <w:tcBorders>
                    <w:tl2br w:val="nil"/>
                    <w:tr2bl w:val="nil"/>
                  </w:tcBorders>
                  <w:noWrap w:val="0"/>
                  <w:vAlign w:val="center"/>
                </w:tcPr>
                <w:p w14:paraId="6257931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eastAsia="宋体" w:cs="Times New Roman"/>
                      <w:b w:val="0"/>
                      <w:bCs/>
                      <w:color w:val="auto"/>
                      <w:sz w:val="21"/>
                      <w:szCs w:val="21"/>
                      <w:highlight w:val="none"/>
                    </w:rPr>
                    <w:t>台</w:t>
                  </w:r>
                </w:p>
              </w:tc>
              <w:tc>
                <w:tcPr>
                  <w:tcW w:w="530" w:type="pct"/>
                  <w:tcBorders>
                    <w:tl2br w:val="nil"/>
                    <w:tr2bl w:val="nil"/>
                  </w:tcBorders>
                  <w:noWrap w:val="0"/>
                  <w:vAlign w:val="center"/>
                </w:tcPr>
                <w:p w14:paraId="41FE842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color w:val="auto"/>
                      <w:sz w:val="21"/>
                      <w:szCs w:val="21"/>
                      <w:highlight w:val="none"/>
                      <w:lang w:val="en-US" w:eastAsia="zh-CN"/>
                    </w:rPr>
                    <w:t>8</w:t>
                  </w:r>
                </w:p>
              </w:tc>
              <w:tc>
                <w:tcPr>
                  <w:tcW w:w="1101" w:type="pct"/>
                  <w:tcBorders>
                    <w:tl2br w:val="nil"/>
                    <w:tr2bl w:val="nil"/>
                  </w:tcBorders>
                  <w:noWrap w:val="0"/>
                  <w:vAlign w:val="center"/>
                </w:tcPr>
                <w:p w14:paraId="084DD62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斗容</w:t>
                  </w:r>
                  <w:r>
                    <w:rPr>
                      <w:rFonts w:hint="default" w:ascii="Times New Roman" w:hAnsi="Times New Roman" w:eastAsia="宋体" w:cs="Times New Roman"/>
                      <w:b w:val="0"/>
                      <w:bCs/>
                      <w:color w:val="auto"/>
                      <w:sz w:val="21"/>
                      <w:szCs w:val="21"/>
                      <w:highlight w:val="none"/>
                      <w:lang w:val="en-US" w:eastAsia="zh-CN"/>
                    </w:rPr>
                    <w:t>2.4</w:t>
                  </w:r>
                  <w:r>
                    <w:rPr>
                      <w:rFonts w:hint="default" w:ascii="Times New Roman" w:hAnsi="Times New Roman" w:eastAsia="宋体" w:cs="Times New Roman"/>
                      <w:b w:val="0"/>
                      <w:bCs/>
                      <w:color w:val="auto"/>
                      <w:sz w:val="21"/>
                      <w:szCs w:val="21"/>
                      <w:highlight w:val="none"/>
                    </w:rPr>
                    <w:t>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（租赁）</w:t>
                  </w:r>
                </w:p>
              </w:tc>
            </w:tr>
            <w:tr w14:paraId="32CB3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top"/>
                </w:tcPr>
                <w:p w14:paraId="461D405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w:t>
                  </w:r>
                </w:p>
              </w:tc>
              <w:tc>
                <w:tcPr>
                  <w:tcW w:w="975" w:type="pct"/>
                  <w:tcBorders>
                    <w:tl2br w:val="nil"/>
                    <w:tr2bl w:val="nil"/>
                  </w:tcBorders>
                  <w:noWrap w:val="0"/>
                  <w:vAlign w:val="center"/>
                </w:tcPr>
                <w:p w14:paraId="5BF408F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color w:val="auto"/>
                      <w:sz w:val="21"/>
                      <w:szCs w:val="21"/>
                      <w:highlight w:val="none"/>
                    </w:rPr>
                    <w:t>液压破碎锤</w:t>
                  </w:r>
                </w:p>
              </w:tc>
              <w:tc>
                <w:tcPr>
                  <w:tcW w:w="1238" w:type="pct"/>
                  <w:tcBorders>
                    <w:tl2br w:val="nil"/>
                    <w:tr2bl w:val="nil"/>
                  </w:tcBorders>
                  <w:noWrap w:val="0"/>
                  <w:vAlign w:val="center"/>
                </w:tcPr>
                <w:p w14:paraId="792BE71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color w:val="auto"/>
                      <w:sz w:val="21"/>
                      <w:szCs w:val="21"/>
                      <w:highlight w:val="none"/>
                    </w:rPr>
                    <w:t>HW85/05</w:t>
                  </w:r>
                </w:p>
              </w:tc>
              <w:tc>
                <w:tcPr>
                  <w:tcW w:w="683" w:type="pct"/>
                  <w:tcBorders>
                    <w:tl2br w:val="nil"/>
                    <w:tr2bl w:val="nil"/>
                  </w:tcBorders>
                  <w:noWrap w:val="0"/>
                  <w:vAlign w:val="center"/>
                </w:tcPr>
                <w:p w14:paraId="3472371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eastAsia="宋体" w:cs="Times New Roman"/>
                      <w:b w:val="0"/>
                      <w:bCs/>
                      <w:color w:val="auto"/>
                      <w:sz w:val="21"/>
                      <w:szCs w:val="21"/>
                      <w:highlight w:val="none"/>
                    </w:rPr>
                    <w:t>台</w:t>
                  </w:r>
                </w:p>
              </w:tc>
              <w:tc>
                <w:tcPr>
                  <w:tcW w:w="530" w:type="pct"/>
                  <w:tcBorders>
                    <w:tl2br w:val="nil"/>
                    <w:tr2bl w:val="nil"/>
                  </w:tcBorders>
                  <w:noWrap w:val="0"/>
                  <w:vAlign w:val="center"/>
                </w:tcPr>
                <w:p w14:paraId="0ED6243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color w:val="auto"/>
                      <w:sz w:val="21"/>
                      <w:szCs w:val="21"/>
                      <w:highlight w:val="none"/>
                    </w:rPr>
                    <w:t>1</w:t>
                  </w:r>
                </w:p>
              </w:tc>
              <w:tc>
                <w:tcPr>
                  <w:tcW w:w="1101" w:type="pct"/>
                  <w:tcBorders>
                    <w:tl2br w:val="nil"/>
                    <w:tr2bl w:val="nil"/>
                  </w:tcBorders>
                  <w:noWrap w:val="0"/>
                  <w:vAlign w:val="center"/>
                </w:tcPr>
                <w:p w14:paraId="3E69708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大块矿石破碎用</w:t>
                  </w:r>
                </w:p>
              </w:tc>
            </w:tr>
            <w:tr w14:paraId="37CAC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top"/>
                </w:tcPr>
                <w:p w14:paraId="67AB9D3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w:t>
                  </w:r>
                </w:p>
              </w:tc>
              <w:tc>
                <w:tcPr>
                  <w:tcW w:w="975" w:type="pct"/>
                  <w:tcBorders>
                    <w:tl2br w:val="nil"/>
                    <w:tr2bl w:val="nil"/>
                  </w:tcBorders>
                  <w:noWrap w:val="0"/>
                  <w:vAlign w:val="center"/>
                </w:tcPr>
                <w:p w14:paraId="6F902D7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color w:val="auto"/>
                      <w:sz w:val="21"/>
                      <w:szCs w:val="21"/>
                      <w:highlight w:val="none"/>
                    </w:rPr>
                    <w:t>自卸汽车</w:t>
                  </w:r>
                  <w:r>
                    <w:rPr>
                      <w:rFonts w:hint="default"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lang w:val="en-US" w:eastAsia="zh-CN"/>
                    </w:rPr>
                    <w:t>0t</w:t>
                  </w:r>
                  <w:r>
                    <w:rPr>
                      <w:rFonts w:hint="default" w:ascii="Times New Roman" w:hAnsi="Times New Roman" w:eastAsia="宋体" w:cs="Times New Roman"/>
                      <w:b w:val="0"/>
                      <w:bCs/>
                      <w:color w:val="auto"/>
                      <w:sz w:val="21"/>
                      <w:szCs w:val="21"/>
                      <w:highlight w:val="none"/>
                      <w:lang w:eastAsia="zh-CN"/>
                    </w:rPr>
                    <w:t>）</w:t>
                  </w:r>
                </w:p>
              </w:tc>
              <w:tc>
                <w:tcPr>
                  <w:tcW w:w="1238" w:type="pct"/>
                  <w:tcBorders>
                    <w:tl2br w:val="nil"/>
                    <w:tr2bl w:val="nil"/>
                  </w:tcBorders>
                  <w:noWrap w:val="0"/>
                  <w:vAlign w:val="center"/>
                </w:tcPr>
                <w:p w14:paraId="036038F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color w:val="auto"/>
                      <w:sz w:val="21"/>
                      <w:szCs w:val="21"/>
                      <w:highlight w:val="none"/>
                    </w:rPr>
                    <w:t>豪沃ZZ3257N3847W</w:t>
                  </w:r>
                </w:p>
              </w:tc>
              <w:tc>
                <w:tcPr>
                  <w:tcW w:w="683" w:type="pct"/>
                  <w:tcBorders>
                    <w:tl2br w:val="nil"/>
                    <w:tr2bl w:val="nil"/>
                  </w:tcBorders>
                  <w:noWrap w:val="0"/>
                  <w:vAlign w:val="center"/>
                </w:tcPr>
                <w:p w14:paraId="5B2FB7D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color w:val="auto"/>
                      <w:sz w:val="21"/>
                      <w:szCs w:val="21"/>
                      <w:highlight w:val="none"/>
                    </w:rPr>
                    <w:t>辆</w:t>
                  </w:r>
                </w:p>
              </w:tc>
              <w:tc>
                <w:tcPr>
                  <w:tcW w:w="530" w:type="pct"/>
                  <w:tcBorders>
                    <w:tl2br w:val="nil"/>
                    <w:tr2bl w:val="nil"/>
                  </w:tcBorders>
                  <w:noWrap w:val="0"/>
                  <w:vAlign w:val="center"/>
                </w:tcPr>
                <w:p w14:paraId="7EC71AC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color w:val="auto"/>
                      <w:sz w:val="21"/>
                      <w:szCs w:val="21"/>
                      <w:highlight w:val="none"/>
                      <w:lang w:val="en-US" w:eastAsia="zh-CN"/>
                    </w:rPr>
                    <w:t>18</w:t>
                  </w:r>
                </w:p>
              </w:tc>
              <w:tc>
                <w:tcPr>
                  <w:tcW w:w="1101" w:type="pct"/>
                  <w:tcBorders>
                    <w:tl2br w:val="nil"/>
                    <w:tr2bl w:val="nil"/>
                  </w:tcBorders>
                  <w:noWrap w:val="0"/>
                  <w:vAlign w:val="center"/>
                </w:tcPr>
                <w:p w14:paraId="6183E7F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r>
            <w:tr w14:paraId="79264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top"/>
                </w:tcPr>
                <w:p w14:paraId="5458CFD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w:t>
                  </w:r>
                </w:p>
              </w:tc>
              <w:tc>
                <w:tcPr>
                  <w:tcW w:w="975" w:type="pct"/>
                  <w:tcBorders>
                    <w:tl2br w:val="nil"/>
                    <w:tr2bl w:val="nil"/>
                  </w:tcBorders>
                  <w:noWrap w:val="0"/>
                  <w:vAlign w:val="center"/>
                </w:tcPr>
                <w:p w14:paraId="159501E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rPr>
                    <w:t>洒水车</w:t>
                  </w:r>
                </w:p>
              </w:tc>
              <w:tc>
                <w:tcPr>
                  <w:tcW w:w="1238" w:type="pct"/>
                  <w:tcBorders>
                    <w:tl2br w:val="nil"/>
                    <w:tr2bl w:val="nil"/>
                  </w:tcBorders>
                  <w:noWrap w:val="0"/>
                  <w:vAlign w:val="center"/>
                </w:tcPr>
                <w:p w14:paraId="2010C08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color w:val="auto"/>
                      <w:sz w:val="21"/>
                      <w:szCs w:val="21"/>
                      <w:highlight w:val="none"/>
                    </w:rPr>
                    <w:t>5t</w:t>
                  </w:r>
                </w:p>
              </w:tc>
              <w:tc>
                <w:tcPr>
                  <w:tcW w:w="683" w:type="pct"/>
                  <w:tcBorders>
                    <w:tl2br w:val="nil"/>
                    <w:tr2bl w:val="nil"/>
                  </w:tcBorders>
                  <w:noWrap w:val="0"/>
                  <w:vAlign w:val="center"/>
                </w:tcPr>
                <w:p w14:paraId="2748CA8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color w:val="auto"/>
                      <w:sz w:val="21"/>
                      <w:szCs w:val="21"/>
                      <w:highlight w:val="none"/>
                    </w:rPr>
                    <w:t>辆</w:t>
                  </w:r>
                </w:p>
              </w:tc>
              <w:tc>
                <w:tcPr>
                  <w:tcW w:w="530" w:type="pct"/>
                  <w:tcBorders>
                    <w:tl2br w:val="nil"/>
                    <w:tr2bl w:val="nil"/>
                  </w:tcBorders>
                  <w:noWrap w:val="0"/>
                  <w:vAlign w:val="center"/>
                </w:tcPr>
                <w:p w14:paraId="6134E32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color w:val="auto"/>
                      <w:sz w:val="21"/>
                      <w:szCs w:val="21"/>
                      <w:highlight w:val="none"/>
                      <w:lang w:val="en-US" w:eastAsia="zh-CN"/>
                    </w:rPr>
                    <w:t>2</w:t>
                  </w:r>
                </w:p>
              </w:tc>
              <w:tc>
                <w:tcPr>
                  <w:tcW w:w="1101" w:type="pct"/>
                  <w:tcBorders>
                    <w:tl2br w:val="nil"/>
                    <w:tr2bl w:val="nil"/>
                  </w:tcBorders>
                  <w:noWrap w:val="0"/>
                  <w:vAlign w:val="center"/>
                </w:tcPr>
                <w:p w14:paraId="50FFC30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r>
            <w:tr w14:paraId="11BCE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top"/>
                </w:tcPr>
                <w:p w14:paraId="38B3260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6</w:t>
                  </w:r>
                </w:p>
              </w:tc>
              <w:tc>
                <w:tcPr>
                  <w:tcW w:w="975" w:type="pct"/>
                  <w:tcBorders>
                    <w:tl2br w:val="nil"/>
                    <w:tr2bl w:val="nil"/>
                  </w:tcBorders>
                  <w:noWrap w:val="0"/>
                  <w:vAlign w:val="center"/>
                </w:tcPr>
                <w:p w14:paraId="46795C9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推土机</w:t>
                  </w:r>
                </w:p>
              </w:tc>
              <w:tc>
                <w:tcPr>
                  <w:tcW w:w="1238" w:type="pct"/>
                  <w:tcBorders>
                    <w:tl2br w:val="nil"/>
                    <w:tr2bl w:val="nil"/>
                  </w:tcBorders>
                  <w:noWrap w:val="0"/>
                  <w:vAlign w:val="center"/>
                </w:tcPr>
                <w:p w14:paraId="36E18EA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D31EX-22</w:t>
                  </w:r>
                </w:p>
              </w:tc>
              <w:tc>
                <w:tcPr>
                  <w:tcW w:w="683" w:type="pct"/>
                  <w:tcBorders>
                    <w:tl2br w:val="nil"/>
                    <w:tr2bl w:val="nil"/>
                  </w:tcBorders>
                  <w:noWrap w:val="0"/>
                  <w:vAlign w:val="center"/>
                </w:tcPr>
                <w:p w14:paraId="46DD084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辆</w:t>
                  </w:r>
                </w:p>
              </w:tc>
              <w:tc>
                <w:tcPr>
                  <w:tcW w:w="530" w:type="pct"/>
                  <w:tcBorders>
                    <w:tl2br w:val="nil"/>
                    <w:tr2bl w:val="nil"/>
                  </w:tcBorders>
                  <w:noWrap w:val="0"/>
                  <w:vAlign w:val="center"/>
                </w:tcPr>
                <w:p w14:paraId="50B5955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4</w:t>
                  </w:r>
                </w:p>
              </w:tc>
              <w:tc>
                <w:tcPr>
                  <w:tcW w:w="1101" w:type="pct"/>
                  <w:tcBorders>
                    <w:tl2br w:val="nil"/>
                    <w:tr2bl w:val="nil"/>
                  </w:tcBorders>
                  <w:noWrap w:val="0"/>
                  <w:vAlign w:val="center"/>
                </w:tcPr>
                <w:p w14:paraId="1EC4052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t>
                  </w:r>
                </w:p>
              </w:tc>
            </w:tr>
            <w:tr w14:paraId="2C794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top"/>
                </w:tcPr>
                <w:p w14:paraId="0EA0868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w:t>
                  </w:r>
                </w:p>
              </w:tc>
              <w:tc>
                <w:tcPr>
                  <w:tcW w:w="975" w:type="pct"/>
                  <w:tcBorders>
                    <w:tl2br w:val="nil"/>
                    <w:tr2bl w:val="nil"/>
                  </w:tcBorders>
                  <w:noWrap w:val="0"/>
                  <w:vAlign w:val="center"/>
                </w:tcPr>
                <w:p w14:paraId="0542EEF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行政生活用车</w:t>
                  </w:r>
                </w:p>
              </w:tc>
              <w:tc>
                <w:tcPr>
                  <w:tcW w:w="1238" w:type="pct"/>
                  <w:tcBorders>
                    <w:tl2br w:val="nil"/>
                    <w:tr2bl w:val="nil"/>
                  </w:tcBorders>
                  <w:noWrap w:val="0"/>
                  <w:vAlign w:val="center"/>
                </w:tcPr>
                <w:p w14:paraId="44EAD52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5人</w:t>
                  </w:r>
                </w:p>
              </w:tc>
              <w:tc>
                <w:tcPr>
                  <w:tcW w:w="683" w:type="pct"/>
                  <w:tcBorders>
                    <w:tl2br w:val="nil"/>
                    <w:tr2bl w:val="nil"/>
                  </w:tcBorders>
                  <w:noWrap w:val="0"/>
                  <w:vAlign w:val="center"/>
                </w:tcPr>
                <w:p w14:paraId="2DF9C06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辆</w:t>
                  </w:r>
                </w:p>
              </w:tc>
              <w:tc>
                <w:tcPr>
                  <w:tcW w:w="530" w:type="pct"/>
                  <w:tcBorders>
                    <w:tl2br w:val="nil"/>
                    <w:tr2bl w:val="nil"/>
                  </w:tcBorders>
                  <w:noWrap w:val="0"/>
                  <w:vAlign w:val="center"/>
                </w:tcPr>
                <w:p w14:paraId="3F5D8A8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1101" w:type="pct"/>
                  <w:tcBorders>
                    <w:tl2br w:val="nil"/>
                    <w:tr2bl w:val="nil"/>
                  </w:tcBorders>
                  <w:noWrap w:val="0"/>
                  <w:vAlign w:val="center"/>
                </w:tcPr>
                <w:p w14:paraId="3ADFDFF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t>
                  </w:r>
                </w:p>
              </w:tc>
            </w:tr>
            <w:tr w14:paraId="1D59E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top"/>
                </w:tcPr>
                <w:p w14:paraId="7CA9377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w:t>
                  </w:r>
                </w:p>
              </w:tc>
              <w:tc>
                <w:tcPr>
                  <w:tcW w:w="1712" w:type="dxa"/>
                  <w:tcBorders>
                    <w:tl2br w:val="nil"/>
                    <w:tr2bl w:val="nil"/>
                  </w:tcBorders>
                  <w:noWrap w:val="0"/>
                  <w:vAlign w:val="center"/>
                </w:tcPr>
                <w:p w14:paraId="2CDA2E78">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雾炮机</w:t>
                  </w:r>
                </w:p>
              </w:tc>
              <w:tc>
                <w:tcPr>
                  <w:tcW w:w="2174" w:type="dxa"/>
                  <w:tcBorders>
                    <w:tl2br w:val="nil"/>
                    <w:tr2bl w:val="nil"/>
                  </w:tcBorders>
                  <w:noWrap w:val="0"/>
                  <w:vAlign w:val="center"/>
                </w:tcPr>
                <w:p w14:paraId="61AF2827">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kern w:val="2"/>
                      <w:sz w:val="21"/>
                      <w:szCs w:val="21"/>
                      <w:highlight w:val="none"/>
                      <w:lang w:val="en-US" w:eastAsia="zh-CN" w:bidi="ar-SA"/>
                    </w:rPr>
                    <w:t>/</w:t>
                  </w:r>
                </w:p>
              </w:tc>
              <w:tc>
                <w:tcPr>
                  <w:tcW w:w="1200" w:type="dxa"/>
                  <w:tcBorders>
                    <w:tl2br w:val="nil"/>
                    <w:tr2bl w:val="nil"/>
                  </w:tcBorders>
                  <w:noWrap w:val="0"/>
                  <w:vAlign w:val="center"/>
                </w:tcPr>
                <w:p w14:paraId="1796C1F8">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台</w:t>
                  </w:r>
                </w:p>
              </w:tc>
              <w:tc>
                <w:tcPr>
                  <w:tcW w:w="931" w:type="dxa"/>
                  <w:tcBorders>
                    <w:tl2br w:val="nil"/>
                    <w:tr2bl w:val="nil"/>
                  </w:tcBorders>
                  <w:noWrap w:val="0"/>
                  <w:vAlign w:val="center"/>
                </w:tcPr>
                <w:p w14:paraId="2460DEC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w:t>
                  </w:r>
                </w:p>
              </w:tc>
              <w:tc>
                <w:tcPr>
                  <w:tcW w:w="1939" w:type="dxa"/>
                  <w:tcBorders>
                    <w:tl2br w:val="nil"/>
                    <w:tr2bl w:val="nil"/>
                  </w:tcBorders>
                  <w:noWrap w:val="0"/>
                  <w:vAlign w:val="center"/>
                </w:tcPr>
                <w:p w14:paraId="7675BC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t>
                  </w:r>
                </w:p>
              </w:tc>
            </w:tr>
            <w:tr w14:paraId="332C6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630776F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加工设备</w:t>
                  </w:r>
                </w:p>
              </w:tc>
            </w:tr>
            <w:tr w14:paraId="72B93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1812272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975" w:type="pct"/>
                  <w:tcBorders>
                    <w:tl2br w:val="nil"/>
                    <w:tr2bl w:val="nil"/>
                  </w:tcBorders>
                  <w:noWrap w:val="0"/>
                  <w:vAlign w:val="center"/>
                </w:tcPr>
                <w:p w14:paraId="48CC3869">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棒条振动给料机</w:t>
                  </w:r>
                </w:p>
              </w:tc>
              <w:tc>
                <w:tcPr>
                  <w:tcW w:w="1238" w:type="pct"/>
                  <w:tcBorders>
                    <w:tl2br w:val="nil"/>
                    <w:tr2bl w:val="nil"/>
                  </w:tcBorders>
                  <w:noWrap w:val="0"/>
                  <w:vAlign w:val="center"/>
                </w:tcPr>
                <w:p w14:paraId="293D187D">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ZSW2014</w:t>
                  </w:r>
                </w:p>
              </w:tc>
              <w:tc>
                <w:tcPr>
                  <w:tcW w:w="683" w:type="pct"/>
                  <w:tcBorders>
                    <w:tl2br w:val="nil"/>
                    <w:tr2bl w:val="nil"/>
                  </w:tcBorders>
                  <w:noWrap w:val="0"/>
                  <w:vAlign w:val="center"/>
                </w:tcPr>
                <w:p w14:paraId="6EF98CF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530" w:type="pct"/>
                  <w:tcBorders>
                    <w:tl2br w:val="nil"/>
                    <w:tr2bl w:val="nil"/>
                  </w:tcBorders>
                  <w:noWrap w:val="0"/>
                  <w:vAlign w:val="center"/>
                </w:tcPr>
                <w:p w14:paraId="0EF5901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101" w:type="pct"/>
                  <w:tcBorders>
                    <w:tl2br w:val="nil"/>
                    <w:tr2bl w:val="nil"/>
                  </w:tcBorders>
                  <w:noWrap w:val="0"/>
                  <w:vAlign w:val="center"/>
                </w:tcPr>
                <w:p w14:paraId="5586F7E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r>
            <w:tr w14:paraId="21679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41BD33E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975" w:type="pct"/>
                  <w:tcBorders>
                    <w:tl2br w:val="nil"/>
                    <w:tr2bl w:val="nil"/>
                  </w:tcBorders>
                  <w:noWrap w:val="0"/>
                  <w:vAlign w:val="center"/>
                </w:tcPr>
                <w:p w14:paraId="2B94DC6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颚式破碎机</w:t>
                  </w:r>
                </w:p>
              </w:tc>
              <w:tc>
                <w:tcPr>
                  <w:tcW w:w="1238" w:type="pct"/>
                  <w:tcBorders>
                    <w:tl2br w:val="nil"/>
                    <w:tr2bl w:val="nil"/>
                  </w:tcBorders>
                  <w:noWrap w:val="0"/>
                  <w:vAlign w:val="center"/>
                </w:tcPr>
                <w:p w14:paraId="7529E8A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PE</w:t>
                  </w:r>
                  <w:r>
                    <w:rPr>
                      <w:rFonts w:hint="eastAsia" w:ascii="Times New Roman" w:hAnsi="Times New Roman" w:eastAsia="宋体" w:cs="Times New Roman"/>
                      <w:color w:val="auto"/>
                      <w:sz w:val="21"/>
                      <w:szCs w:val="21"/>
                      <w:highlight w:val="none"/>
                      <w:lang w:val="en-US" w:eastAsia="zh-CN"/>
                    </w:rPr>
                    <w:t>1210</w:t>
                  </w:r>
                </w:p>
              </w:tc>
              <w:tc>
                <w:tcPr>
                  <w:tcW w:w="683" w:type="pct"/>
                  <w:tcBorders>
                    <w:tl2br w:val="nil"/>
                    <w:tr2bl w:val="nil"/>
                  </w:tcBorders>
                  <w:noWrap w:val="0"/>
                  <w:vAlign w:val="center"/>
                </w:tcPr>
                <w:p w14:paraId="26BD156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30" w:type="pct"/>
                  <w:tcBorders>
                    <w:tl2br w:val="nil"/>
                    <w:tr2bl w:val="nil"/>
                  </w:tcBorders>
                  <w:noWrap w:val="0"/>
                  <w:vAlign w:val="center"/>
                </w:tcPr>
                <w:p w14:paraId="68B97B9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101" w:type="pct"/>
                  <w:tcBorders>
                    <w:tl2br w:val="nil"/>
                    <w:tr2bl w:val="nil"/>
                  </w:tcBorders>
                  <w:noWrap w:val="0"/>
                  <w:vAlign w:val="center"/>
                </w:tcPr>
                <w:p w14:paraId="4C3D0F1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粗破</w:t>
                  </w:r>
                </w:p>
              </w:tc>
            </w:tr>
            <w:tr w14:paraId="1BFAE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0857B94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975" w:type="pct"/>
                  <w:tcBorders>
                    <w:tl2br w:val="nil"/>
                    <w:tr2bl w:val="nil"/>
                  </w:tcBorders>
                  <w:noWrap w:val="0"/>
                  <w:vAlign w:val="center"/>
                </w:tcPr>
                <w:p w14:paraId="6B5A67E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复合圆锥</w:t>
                  </w:r>
                  <w:r>
                    <w:rPr>
                      <w:rFonts w:hint="default" w:ascii="Times New Roman" w:hAnsi="Times New Roman" w:eastAsia="宋体" w:cs="Times New Roman"/>
                      <w:color w:val="auto"/>
                      <w:sz w:val="21"/>
                      <w:szCs w:val="21"/>
                      <w:highlight w:val="none"/>
                    </w:rPr>
                    <w:t>破碎机</w:t>
                  </w:r>
                </w:p>
              </w:tc>
              <w:tc>
                <w:tcPr>
                  <w:tcW w:w="1238" w:type="pct"/>
                  <w:tcBorders>
                    <w:tl2br w:val="nil"/>
                    <w:tr2bl w:val="nil"/>
                  </w:tcBorders>
                  <w:noWrap w:val="0"/>
                  <w:vAlign w:val="center"/>
                </w:tcPr>
                <w:p w14:paraId="4CEAB21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P</w:t>
                  </w:r>
                  <w:r>
                    <w:rPr>
                      <w:rFonts w:hint="eastAsia" w:ascii="Times New Roman" w:hAnsi="Times New Roman" w:eastAsia="宋体" w:cs="Times New Roman"/>
                      <w:color w:val="auto"/>
                      <w:sz w:val="21"/>
                      <w:szCs w:val="21"/>
                      <w:highlight w:val="none"/>
                      <w:lang w:val="en-US" w:eastAsia="zh-CN"/>
                    </w:rPr>
                    <w:t>YS1535</w:t>
                  </w:r>
                </w:p>
              </w:tc>
              <w:tc>
                <w:tcPr>
                  <w:tcW w:w="683" w:type="pct"/>
                  <w:tcBorders>
                    <w:tl2br w:val="nil"/>
                    <w:tr2bl w:val="nil"/>
                  </w:tcBorders>
                  <w:noWrap w:val="0"/>
                  <w:vAlign w:val="center"/>
                </w:tcPr>
                <w:p w14:paraId="15F5C72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30" w:type="pct"/>
                  <w:tcBorders>
                    <w:tl2br w:val="nil"/>
                    <w:tr2bl w:val="nil"/>
                  </w:tcBorders>
                  <w:noWrap w:val="0"/>
                  <w:vAlign w:val="center"/>
                </w:tcPr>
                <w:p w14:paraId="5438E2C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101" w:type="pct"/>
                  <w:tcBorders>
                    <w:tl2br w:val="nil"/>
                    <w:tr2bl w:val="nil"/>
                  </w:tcBorders>
                  <w:noWrap w:val="0"/>
                  <w:vAlign w:val="center"/>
                </w:tcPr>
                <w:p w14:paraId="59E9C43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细破</w:t>
                  </w:r>
                </w:p>
              </w:tc>
            </w:tr>
            <w:tr w14:paraId="39C47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7D6B3A1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975" w:type="pct"/>
                  <w:tcBorders>
                    <w:tl2br w:val="nil"/>
                    <w:tr2bl w:val="nil"/>
                  </w:tcBorders>
                  <w:noWrap w:val="0"/>
                  <w:vAlign w:val="center"/>
                </w:tcPr>
                <w:p w14:paraId="64C3925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复合圆锥</w:t>
                  </w:r>
                  <w:r>
                    <w:rPr>
                      <w:rFonts w:hint="default" w:ascii="Times New Roman" w:hAnsi="Times New Roman" w:eastAsia="宋体" w:cs="Times New Roman"/>
                      <w:color w:val="auto"/>
                      <w:sz w:val="21"/>
                      <w:szCs w:val="21"/>
                      <w:highlight w:val="none"/>
                    </w:rPr>
                    <w:t>破碎机</w:t>
                  </w:r>
                </w:p>
              </w:tc>
              <w:tc>
                <w:tcPr>
                  <w:tcW w:w="1238" w:type="pct"/>
                  <w:tcBorders>
                    <w:tl2br w:val="nil"/>
                    <w:tr2bl w:val="nil"/>
                  </w:tcBorders>
                  <w:noWrap w:val="0"/>
                  <w:vAlign w:val="center"/>
                </w:tcPr>
                <w:p w14:paraId="65F0914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P</w:t>
                  </w:r>
                  <w:r>
                    <w:rPr>
                      <w:rFonts w:hint="eastAsia" w:ascii="Times New Roman" w:hAnsi="Times New Roman" w:eastAsia="宋体" w:cs="Times New Roman"/>
                      <w:color w:val="auto"/>
                      <w:sz w:val="21"/>
                      <w:szCs w:val="21"/>
                      <w:highlight w:val="none"/>
                      <w:lang w:val="en-US" w:eastAsia="zh-CN"/>
                    </w:rPr>
                    <w:t>YS1720</w:t>
                  </w:r>
                </w:p>
              </w:tc>
              <w:tc>
                <w:tcPr>
                  <w:tcW w:w="683" w:type="pct"/>
                  <w:tcBorders>
                    <w:tl2br w:val="nil"/>
                    <w:tr2bl w:val="nil"/>
                  </w:tcBorders>
                  <w:noWrap w:val="0"/>
                  <w:vAlign w:val="center"/>
                </w:tcPr>
                <w:p w14:paraId="2C45D59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530" w:type="pct"/>
                  <w:tcBorders>
                    <w:tl2br w:val="nil"/>
                    <w:tr2bl w:val="nil"/>
                  </w:tcBorders>
                  <w:noWrap w:val="0"/>
                  <w:vAlign w:val="center"/>
                </w:tcPr>
                <w:p w14:paraId="43F9D71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101" w:type="pct"/>
                  <w:tcBorders>
                    <w:tl2br w:val="nil"/>
                    <w:tr2bl w:val="nil"/>
                  </w:tcBorders>
                  <w:noWrap w:val="0"/>
                  <w:vAlign w:val="center"/>
                </w:tcPr>
                <w:p w14:paraId="2D1ABBC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细破</w:t>
                  </w:r>
                </w:p>
              </w:tc>
            </w:tr>
            <w:tr w14:paraId="648EA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60891ED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975" w:type="pct"/>
                  <w:tcBorders>
                    <w:tl2br w:val="nil"/>
                    <w:tr2bl w:val="nil"/>
                  </w:tcBorders>
                  <w:noWrap w:val="0"/>
                  <w:vAlign w:val="center"/>
                </w:tcPr>
                <w:p w14:paraId="4EAAEE3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振动筛</w:t>
                  </w:r>
                </w:p>
              </w:tc>
              <w:tc>
                <w:tcPr>
                  <w:tcW w:w="1238" w:type="pct"/>
                  <w:tcBorders>
                    <w:tl2br w:val="nil"/>
                    <w:tr2bl w:val="nil"/>
                  </w:tcBorders>
                  <w:noWrap w:val="0"/>
                  <w:vAlign w:val="center"/>
                </w:tcPr>
                <w:p w14:paraId="3D8B910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2Y</w:t>
                  </w:r>
                  <w:r>
                    <w:rPr>
                      <w:rFonts w:hint="eastAsia" w:ascii="Times New Roman" w:hAnsi="Times New Roman" w:eastAsia="宋体" w:cs="Times New Roman"/>
                      <w:color w:val="auto"/>
                      <w:sz w:val="21"/>
                      <w:szCs w:val="21"/>
                      <w:highlight w:val="none"/>
                      <w:lang w:val="en-US" w:eastAsia="zh-CN"/>
                    </w:rPr>
                    <w:t>A3060</w:t>
                  </w:r>
                </w:p>
              </w:tc>
              <w:tc>
                <w:tcPr>
                  <w:tcW w:w="683" w:type="pct"/>
                  <w:tcBorders>
                    <w:tl2br w:val="nil"/>
                    <w:tr2bl w:val="nil"/>
                  </w:tcBorders>
                  <w:noWrap w:val="0"/>
                  <w:vAlign w:val="center"/>
                </w:tcPr>
                <w:p w14:paraId="7F9848B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30" w:type="pct"/>
                  <w:tcBorders>
                    <w:tl2br w:val="nil"/>
                    <w:tr2bl w:val="nil"/>
                  </w:tcBorders>
                  <w:noWrap w:val="0"/>
                  <w:vAlign w:val="center"/>
                </w:tcPr>
                <w:p w14:paraId="275D697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101" w:type="pct"/>
                  <w:tcBorders>
                    <w:tl2br w:val="nil"/>
                    <w:tr2bl w:val="nil"/>
                  </w:tcBorders>
                  <w:noWrap w:val="0"/>
                  <w:vAlign w:val="center"/>
                </w:tcPr>
                <w:p w14:paraId="3BA4D0A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4F28F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0CCF374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975" w:type="pct"/>
                  <w:tcBorders>
                    <w:tl2br w:val="nil"/>
                    <w:tr2bl w:val="nil"/>
                  </w:tcBorders>
                  <w:noWrap w:val="0"/>
                  <w:vAlign w:val="center"/>
                </w:tcPr>
                <w:p w14:paraId="688DE1B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振动筛</w:t>
                  </w:r>
                </w:p>
              </w:tc>
              <w:tc>
                <w:tcPr>
                  <w:tcW w:w="1238" w:type="pct"/>
                  <w:tcBorders>
                    <w:tl2br w:val="nil"/>
                    <w:tr2bl w:val="nil"/>
                  </w:tcBorders>
                  <w:noWrap w:val="0"/>
                  <w:vAlign w:val="center"/>
                </w:tcPr>
                <w:p w14:paraId="4D13A3B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Y</w:t>
                  </w:r>
                  <w:r>
                    <w:rPr>
                      <w:rFonts w:hint="eastAsia" w:ascii="Times New Roman" w:hAnsi="Times New Roman" w:eastAsia="宋体" w:cs="Times New Roman"/>
                      <w:color w:val="auto"/>
                      <w:sz w:val="21"/>
                      <w:szCs w:val="21"/>
                      <w:highlight w:val="none"/>
                      <w:lang w:val="en-US" w:eastAsia="zh-CN"/>
                    </w:rPr>
                    <w:t>A3060</w:t>
                  </w:r>
                </w:p>
              </w:tc>
              <w:tc>
                <w:tcPr>
                  <w:tcW w:w="683" w:type="pct"/>
                  <w:tcBorders>
                    <w:tl2br w:val="nil"/>
                    <w:tr2bl w:val="nil"/>
                  </w:tcBorders>
                  <w:noWrap w:val="0"/>
                  <w:vAlign w:val="center"/>
                </w:tcPr>
                <w:p w14:paraId="64D8EDC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530" w:type="pct"/>
                  <w:tcBorders>
                    <w:tl2br w:val="nil"/>
                    <w:tr2bl w:val="nil"/>
                  </w:tcBorders>
                  <w:noWrap w:val="0"/>
                  <w:vAlign w:val="center"/>
                </w:tcPr>
                <w:p w14:paraId="7E89FBA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101" w:type="pct"/>
                  <w:tcBorders>
                    <w:tl2br w:val="nil"/>
                    <w:tr2bl w:val="nil"/>
                  </w:tcBorders>
                  <w:noWrap w:val="0"/>
                  <w:vAlign w:val="center"/>
                </w:tcPr>
                <w:p w14:paraId="4FF06D7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r>
            <w:tr w14:paraId="57B55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15BCE9F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w:t>
                  </w:r>
                </w:p>
              </w:tc>
              <w:tc>
                <w:tcPr>
                  <w:tcW w:w="975" w:type="pct"/>
                  <w:tcBorders>
                    <w:tl2br w:val="nil"/>
                    <w:tr2bl w:val="nil"/>
                  </w:tcBorders>
                  <w:noWrap w:val="0"/>
                  <w:vAlign w:val="center"/>
                </w:tcPr>
                <w:p w14:paraId="39105FB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皮带输送机</w:t>
                  </w:r>
                </w:p>
              </w:tc>
              <w:tc>
                <w:tcPr>
                  <w:tcW w:w="1238" w:type="pct"/>
                  <w:tcBorders>
                    <w:tl2br w:val="nil"/>
                    <w:tr2bl w:val="nil"/>
                  </w:tcBorders>
                  <w:noWrap w:val="0"/>
                  <w:vAlign w:val="center"/>
                </w:tcPr>
                <w:p w14:paraId="77F71C4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B</w:t>
                  </w:r>
                  <w:r>
                    <w:rPr>
                      <w:rFonts w:hint="eastAsia" w:ascii="Times New Roman" w:hAnsi="Times New Roman" w:eastAsia="宋体" w:cs="Times New Roman"/>
                      <w:color w:val="auto"/>
                      <w:sz w:val="21"/>
                      <w:szCs w:val="21"/>
                      <w:highlight w:val="none"/>
                      <w:lang w:val="en-US" w:eastAsia="zh-CN"/>
                    </w:rPr>
                    <w:t>1200</w:t>
                  </w:r>
                </w:p>
              </w:tc>
              <w:tc>
                <w:tcPr>
                  <w:tcW w:w="683" w:type="pct"/>
                  <w:tcBorders>
                    <w:tl2br w:val="nil"/>
                    <w:tr2bl w:val="nil"/>
                  </w:tcBorders>
                  <w:noWrap w:val="0"/>
                  <w:vAlign w:val="center"/>
                </w:tcPr>
                <w:p w14:paraId="35CF700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条</w:t>
                  </w:r>
                </w:p>
              </w:tc>
              <w:tc>
                <w:tcPr>
                  <w:tcW w:w="530" w:type="pct"/>
                  <w:tcBorders>
                    <w:tl2br w:val="nil"/>
                    <w:tr2bl w:val="nil"/>
                  </w:tcBorders>
                  <w:noWrap w:val="0"/>
                  <w:vAlign w:val="center"/>
                </w:tcPr>
                <w:p w14:paraId="4BA4952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1</w:t>
                  </w:r>
                </w:p>
              </w:tc>
              <w:tc>
                <w:tcPr>
                  <w:tcW w:w="1101" w:type="pct"/>
                  <w:tcBorders>
                    <w:tl2br w:val="nil"/>
                    <w:tr2bl w:val="nil"/>
                  </w:tcBorders>
                  <w:noWrap w:val="0"/>
                  <w:vAlign w:val="center"/>
                </w:tcPr>
                <w:p w14:paraId="374C758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1FD66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00529A3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w:t>
                  </w:r>
                </w:p>
              </w:tc>
              <w:tc>
                <w:tcPr>
                  <w:tcW w:w="975" w:type="pct"/>
                  <w:tcBorders>
                    <w:tl2br w:val="nil"/>
                    <w:tr2bl w:val="nil"/>
                  </w:tcBorders>
                  <w:noWrap w:val="0"/>
                  <w:vAlign w:val="center"/>
                </w:tcPr>
                <w:p w14:paraId="4F74BFD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振动给料机</w:t>
                  </w:r>
                </w:p>
              </w:tc>
              <w:tc>
                <w:tcPr>
                  <w:tcW w:w="1238" w:type="pct"/>
                  <w:tcBorders>
                    <w:tl2br w:val="nil"/>
                    <w:tr2bl w:val="nil"/>
                  </w:tcBorders>
                  <w:noWrap w:val="0"/>
                  <w:vAlign w:val="center"/>
                </w:tcPr>
                <w:p w14:paraId="3D4FE75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GZB1218</w:t>
                  </w:r>
                </w:p>
              </w:tc>
              <w:tc>
                <w:tcPr>
                  <w:tcW w:w="683" w:type="pct"/>
                  <w:tcBorders>
                    <w:tl2br w:val="nil"/>
                    <w:tr2bl w:val="nil"/>
                  </w:tcBorders>
                  <w:noWrap w:val="0"/>
                  <w:vAlign w:val="center"/>
                </w:tcPr>
                <w:p w14:paraId="660DDA1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30" w:type="pct"/>
                  <w:tcBorders>
                    <w:tl2br w:val="nil"/>
                    <w:tr2bl w:val="nil"/>
                  </w:tcBorders>
                  <w:noWrap w:val="0"/>
                  <w:vAlign w:val="center"/>
                </w:tcPr>
                <w:p w14:paraId="2950689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1101" w:type="pct"/>
                  <w:tcBorders>
                    <w:tl2br w:val="nil"/>
                    <w:tr2bl w:val="nil"/>
                  </w:tcBorders>
                  <w:noWrap w:val="0"/>
                  <w:vAlign w:val="center"/>
                </w:tcPr>
                <w:p w14:paraId="09FB35D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01754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102D44A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w:t>
                  </w:r>
                </w:p>
              </w:tc>
              <w:tc>
                <w:tcPr>
                  <w:tcW w:w="975" w:type="pct"/>
                  <w:tcBorders>
                    <w:tl2br w:val="nil"/>
                    <w:tr2bl w:val="nil"/>
                  </w:tcBorders>
                  <w:noWrap w:val="0"/>
                  <w:vAlign w:val="top"/>
                </w:tcPr>
                <w:p w14:paraId="42F5DE4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除尘器</w:t>
                  </w:r>
                </w:p>
              </w:tc>
              <w:tc>
                <w:tcPr>
                  <w:tcW w:w="1238" w:type="pct"/>
                  <w:tcBorders>
                    <w:tl2br w:val="nil"/>
                    <w:tr2bl w:val="nil"/>
                  </w:tcBorders>
                  <w:noWrap w:val="0"/>
                  <w:vAlign w:val="top"/>
                </w:tcPr>
                <w:p w14:paraId="3F70FCC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250D型</w:t>
                  </w:r>
                  <w:r>
                    <w:rPr>
                      <w:rFonts w:hint="default" w:ascii="Times New Roman" w:hAnsi="Times New Roman" w:eastAsia="宋体" w:cs="Times New Roman"/>
                      <w:color w:val="auto"/>
                      <w:sz w:val="21"/>
                      <w:szCs w:val="21"/>
                      <w:highlight w:val="none"/>
                      <w:lang w:val="en-US" w:eastAsia="zh-CN"/>
                    </w:rPr>
                    <w:t>捕</w:t>
                  </w:r>
                  <w:r>
                    <w:rPr>
                      <w:rFonts w:hint="default" w:ascii="Times New Roman" w:hAnsi="Times New Roman" w:eastAsia="宋体" w:cs="Times New Roman"/>
                      <w:color w:val="auto"/>
                      <w:sz w:val="21"/>
                      <w:szCs w:val="21"/>
                      <w:highlight w:val="none"/>
                    </w:rPr>
                    <w:t>尘设施</w:t>
                  </w:r>
                </w:p>
              </w:tc>
              <w:tc>
                <w:tcPr>
                  <w:tcW w:w="683" w:type="pct"/>
                  <w:tcBorders>
                    <w:tl2br w:val="nil"/>
                    <w:tr2bl w:val="nil"/>
                  </w:tcBorders>
                  <w:noWrap w:val="0"/>
                  <w:vAlign w:val="center"/>
                </w:tcPr>
                <w:p w14:paraId="1C2A902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30" w:type="pct"/>
                  <w:tcBorders>
                    <w:tl2br w:val="nil"/>
                    <w:tr2bl w:val="nil"/>
                  </w:tcBorders>
                  <w:noWrap w:val="0"/>
                  <w:vAlign w:val="center"/>
                </w:tcPr>
                <w:p w14:paraId="7703651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101" w:type="pct"/>
                  <w:tcBorders>
                    <w:tl2br w:val="nil"/>
                    <w:tr2bl w:val="nil"/>
                  </w:tcBorders>
                  <w:noWrap w:val="0"/>
                  <w:vAlign w:val="center"/>
                </w:tcPr>
                <w:p w14:paraId="37A577B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33DDF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7219D4B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w:t>
                  </w:r>
                </w:p>
              </w:tc>
              <w:tc>
                <w:tcPr>
                  <w:tcW w:w="975" w:type="pct"/>
                  <w:tcBorders>
                    <w:tl2br w:val="nil"/>
                    <w:tr2bl w:val="nil"/>
                  </w:tcBorders>
                  <w:noWrap w:val="0"/>
                  <w:vAlign w:val="center"/>
                </w:tcPr>
                <w:p w14:paraId="41123B10">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 w:val="0"/>
                      <w:bCs/>
                      <w:color w:val="FF0000"/>
                      <w:kern w:val="2"/>
                      <w:sz w:val="21"/>
                      <w:szCs w:val="21"/>
                      <w:highlight w:val="none"/>
                      <w:lang w:val="en-US" w:eastAsia="zh-CN" w:bidi="ar-SA"/>
                    </w:rPr>
                  </w:pPr>
                  <w:r>
                    <w:rPr>
                      <w:rFonts w:hint="default" w:ascii="Times New Roman" w:hAnsi="Times New Roman" w:eastAsia="宋体" w:cs="Times New Roman"/>
                      <w:b w:val="0"/>
                      <w:bCs/>
                      <w:color w:val="FF0000"/>
                      <w:sz w:val="21"/>
                      <w:szCs w:val="21"/>
                      <w:highlight w:val="none"/>
                    </w:rPr>
                    <w:t>喷淋</w:t>
                  </w:r>
                  <w:r>
                    <w:rPr>
                      <w:rFonts w:hint="eastAsia" w:ascii="Times New Roman" w:hAnsi="Times New Roman" w:eastAsia="宋体" w:cs="Times New Roman"/>
                      <w:b w:val="0"/>
                      <w:bCs/>
                      <w:color w:val="FF0000"/>
                      <w:sz w:val="21"/>
                      <w:szCs w:val="21"/>
                      <w:highlight w:val="none"/>
                      <w:lang w:val="en-US" w:eastAsia="zh-CN"/>
                    </w:rPr>
                    <w:t>设施</w:t>
                  </w:r>
                </w:p>
              </w:tc>
              <w:tc>
                <w:tcPr>
                  <w:tcW w:w="1238" w:type="pct"/>
                  <w:tcBorders>
                    <w:tl2br w:val="nil"/>
                    <w:tr2bl w:val="nil"/>
                  </w:tcBorders>
                  <w:noWrap w:val="0"/>
                  <w:vAlign w:val="center"/>
                </w:tcPr>
                <w:p w14:paraId="3132ADF8">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FF0000"/>
                      <w:kern w:val="2"/>
                      <w:sz w:val="21"/>
                      <w:szCs w:val="21"/>
                      <w:highlight w:val="none"/>
                      <w:lang w:val="en-US" w:eastAsia="zh-CN" w:bidi="ar-SA"/>
                    </w:rPr>
                  </w:pPr>
                  <w:r>
                    <w:rPr>
                      <w:rFonts w:hint="default" w:ascii="Times New Roman" w:hAnsi="Times New Roman" w:eastAsia="宋体" w:cs="Times New Roman"/>
                      <w:b w:val="0"/>
                      <w:bCs/>
                      <w:color w:val="FF0000"/>
                      <w:kern w:val="2"/>
                      <w:sz w:val="21"/>
                      <w:szCs w:val="21"/>
                      <w:highlight w:val="none"/>
                      <w:lang w:val="en-US" w:eastAsia="zh-CN" w:bidi="ar-SA"/>
                    </w:rPr>
                    <w:t>/</w:t>
                  </w:r>
                </w:p>
              </w:tc>
              <w:tc>
                <w:tcPr>
                  <w:tcW w:w="683" w:type="pct"/>
                  <w:tcBorders>
                    <w:tl2br w:val="nil"/>
                    <w:tr2bl w:val="nil"/>
                  </w:tcBorders>
                  <w:noWrap w:val="0"/>
                  <w:vAlign w:val="center"/>
                </w:tcPr>
                <w:p w14:paraId="504B33BE">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 w:val="0"/>
                      <w:bCs/>
                      <w:color w:val="FF0000"/>
                      <w:kern w:val="2"/>
                      <w:sz w:val="21"/>
                      <w:szCs w:val="21"/>
                      <w:highlight w:val="none"/>
                      <w:lang w:val="en-US" w:eastAsia="zh-CN" w:bidi="ar-SA"/>
                    </w:rPr>
                  </w:pPr>
                  <w:r>
                    <w:rPr>
                      <w:rFonts w:hint="eastAsia" w:ascii="Times New Roman" w:hAnsi="Times New Roman" w:eastAsia="宋体" w:cs="Times New Roman"/>
                      <w:b w:val="0"/>
                      <w:bCs/>
                      <w:color w:val="FF0000"/>
                      <w:sz w:val="21"/>
                      <w:szCs w:val="21"/>
                      <w:highlight w:val="none"/>
                      <w:lang w:val="en-US" w:eastAsia="zh-CN"/>
                    </w:rPr>
                    <w:t>套</w:t>
                  </w:r>
                </w:p>
              </w:tc>
              <w:tc>
                <w:tcPr>
                  <w:tcW w:w="530" w:type="pct"/>
                  <w:tcBorders>
                    <w:tl2br w:val="nil"/>
                    <w:tr2bl w:val="nil"/>
                  </w:tcBorders>
                  <w:noWrap w:val="0"/>
                  <w:vAlign w:val="center"/>
                </w:tcPr>
                <w:p w14:paraId="5FA93C3A">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FF0000"/>
                      <w:kern w:val="2"/>
                      <w:sz w:val="21"/>
                      <w:szCs w:val="21"/>
                      <w:highlight w:val="none"/>
                      <w:lang w:val="en-US" w:eastAsia="zh-CN" w:bidi="ar-SA"/>
                    </w:rPr>
                  </w:pPr>
                  <w:r>
                    <w:rPr>
                      <w:rFonts w:hint="eastAsia" w:ascii="Times New Roman" w:hAnsi="Times New Roman" w:eastAsia="宋体" w:cs="Times New Roman"/>
                      <w:b w:val="0"/>
                      <w:bCs/>
                      <w:color w:val="FF0000"/>
                      <w:sz w:val="21"/>
                      <w:szCs w:val="21"/>
                      <w:highlight w:val="none"/>
                      <w:lang w:val="en-US" w:eastAsia="zh-CN"/>
                    </w:rPr>
                    <w:t>4</w:t>
                  </w:r>
                </w:p>
              </w:tc>
              <w:tc>
                <w:tcPr>
                  <w:tcW w:w="1101" w:type="pct"/>
                  <w:tcBorders>
                    <w:tl2br w:val="nil"/>
                    <w:tr2bl w:val="nil"/>
                  </w:tcBorders>
                  <w:noWrap w:val="0"/>
                  <w:vAlign w:val="center"/>
                </w:tcPr>
                <w:p w14:paraId="0FB5781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kern w:val="2"/>
                      <w:sz w:val="21"/>
                      <w:szCs w:val="21"/>
                      <w:highlight w:val="none"/>
                      <w:lang w:val="en-US" w:eastAsia="zh-CN" w:bidi="ar-SA"/>
                    </w:rPr>
                  </w:pPr>
                  <w:r>
                    <w:rPr>
                      <w:rFonts w:hint="eastAsia" w:cs="Times New Roman"/>
                      <w:b w:val="0"/>
                      <w:bCs/>
                      <w:color w:val="FF0000"/>
                      <w:sz w:val="21"/>
                      <w:szCs w:val="21"/>
                      <w:highlight w:val="none"/>
                      <w:lang w:val="en-US" w:eastAsia="zh-CN"/>
                    </w:rPr>
                    <w:t>车间喷淋</w:t>
                  </w:r>
                  <w:r>
                    <w:rPr>
                      <w:rFonts w:hint="default" w:ascii="Times New Roman" w:hAnsi="Times New Roman" w:eastAsia="宋体" w:cs="Times New Roman"/>
                      <w:b w:val="0"/>
                      <w:bCs/>
                      <w:color w:val="FF0000"/>
                      <w:sz w:val="21"/>
                      <w:szCs w:val="21"/>
                      <w:highlight w:val="none"/>
                    </w:rPr>
                    <w:t>降尘</w:t>
                  </w:r>
                </w:p>
              </w:tc>
            </w:tr>
            <w:tr w14:paraId="4F0BD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20419A6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w:t>
                  </w:r>
                </w:p>
              </w:tc>
              <w:tc>
                <w:tcPr>
                  <w:tcW w:w="975" w:type="pct"/>
                  <w:tcBorders>
                    <w:tl2br w:val="nil"/>
                    <w:tr2bl w:val="nil"/>
                  </w:tcBorders>
                  <w:noWrap w:val="0"/>
                  <w:vAlign w:val="center"/>
                </w:tcPr>
                <w:p w14:paraId="25C75F91">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配电、控制装置</w:t>
                  </w:r>
                </w:p>
              </w:tc>
              <w:tc>
                <w:tcPr>
                  <w:tcW w:w="1238" w:type="pct"/>
                  <w:tcBorders>
                    <w:tl2br w:val="nil"/>
                    <w:tr2bl w:val="nil"/>
                  </w:tcBorders>
                  <w:noWrap w:val="0"/>
                  <w:vAlign w:val="center"/>
                </w:tcPr>
                <w:p w14:paraId="05A5EC8F">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c>
                <w:tcPr>
                  <w:tcW w:w="683" w:type="pct"/>
                  <w:tcBorders>
                    <w:tl2br w:val="nil"/>
                    <w:tr2bl w:val="nil"/>
                  </w:tcBorders>
                  <w:noWrap w:val="0"/>
                  <w:vAlign w:val="center"/>
                </w:tcPr>
                <w:p w14:paraId="6753CB21">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套</w:t>
                  </w:r>
                </w:p>
              </w:tc>
              <w:tc>
                <w:tcPr>
                  <w:tcW w:w="530" w:type="pct"/>
                  <w:tcBorders>
                    <w:tl2br w:val="nil"/>
                    <w:tr2bl w:val="nil"/>
                  </w:tcBorders>
                  <w:noWrap w:val="0"/>
                  <w:vAlign w:val="center"/>
                </w:tcPr>
                <w:p w14:paraId="64493EE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w:t>
                  </w:r>
                </w:p>
              </w:tc>
              <w:tc>
                <w:tcPr>
                  <w:tcW w:w="1101" w:type="pct"/>
                  <w:tcBorders>
                    <w:tl2br w:val="nil"/>
                    <w:tr2bl w:val="nil"/>
                  </w:tcBorders>
                  <w:noWrap w:val="0"/>
                  <w:vAlign w:val="center"/>
                </w:tcPr>
                <w:p w14:paraId="164627B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r>
            <w:tr w14:paraId="55B06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307F2F1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975" w:type="pct"/>
                  <w:tcBorders>
                    <w:tl2br w:val="nil"/>
                    <w:tr2bl w:val="nil"/>
                  </w:tcBorders>
                  <w:noWrap w:val="0"/>
                  <w:vAlign w:val="center"/>
                </w:tcPr>
                <w:p w14:paraId="2BC81B21">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变压器</w:t>
                  </w:r>
                </w:p>
              </w:tc>
              <w:tc>
                <w:tcPr>
                  <w:tcW w:w="1238" w:type="pct"/>
                  <w:tcBorders>
                    <w:tl2br w:val="nil"/>
                    <w:tr2bl w:val="nil"/>
                  </w:tcBorders>
                  <w:noWrap w:val="0"/>
                  <w:vAlign w:val="center"/>
                </w:tcPr>
                <w:p w14:paraId="5CA64BB4">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S20三相油浸式变压器</w:t>
                  </w:r>
                </w:p>
              </w:tc>
              <w:tc>
                <w:tcPr>
                  <w:tcW w:w="683" w:type="pct"/>
                  <w:tcBorders>
                    <w:tl2br w:val="nil"/>
                    <w:tr2bl w:val="nil"/>
                  </w:tcBorders>
                  <w:noWrap w:val="0"/>
                  <w:vAlign w:val="center"/>
                </w:tcPr>
                <w:p w14:paraId="16FCFDCB">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台</w:t>
                  </w:r>
                </w:p>
              </w:tc>
              <w:tc>
                <w:tcPr>
                  <w:tcW w:w="530" w:type="pct"/>
                  <w:tcBorders>
                    <w:tl2br w:val="nil"/>
                    <w:tr2bl w:val="nil"/>
                  </w:tcBorders>
                  <w:noWrap w:val="0"/>
                  <w:vAlign w:val="center"/>
                </w:tcPr>
                <w:p w14:paraId="774E4F3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w:t>
                  </w:r>
                </w:p>
              </w:tc>
              <w:tc>
                <w:tcPr>
                  <w:tcW w:w="1101" w:type="pct"/>
                  <w:tcBorders>
                    <w:tl2br w:val="nil"/>
                    <w:tr2bl w:val="nil"/>
                  </w:tcBorders>
                  <w:noWrap w:val="0"/>
                  <w:vAlign w:val="center"/>
                </w:tcPr>
                <w:p w14:paraId="7D4B663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2000KVA</w:t>
                  </w:r>
                </w:p>
              </w:tc>
            </w:tr>
            <w:tr w14:paraId="5EC11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2433667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w:t>
                  </w:r>
                </w:p>
              </w:tc>
              <w:tc>
                <w:tcPr>
                  <w:tcW w:w="975" w:type="pct"/>
                  <w:tcBorders>
                    <w:tl2br w:val="nil"/>
                    <w:tr2bl w:val="nil"/>
                  </w:tcBorders>
                  <w:noWrap w:val="0"/>
                  <w:vAlign w:val="center"/>
                </w:tcPr>
                <w:p w14:paraId="55FCEB08">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变压器</w:t>
                  </w:r>
                </w:p>
              </w:tc>
              <w:tc>
                <w:tcPr>
                  <w:tcW w:w="1238" w:type="pct"/>
                  <w:tcBorders>
                    <w:tl2br w:val="nil"/>
                    <w:tr2bl w:val="nil"/>
                  </w:tcBorders>
                  <w:noWrap w:val="0"/>
                  <w:vAlign w:val="center"/>
                </w:tcPr>
                <w:p w14:paraId="78774B90">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t>
                  </w:r>
                </w:p>
              </w:tc>
              <w:tc>
                <w:tcPr>
                  <w:tcW w:w="683" w:type="pct"/>
                  <w:tcBorders>
                    <w:tl2br w:val="nil"/>
                    <w:tr2bl w:val="nil"/>
                  </w:tcBorders>
                  <w:noWrap w:val="0"/>
                  <w:vAlign w:val="center"/>
                </w:tcPr>
                <w:p w14:paraId="77F9B86B">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台</w:t>
                  </w:r>
                </w:p>
              </w:tc>
              <w:tc>
                <w:tcPr>
                  <w:tcW w:w="530" w:type="pct"/>
                  <w:tcBorders>
                    <w:tl2br w:val="nil"/>
                    <w:tr2bl w:val="nil"/>
                  </w:tcBorders>
                  <w:noWrap w:val="0"/>
                  <w:vAlign w:val="center"/>
                </w:tcPr>
                <w:p w14:paraId="2378153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w:t>
                  </w:r>
                </w:p>
              </w:tc>
              <w:tc>
                <w:tcPr>
                  <w:tcW w:w="1101" w:type="pct"/>
                  <w:tcBorders>
                    <w:tl2br w:val="nil"/>
                    <w:tr2bl w:val="nil"/>
                  </w:tcBorders>
                  <w:noWrap w:val="0"/>
                  <w:vAlign w:val="center"/>
                </w:tcPr>
                <w:p w14:paraId="55F8604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800KVA</w:t>
                  </w:r>
                </w:p>
              </w:tc>
            </w:tr>
            <w:tr w14:paraId="2A29F8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0" w:type="pct"/>
                  <w:tcBorders>
                    <w:tl2br w:val="nil"/>
                    <w:tr2bl w:val="nil"/>
                  </w:tcBorders>
                  <w:noWrap w:val="0"/>
                  <w:vAlign w:val="center"/>
                </w:tcPr>
                <w:p w14:paraId="5017254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14</w:t>
                  </w:r>
                </w:p>
              </w:tc>
              <w:tc>
                <w:tcPr>
                  <w:tcW w:w="975" w:type="pct"/>
                  <w:tcBorders>
                    <w:tl2br w:val="nil"/>
                    <w:tr2bl w:val="nil"/>
                  </w:tcBorders>
                  <w:noWrap w:val="0"/>
                  <w:vAlign w:val="center"/>
                </w:tcPr>
                <w:p w14:paraId="6D20DABD">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FF0000"/>
                      <w:sz w:val="21"/>
                      <w:szCs w:val="21"/>
                      <w:highlight w:val="none"/>
                      <w:lang w:val="en-US" w:eastAsia="zh-CN"/>
                    </w:rPr>
                  </w:pPr>
                  <w:r>
                    <w:rPr>
                      <w:rFonts w:hint="eastAsia" w:ascii="Times New Roman" w:hAnsi="Times New Roman" w:eastAsia="宋体" w:cs="Times New Roman"/>
                      <w:b w:val="0"/>
                      <w:bCs/>
                      <w:color w:val="FF0000"/>
                      <w:sz w:val="21"/>
                      <w:szCs w:val="21"/>
                      <w:highlight w:val="none"/>
                      <w:lang w:val="en-US" w:eastAsia="zh-CN"/>
                    </w:rPr>
                    <w:t>雾炮机</w:t>
                  </w:r>
                </w:p>
              </w:tc>
              <w:tc>
                <w:tcPr>
                  <w:tcW w:w="1238" w:type="pct"/>
                  <w:tcBorders>
                    <w:tl2br w:val="nil"/>
                    <w:tr2bl w:val="nil"/>
                  </w:tcBorders>
                  <w:noWrap w:val="0"/>
                  <w:vAlign w:val="center"/>
                </w:tcPr>
                <w:p w14:paraId="02FE85CB">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FF0000"/>
                      <w:kern w:val="2"/>
                      <w:sz w:val="21"/>
                      <w:szCs w:val="21"/>
                      <w:highlight w:val="none"/>
                      <w:lang w:val="en-US" w:eastAsia="zh-CN" w:bidi="ar-SA"/>
                    </w:rPr>
                  </w:pPr>
                  <w:r>
                    <w:rPr>
                      <w:rFonts w:hint="eastAsia" w:ascii="Times New Roman" w:hAnsi="Times New Roman" w:eastAsia="宋体" w:cs="Times New Roman"/>
                      <w:b w:val="0"/>
                      <w:bCs/>
                      <w:color w:val="FF0000"/>
                      <w:kern w:val="2"/>
                      <w:sz w:val="21"/>
                      <w:szCs w:val="21"/>
                      <w:highlight w:val="none"/>
                      <w:lang w:val="en-US" w:eastAsia="zh-CN" w:bidi="ar-SA"/>
                    </w:rPr>
                    <w:t>/</w:t>
                  </w:r>
                </w:p>
              </w:tc>
              <w:tc>
                <w:tcPr>
                  <w:tcW w:w="683" w:type="pct"/>
                  <w:tcBorders>
                    <w:tl2br w:val="nil"/>
                    <w:tr2bl w:val="nil"/>
                  </w:tcBorders>
                  <w:noWrap w:val="0"/>
                  <w:vAlign w:val="center"/>
                </w:tcPr>
                <w:p w14:paraId="60A7FFD1">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olor w:val="FF0000"/>
                      <w:sz w:val="21"/>
                      <w:szCs w:val="21"/>
                      <w:highlight w:val="none"/>
                    </w:rPr>
                  </w:pPr>
                  <w:r>
                    <w:rPr>
                      <w:rFonts w:hint="eastAsia" w:ascii="Times New Roman" w:hAnsi="Times New Roman" w:eastAsia="宋体" w:cs="Times New Roman"/>
                      <w:b w:val="0"/>
                      <w:bCs/>
                      <w:color w:val="FF0000"/>
                      <w:sz w:val="21"/>
                      <w:szCs w:val="21"/>
                      <w:highlight w:val="none"/>
                      <w:lang w:val="en-US" w:eastAsia="zh-CN"/>
                    </w:rPr>
                    <w:t>台</w:t>
                  </w:r>
                </w:p>
              </w:tc>
              <w:tc>
                <w:tcPr>
                  <w:tcW w:w="530" w:type="pct"/>
                  <w:tcBorders>
                    <w:tl2br w:val="nil"/>
                    <w:tr2bl w:val="nil"/>
                  </w:tcBorders>
                  <w:noWrap w:val="0"/>
                  <w:vAlign w:val="center"/>
                </w:tcPr>
                <w:p w14:paraId="4CFC393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FF0000"/>
                      <w:sz w:val="21"/>
                      <w:szCs w:val="21"/>
                      <w:highlight w:val="none"/>
                      <w:lang w:val="en-US" w:eastAsia="zh-CN"/>
                    </w:rPr>
                  </w:pPr>
                  <w:r>
                    <w:rPr>
                      <w:rFonts w:hint="eastAsia" w:cs="Times New Roman"/>
                      <w:b w:val="0"/>
                      <w:bCs/>
                      <w:color w:val="FF0000"/>
                      <w:sz w:val="21"/>
                      <w:szCs w:val="21"/>
                      <w:highlight w:val="none"/>
                      <w:lang w:val="en-US" w:eastAsia="zh-CN"/>
                    </w:rPr>
                    <w:t>3</w:t>
                  </w:r>
                </w:p>
              </w:tc>
              <w:tc>
                <w:tcPr>
                  <w:tcW w:w="1101" w:type="pct"/>
                  <w:tcBorders>
                    <w:tl2br w:val="nil"/>
                    <w:tr2bl w:val="nil"/>
                  </w:tcBorders>
                  <w:noWrap w:val="0"/>
                  <w:vAlign w:val="center"/>
                </w:tcPr>
                <w:p w14:paraId="32729C0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FF0000"/>
                      <w:kern w:val="2"/>
                      <w:sz w:val="21"/>
                      <w:szCs w:val="21"/>
                      <w:highlight w:val="none"/>
                      <w:lang w:val="en-US" w:eastAsia="zh-CN" w:bidi="ar-SA"/>
                    </w:rPr>
                  </w:pPr>
                  <w:r>
                    <w:rPr>
                      <w:rFonts w:hint="eastAsia" w:ascii="Times New Roman" w:hAnsi="Times New Roman" w:eastAsia="宋体" w:cs="Times New Roman"/>
                      <w:b w:val="0"/>
                      <w:bCs/>
                      <w:color w:val="FF0000"/>
                      <w:kern w:val="2"/>
                      <w:sz w:val="21"/>
                      <w:szCs w:val="21"/>
                      <w:highlight w:val="none"/>
                      <w:lang w:val="en-US" w:eastAsia="zh-CN" w:bidi="ar-SA"/>
                    </w:rPr>
                    <w:t>/</w:t>
                  </w:r>
                </w:p>
              </w:tc>
            </w:tr>
          </w:tbl>
          <w:p w14:paraId="3CF5C184">
            <w:pPr>
              <w:pStyle w:val="4"/>
              <w:keepNext w:val="0"/>
              <w:keepLines w:val="0"/>
              <w:pageBreakBefore w:val="0"/>
              <w:widowControl w:val="0"/>
              <w:kinsoku/>
              <w:wordWrap/>
              <w:overflowPunct/>
              <w:topLinePunct w:val="0"/>
              <w:autoSpaceDE/>
              <w:autoSpaceDN/>
              <w:bidi w:val="0"/>
            </w:pPr>
            <w:r>
              <w:rPr>
                <w:rFonts w:hint="eastAsia"/>
                <w:lang w:val="en-US" w:eastAsia="zh-CN"/>
              </w:rPr>
              <w:t>3、</w:t>
            </w:r>
            <w:r>
              <w:t>原辅材料</w:t>
            </w:r>
            <w:r>
              <w:rPr>
                <w:rFonts w:hint="eastAsia"/>
              </w:rPr>
              <w:t>及能源</w:t>
            </w:r>
            <w:r>
              <w:t>消耗</w:t>
            </w:r>
          </w:p>
          <w:p w14:paraId="73AA39A2">
            <w:pPr>
              <w:pStyle w:val="5"/>
              <w:keepNext w:val="0"/>
              <w:keepLines w:val="0"/>
              <w:pageBreakBefore w:val="0"/>
              <w:widowControl w:val="0"/>
              <w:kinsoku/>
              <w:wordWrap/>
              <w:overflowPunct/>
              <w:topLinePunct w:val="0"/>
              <w:autoSpaceDE/>
              <w:autoSpaceDN/>
              <w:bidi w:val="0"/>
            </w:pPr>
            <w:r>
              <w:t>表</w:t>
            </w:r>
            <w:r>
              <w:rPr>
                <w:rFonts w:hint="eastAsia"/>
                <w:lang w:val="en-US" w:eastAsia="zh-CN"/>
              </w:rPr>
              <w:t>2</w:t>
            </w:r>
            <w:r>
              <w:rPr>
                <w:rFonts w:hint="eastAsia"/>
              </w:rPr>
              <w:t>-</w:t>
            </w:r>
            <w:r>
              <w:rPr>
                <w:rFonts w:hint="eastAsia"/>
                <w:lang w:val="en-US" w:eastAsia="zh-CN"/>
              </w:rPr>
              <w:t>4</w:t>
            </w:r>
            <w:r>
              <w:t xml:space="preserve">  原辅材料</w:t>
            </w:r>
            <w:r>
              <w:rPr>
                <w:rFonts w:hint="eastAsia"/>
              </w:rPr>
              <w:t>及能源</w:t>
            </w:r>
            <w:r>
              <w:t>消耗一览表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5"/>
              <w:gridCol w:w="1617"/>
              <w:gridCol w:w="1471"/>
              <w:gridCol w:w="1352"/>
              <w:gridCol w:w="2483"/>
            </w:tblGrid>
            <w:tr w14:paraId="6765BC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46" w:type="pct"/>
                  <w:tcBorders>
                    <w:tl2br w:val="nil"/>
                    <w:tr2bl w:val="nil"/>
                  </w:tcBorders>
                  <w:noWrap w:val="0"/>
                  <w:vAlign w:val="center"/>
                </w:tcPr>
                <w:p w14:paraId="251B9EF9">
                  <w:pPr>
                    <w:keepNext w:val="0"/>
                    <w:keepLines w:val="0"/>
                    <w:pageBreakBefore w:val="0"/>
                    <w:widowControl w:val="0"/>
                    <w:kinsoku/>
                    <w:wordWrap/>
                    <w:overflowPunct/>
                    <w:topLinePunct w:val="0"/>
                    <w:autoSpaceDE/>
                    <w:autoSpaceDN/>
                    <w:bidi w:val="0"/>
                    <w:spacing w:line="240" w:lineRule="auto"/>
                    <w:ind w:firstLine="0" w:firstLineChars="0"/>
                    <w:jc w:val="center"/>
                    <w:rPr>
                      <w:b/>
                      <w:sz w:val="21"/>
                      <w:szCs w:val="21"/>
                    </w:rPr>
                  </w:pPr>
                  <w:r>
                    <w:rPr>
                      <w:rFonts w:hAnsi="宋体"/>
                      <w:b/>
                      <w:sz w:val="21"/>
                      <w:szCs w:val="21"/>
                    </w:rPr>
                    <w:t>序号</w:t>
                  </w:r>
                </w:p>
              </w:tc>
              <w:tc>
                <w:tcPr>
                  <w:tcW w:w="993" w:type="pct"/>
                  <w:tcBorders>
                    <w:tl2br w:val="nil"/>
                    <w:tr2bl w:val="nil"/>
                  </w:tcBorders>
                  <w:noWrap w:val="0"/>
                  <w:vAlign w:val="center"/>
                </w:tcPr>
                <w:p w14:paraId="69098FB5">
                  <w:pPr>
                    <w:keepNext w:val="0"/>
                    <w:keepLines w:val="0"/>
                    <w:pageBreakBefore w:val="0"/>
                    <w:widowControl w:val="0"/>
                    <w:kinsoku/>
                    <w:wordWrap/>
                    <w:overflowPunct/>
                    <w:topLinePunct w:val="0"/>
                    <w:autoSpaceDE/>
                    <w:autoSpaceDN/>
                    <w:bidi w:val="0"/>
                    <w:spacing w:line="240" w:lineRule="auto"/>
                    <w:ind w:firstLine="0" w:firstLineChars="0"/>
                    <w:jc w:val="center"/>
                    <w:rPr>
                      <w:b/>
                      <w:sz w:val="21"/>
                      <w:szCs w:val="21"/>
                    </w:rPr>
                  </w:pPr>
                  <w:r>
                    <w:rPr>
                      <w:rFonts w:hAnsi="宋体"/>
                      <w:b/>
                      <w:sz w:val="21"/>
                      <w:szCs w:val="21"/>
                    </w:rPr>
                    <w:t>名称</w:t>
                  </w:r>
                </w:p>
              </w:tc>
              <w:tc>
                <w:tcPr>
                  <w:tcW w:w="903" w:type="pct"/>
                  <w:tcBorders>
                    <w:tl2br w:val="nil"/>
                    <w:tr2bl w:val="nil"/>
                  </w:tcBorders>
                  <w:noWrap w:val="0"/>
                  <w:vAlign w:val="center"/>
                </w:tcPr>
                <w:p w14:paraId="12195C25">
                  <w:pPr>
                    <w:keepNext w:val="0"/>
                    <w:keepLines w:val="0"/>
                    <w:pageBreakBefore w:val="0"/>
                    <w:widowControl w:val="0"/>
                    <w:kinsoku/>
                    <w:wordWrap/>
                    <w:overflowPunct/>
                    <w:topLinePunct w:val="0"/>
                    <w:autoSpaceDE/>
                    <w:autoSpaceDN/>
                    <w:bidi w:val="0"/>
                    <w:spacing w:line="240" w:lineRule="auto"/>
                    <w:ind w:firstLine="0" w:firstLineChars="0"/>
                    <w:jc w:val="center"/>
                    <w:rPr>
                      <w:b/>
                      <w:sz w:val="21"/>
                      <w:szCs w:val="21"/>
                    </w:rPr>
                  </w:pPr>
                  <w:r>
                    <w:rPr>
                      <w:rFonts w:hAnsi="宋体"/>
                      <w:b/>
                      <w:sz w:val="21"/>
                      <w:szCs w:val="21"/>
                    </w:rPr>
                    <w:t>单位</w:t>
                  </w:r>
                </w:p>
              </w:tc>
              <w:tc>
                <w:tcPr>
                  <w:tcW w:w="830" w:type="pct"/>
                  <w:tcBorders>
                    <w:tl2br w:val="nil"/>
                    <w:tr2bl w:val="nil"/>
                  </w:tcBorders>
                  <w:noWrap w:val="0"/>
                  <w:vAlign w:val="center"/>
                </w:tcPr>
                <w:p w14:paraId="2CEBF2FB">
                  <w:pPr>
                    <w:keepNext w:val="0"/>
                    <w:keepLines w:val="0"/>
                    <w:pageBreakBefore w:val="0"/>
                    <w:widowControl w:val="0"/>
                    <w:kinsoku/>
                    <w:wordWrap/>
                    <w:overflowPunct/>
                    <w:topLinePunct w:val="0"/>
                    <w:autoSpaceDE/>
                    <w:autoSpaceDN/>
                    <w:bidi w:val="0"/>
                    <w:spacing w:line="240" w:lineRule="auto"/>
                    <w:ind w:firstLine="0" w:firstLineChars="0"/>
                    <w:jc w:val="center"/>
                    <w:rPr>
                      <w:b/>
                      <w:sz w:val="21"/>
                      <w:szCs w:val="21"/>
                    </w:rPr>
                  </w:pPr>
                  <w:r>
                    <w:rPr>
                      <w:rFonts w:hAnsi="宋体"/>
                      <w:b/>
                      <w:sz w:val="21"/>
                      <w:szCs w:val="21"/>
                    </w:rPr>
                    <w:t>数量</w:t>
                  </w:r>
                </w:p>
              </w:tc>
              <w:tc>
                <w:tcPr>
                  <w:tcW w:w="1525" w:type="pct"/>
                  <w:tcBorders>
                    <w:tl2br w:val="nil"/>
                    <w:tr2bl w:val="nil"/>
                  </w:tcBorders>
                  <w:noWrap w:val="0"/>
                  <w:vAlign w:val="center"/>
                </w:tcPr>
                <w:p w14:paraId="330D68FF">
                  <w:pPr>
                    <w:keepNext w:val="0"/>
                    <w:keepLines w:val="0"/>
                    <w:pageBreakBefore w:val="0"/>
                    <w:widowControl w:val="0"/>
                    <w:kinsoku/>
                    <w:wordWrap/>
                    <w:overflowPunct/>
                    <w:topLinePunct w:val="0"/>
                    <w:autoSpaceDE/>
                    <w:autoSpaceDN/>
                    <w:bidi w:val="0"/>
                    <w:spacing w:line="240" w:lineRule="auto"/>
                    <w:ind w:firstLine="0" w:firstLineChars="0"/>
                    <w:jc w:val="center"/>
                    <w:rPr>
                      <w:b/>
                      <w:sz w:val="21"/>
                      <w:szCs w:val="21"/>
                    </w:rPr>
                  </w:pPr>
                  <w:r>
                    <w:rPr>
                      <w:rFonts w:hAnsi="宋体"/>
                      <w:b/>
                      <w:sz w:val="21"/>
                      <w:szCs w:val="21"/>
                    </w:rPr>
                    <w:t>来源</w:t>
                  </w:r>
                </w:p>
              </w:tc>
            </w:tr>
            <w:tr w14:paraId="515FE4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tcBorders>
                    <w:tl2br w:val="nil"/>
                    <w:tr2bl w:val="nil"/>
                  </w:tcBorders>
                  <w:noWrap w:val="0"/>
                  <w:vAlign w:val="center"/>
                </w:tcPr>
                <w:p w14:paraId="3A84A2D0">
                  <w:pPr>
                    <w:keepNext w:val="0"/>
                    <w:keepLines w:val="0"/>
                    <w:pageBreakBefore w:val="0"/>
                    <w:widowControl w:val="0"/>
                    <w:kinsoku/>
                    <w:wordWrap/>
                    <w:overflowPunct/>
                    <w:topLinePunct w:val="0"/>
                    <w:autoSpaceDE/>
                    <w:autoSpaceDN/>
                    <w:bidi w:val="0"/>
                    <w:spacing w:line="240" w:lineRule="auto"/>
                    <w:ind w:firstLine="0" w:firstLineChars="0"/>
                    <w:jc w:val="center"/>
                    <w:rPr>
                      <w:bCs/>
                      <w:sz w:val="21"/>
                      <w:szCs w:val="21"/>
                    </w:rPr>
                  </w:pPr>
                  <w:r>
                    <w:rPr>
                      <w:bCs/>
                      <w:sz w:val="21"/>
                      <w:szCs w:val="21"/>
                    </w:rPr>
                    <w:t>1</w:t>
                  </w:r>
                </w:p>
              </w:tc>
              <w:tc>
                <w:tcPr>
                  <w:tcW w:w="993" w:type="pct"/>
                  <w:tcBorders>
                    <w:tl2br w:val="nil"/>
                    <w:tr2bl w:val="nil"/>
                  </w:tcBorders>
                  <w:noWrap w:val="0"/>
                  <w:vAlign w:val="center"/>
                </w:tcPr>
                <w:p w14:paraId="31AABED6">
                  <w:pPr>
                    <w:keepNext w:val="0"/>
                    <w:keepLines w:val="0"/>
                    <w:pageBreakBefore w:val="0"/>
                    <w:widowControl w:val="0"/>
                    <w:kinsoku/>
                    <w:wordWrap/>
                    <w:overflowPunct/>
                    <w:topLinePunct w:val="0"/>
                    <w:autoSpaceDE/>
                    <w:autoSpaceDN/>
                    <w:bidi w:val="0"/>
                    <w:spacing w:line="240" w:lineRule="auto"/>
                    <w:ind w:firstLine="0" w:firstLineChars="0"/>
                    <w:jc w:val="center"/>
                    <w:rPr>
                      <w:bCs/>
                      <w:sz w:val="21"/>
                      <w:szCs w:val="21"/>
                    </w:rPr>
                  </w:pPr>
                  <w:r>
                    <w:rPr>
                      <w:rFonts w:hAnsi="宋体"/>
                      <w:bCs/>
                      <w:sz w:val="21"/>
                      <w:szCs w:val="21"/>
                    </w:rPr>
                    <w:t>矿石原料</w:t>
                  </w:r>
                </w:p>
              </w:tc>
              <w:tc>
                <w:tcPr>
                  <w:tcW w:w="903" w:type="pct"/>
                  <w:tcBorders>
                    <w:tl2br w:val="nil"/>
                    <w:tr2bl w:val="nil"/>
                  </w:tcBorders>
                  <w:noWrap w:val="0"/>
                  <w:vAlign w:val="center"/>
                </w:tcPr>
                <w:p w14:paraId="67A92F45">
                  <w:pPr>
                    <w:keepNext w:val="0"/>
                    <w:keepLines w:val="0"/>
                    <w:pageBreakBefore w:val="0"/>
                    <w:widowControl w:val="0"/>
                    <w:kinsoku/>
                    <w:wordWrap/>
                    <w:overflowPunct/>
                    <w:topLinePunct w:val="0"/>
                    <w:autoSpaceDE/>
                    <w:autoSpaceDN/>
                    <w:bidi w:val="0"/>
                    <w:spacing w:line="240" w:lineRule="auto"/>
                    <w:ind w:firstLine="0" w:firstLineChars="0"/>
                    <w:jc w:val="center"/>
                    <w:rPr>
                      <w:bCs/>
                      <w:sz w:val="21"/>
                      <w:szCs w:val="21"/>
                    </w:rPr>
                  </w:pPr>
                  <w:r>
                    <w:rPr>
                      <w:rFonts w:hint="eastAsia"/>
                      <w:bCs/>
                      <w:sz w:val="21"/>
                      <w:szCs w:val="21"/>
                      <w:lang w:val="en-US" w:eastAsia="zh-CN"/>
                    </w:rPr>
                    <w:t>万</w:t>
                  </w:r>
                  <w:r>
                    <w:rPr>
                      <w:bCs/>
                      <w:sz w:val="21"/>
                      <w:szCs w:val="21"/>
                    </w:rPr>
                    <w:t>m</w:t>
                  </w:r>
                  <w:r>
                    <w:rPr>
                      <w:bCs/>
                      <w:sz w:val="21"/>
                      <w:szCs w:val="21"/>
                      <w:vertAlign w:val="superscript"/>
                    </w:rPr>
                    <w:t>3</w:t>
                  </w:r>
                  <w:r>
                    <w:rPr>
                      <w:bCs/>
                      <w:sz w:val="21"/>
                      <w:szCs w:val="21"/>
                    </w:rPr>
                    <w:t>/a</w:t>
                  </w:r>
                </w:p>
              </w:tc>
              <w:tc>
                <w:tcPr>
                  <w:tcW w:w="830" w:type="pct"/>
                  <w:tcBorders>
                    <w:tl2br w:val="nil"/>
                    <w:tr2bl w:val="nil"/>
                  </w:tcBorders>
                  <w:noWrap w:val="0"/>
                  <w:vAlign w:val="center"/>
                </w:tcPr>
                <w:p w14:paraId="13B4695E">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100</w:t>
                  </w:r>
                </w:p>
              </w:tc>
              <w:tc>
                <w:tcPr>
                  <w:tcW w:w="1525" w:type="pct"/>
                  <w:tcBorders>
                    <w:tl2br w:val="nil"/>
                    <w:tr2bl w:val="nil"/>
                  </w:tcBorders>
                  <w:noWrap w:val="0"/>
                  <w:vAlign w:val="center"/>
                </w:tcPr>
                <w:p w14:paraId="4F24B62E">
                  <w:pPr>
                    <w:keepNext w:val="0"/>
                    <w:keepLines w:val="0"/>
                    <w:pageBreakBefore w:val="0"/>
                    <w:widowControl w:val="0"/>
                    <w:kinsoku/>
                    <w:wordWrap/>
                    <w:overflowPunct/>
                    <w:topLinePunct w:val="0"/>
                    <w:autoSpaceDE/>
                    <w:autoSpaceDN/>
                    <w:bidi w:val="0"/>
                    <w:spacing w:line="240" w:lineRule="auto"/>
                    <w:ind w:firstLine="0" w:firstLineChars="0"/>
                    <w:jc w:val="center"/>
                    <w:rPr>
                      <w:bCs/>
                      <w:sz w:val="21"/>
                      <w:szCs w:val="21"/>
                    </w:rPr>
                  </w:pPr>
                  <w:r>
                    <w:rPr>
                      <w:rFonts w:hAnsi="宋体"/>
                      <w:bCs/>
                      <w:sz w:val="21"/>
                      <w:szCs w:val="21"/>
                    </w:rPr>
                    <w:t>项目区采掘</w:t>
                  </w:r>
                </w:p>
              </w:tc>
            </w:tr>
            <w:tr w14:paraId="4C0EEF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tcBorders>
                    <w:tl2br w:val="nil"/>
                    <w:tr2bl w:val="nil"/>
                  </w:tcBorders>
                  <w:noWrap w:val="0"/>
                  <w:vAlign w:val="center"/>
                </w:tcPr>
                <w:p w14:paraId="33FE9B2B">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eastAsia="宋体"/>
                      <w:bCs/>
                      <w:sz w:val="21"/>
                      <w:szCs w:val="21"/>
                      <w:lang w:eastAsia="zh-CN"/>
                    </w:rPr>
                  </w:pPr>
                  <w:r>
                    <w:rPr>
                      <w:rFonts w:hint="eastAsia"/>
                      <w:bCs/>
                      <w:sz w:val="21"/>
                      <w:szCs w:val="21"/>
                      <w:lang w:val="en-US" w:eastAsia="zh-CN"/>
                    </w:rPr>
                    <w:t>2</w:t>
                  </w:r>
                </w:p>
              </w:tc>
              <w:tc>
                <w:tcPr>
                  <w:tcW w:w="993" w:type="pct"/>
                  <w:tcBorders>
                    <w:tl2br w:val="nil"/>
                    <w:tr2bl w:val="nil"/>
                  </w:tcBorders>
                  <w:noWrap w:val="0"/>
                  <w:vAlign w:val="center"/>
                </w:tcPr>
                <w:p w14:paraId="699484A7">
                  <w:pPr>
                    <w:keepNext w:val="0"/>
                    <w:keepLines w:val="0"/>
                    <w:pageBreakBefore w:val="0"/>
                    <w:widowControl w:val="0"/>
                    <w:kinsoku/>
                    <w:wordWrap/>
                    <w:overflowPunct/>
                    <w:topLinePunct w:val="0"/>
                    <w:autoSpaceDE/>
                    <w:autoSpaceDN/>
                    <w:bidi w:val="0"/>
                    <w:spacing w:line="240" w:lineRule="auto"/>
                    <w:ind w:firstLine="0" w:firstLineChars="0"/>
                    <w:jc w:val="center"/>
                    <w:rPr>
                      <w:bCs/>
                      <w:color w:val="auto"/>
                      <w:sz w:val="21"/>
                      <w:szCs w:val="21"/>
                    </w:rPr>
                  </w:pPr>
                  <w:r>
                    <w:rPr>
                      <w:rFonts w:hAnsi="宋体"/>
                      <w:bCs/>
                      <w:color w:val="auto"/>
                      <w:sz w:val="21"/>
                      <w:szCs w:val="21"/>
                    </w:rPr>
                    <w:t>水</w:t>
                  </w:r>
                </w:p>
              </w:tc>
              <w:tc>
                <w:tcPr>
                  <w:tcW w:w="903" w:type="pct"/>
                  <w:tcBorders>
                    <w:tl2br w:val="nil"/>
                    <w:tr2bl w:val="nil"/>
                  </w:tcBorders>
                  <w:noWrap w:val="0"/>
                  <w:vAlign w:val="center"/>
                </w:tcPr>
                <w:p w14:paraId="30E78F35">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m</w:t>
                  </w:r>
                  <w:r>
                    <w:rPr>
                      <w:rFonts w:hint="eastAsia" w:ascii="Times New Roman" w:hAnsi="Times New Roman" w:cs="Times New Roman"/>
                      <w:bCs/>
                      <w:sz w:val="21"/>
                      <w:szCs w:val="21"/>
                      <w:vertAlign w:val="superscript"/>
                      <w:lang w:val="en-US" w:eastAsia="zh-CN"/>
                    </w:rPr>
                    <w:t>3</w:t>
                  </w:r>
                  <w:r>
                    <w:rPr>
                      <w:rFonts w:hint="eastAsia" w:ascii="Times New Roman" w:hAnsi="Times New Roman" w:cs="Times New Roman"/>
                      <w:bCs/>
                      <w:sz w:val="21"/>
                      <w:szCs w:val="21"/>
                      <w:lang w:val="en-US" w:eastAsia="zh-CN"/>
                    </w:rPr>
                    <w:t>/a</w:t>
                  </w:r>
                </w:p>
              </w:tc>
              <w:tc>
                <w:tcPr>
                  <w:tcW w:w="830" w:type="pct"/>
                  <w:tcBorders>
                    <w:tl2br w:val="nil"/>
                    <w:tr2bl w:val="nil"/>
                  </w:tcBorders>
                  <w:noWrap w:val="0"/>
                  <w:vAlign w:val="center"/>
                </w:tcPr>
                <w:p w14:paraId="22440590">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cs="Times New Roman"/>
                      <w:bCs/>
                      <w:sz w:val="21"/>
                      <w:szCs w:val="21"/>
                      <w:lang w:val="en-US" w:eastAsia="zh-CN"/>
                    </w:rPr>
                  </w:pPr>
                  <w:r>
                    <w:rPr>
                      <w:rFonts w:hint="eastAsia" w:cs="Times New Roman"/>
                      <w:bCs/>
                      <w:color w:val="0000FF"/>
                      <w:sz w:val="21"/>
                      <w:szCs w:val="21"/>
                      <w:highlight w:val="none"/>
                      <w:lang w:val="en-US" w:eastAsia="zh-CN"/>
                    </w:rPr>
                    <w:t>2840.5</w:t>
                  </w:r>
                </w:p>
              </w:tc>
              <w:tc>
                <w:tcPr>
                  <w:tcW w:w="1525" w:type="pct"/>
                  <w:tcBorders>
                    <w:tl2br w:val="nil"/>
                    <w:tr2bl w:val="nil"/>
                  </w:tcBorders>
                  <w:noWrap w:val="0"/>
                  <w:vAlign w:val="center"/>
                </w:tcPr>
                <w:p w14:paraId="78EB094D">
                  <w:pPr>
                    <w:keepNext w:val="0"/>
                    <w:keepLines w:val="0"/>
                    <w:pageBreakBefore w:val="0"/>
                    <w:widowControl w:val="0"/>
                    <w:kinsoku/>
                    <w:wordWrap/>
                    <w:overflowPunct/>
                    <w:topLinePunct w:val="0"/>
                    <w:autoSpaceDE/>
                    <w:autoSpaceDN/>
                    <w:bidi w:val="0"/>
                    <w:spacing w:line="240" w:lineRule="auto"/>
                    <w:ind w:firstLine="0" w:firstLineChars="0"/>
                    <w:jc w:val="center"/>
                    <w:rPr>
                      <w:bCs/>
                      <w:color w:val="auto"/>
                      <w:sz w:val="21"/>
                      <w:szCs w:val="21"/>
                    </w:rPr>
                  </w:pPr>
                  <w:r>
                    <w:rPr>
                      <w:rFonts w:hint="eastAsia" w:ascii="Times New Roman" w:hAnsi="Times New Roman" w:eastAsia="宋体" w:cs="Times New Roman"/>
                      <w:b w:val="0"/>
                      <w:bCs/>
                      <w:color w:val="0000FF"/>
                      <w:sz w:val="21"/>
                      <w:szCs w:val="21"/>
                      <w:vertAlign w:val="baseline"/>
                      <w:lang w:val="en-US" w:eastAsia="zh-CN"/>
                    </w:rPr>
                    <w:t>可从矿区</w:t>
                  </w:r>
                  <w:r>
                    <w:rPr>
                      <w:rFonts w:hint="eastAsia" w:cs="Times New Roman"/>
                      <w:b w:val="0"/>
                      <w:bCs/>
                      <w:color w:val="0000FF"/>
                      <w:sz w:val="21"/>
                      <w:szCs w:val="21"/>
                      <w:vertAlign w:val="baseline"/>
                      <w:lang w:val="en-US" w:eastAsia="zh-CN"/>
                    </w:rPr>
                    <w:t>下游河北乡赛塘村</w:t>
                  </w:r>
                  <w:r>
                    <w:rPr>
                      <w:rFonts w:hint="eastAsia" w:ascii="Times New Roman" w:hAnsi="Times New Roman" w:eastAsia="宋体" w:cs="Times New Roman"/>
                      <w:b w:val="0"/>
                      <w:bCs/>
                      <w:color w:val="0000FF"/>
                      <w:sz w:val="21"/>
                      <w:szCs w:val="21"/>
                      <w:vertAlign w:val="baseline"/>
                      <w:lang w:val="en-US" w:eastAsia="zh-CN"/>
                    </w:rPr>
                    <w:t>拉运解决</w:t>
                  </w:r>
                </w:p>
              </w:tc>
            </w:tr>
            <w:tr w14:paraId="7F6089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tcBorders>
                    <w:tl2br w:val="nil"/>
                    <w:tr2bl w:val="nil"/>
                  </w:tcBorders>
                  <w:noWrap w:val="0"/>
                  <w:vAlign w:val="center"/>
                </w:tcPr>
                <w:p w14:paraId="6F48EC11">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eastAsia="宋体"/>
                      <w:bCs/>
                      <w:sz w:val="21"/>
                      <w:szCs w:val="21"/>
                      <w:lang w:eastAsia="zh-CN"/>
                    </w:rPr>
                  </w:pPr>
                  <w:r>
                    <w:rPr>
                      <w:rFonts w:hint="eastAsia"/>
                      <w:bCs/>
                      <w:sz w:val="21"/>
                      <w:szCs w:val="21"/>
                      <w:lang w:val="en-US" w:eastAsia="zh-CN"/>
                    </w:rPr>
                    <w:t>3</w:t>
                  </w:r>
                </w:p>
              </w:tc>
              <w:tc>
                <w:tcPr>
                  <w:tcW w:w="993" w:type="pct"/>
                  <w:tcBorders>
                    <w:tl2br w:val="nil"/>
                    <w:tr2bl w:val="nil"/>
                  </w:tcBorders>
                  <w:noWrap w:val="0"/>
                  <w:vAlign w:val="center"/>
                </w:tcPr>
                <w:p w14:paraId="7B8AEDDD">
                  <w:pPr>
                    <w:keepNext w:val="0"/>
                    <w:keepLines w:val="0"/>
                    <w:pageBreakBefore w:val="0"/>
                    <w:widowControl w:val="0"/>
                    <w:kinsoku/>
                    <w:wordWrap/>
                    <w:overflowPunct/>
                    <w:topLinePunct w:val="0"/>
                    <w:autoSpaceDE/>
                    <w:autoSpaceDN/>
                    <w:bidi w:val="0"/>
                    <w:spacing w:line="240" w:lineRule="auto"/>
                    <w:ind w:firstLine="0" w:firstLineChars="0"/>
                    <w:jc w:val="center"/>
                    <w:rPr>
                      <w:bCs/>
                      <w:sz w:val="21"/>
                      <w:szCs w:val="21"/>
                    </w:rPr>
                  </w:pPr>
                  <w:r>
                    <w:rPr>
                      <w:rFonts w:hAnsi="宋体"/>
                      <w:bCs/>
                      <w:sz w:val="21"/>
                      <w:szCs w:val="21"/>
                    </w:rPr>
                    <w:t>电</w:t>
                  </w:r>
                </w:p>
              </w:tc>
              <w:tc>
                <w:tcPr>
                  <w:tcW w:w="903" w:type="pct"/>
                  <w:tcBorders>
                    <w:tl2br w:val="nil"/>
                    <w:tr2bl w:val="nil"/>
                  </w:tcBorders>
                  <w:noWrap w:val="0"/>
                  <w:vAlign w:val="center"/>
                </w:tcPr>
                <w:p w14:paraId="61EE5249">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eastAsia="宋体"/>
                      <w:bCs/>
                      <w:sz w:val="21"/>
                      <w:szCs w:val="21"/>
                      <w:lang w:val="en-US" w:eastAsia="zh-CN"/>
                    </w:rPr>
                  </w:pPr>
                  <w:r>
                    <w:rPr>
                      <w:rFonts w:hint="eastAsia" w:hAnsi="宋体"/>
                      <w:bCs/>
                      <w:sz w:val="21"/>
                      <w:szCs w:val="21"/>
                    </w:rPr>
                    <w:t>万</w:t>
                  </w:r>
                  <w:r>
                    <w:rPr>
                      <w:rFonts w:hint="eastAsia" w:hAnsi="宋体"/>
                      <w:bCs/>
                      <w:sz w:val="21"/>
                      <w:szCs w:val="21"/>
                      <w:lang w:eastAsia="zh-CN"/>
                    </w:rPr>
                    <w:t>kW</w:t>
                  </w:r>
                  <w:r>
                    <w:rPr>
                      <w:rFonts w:hint="eastAsia" w:hAnsi="宋体"/>
                      <w:bCs/>
                      <w:sz w:val="21"/>
                      <w:szCs w:val="21"/>
                    </w:rPr>
                    <w:t>.h</w:t>
                  </w:r>
                </w:p>
              </w:tc>
              <w:tc>
                <w:tcPr>
                  <w:tcW w:w="830" w:type="pct"/>
                  <w:tcBorders>
                    <w:tl2br w:val="nil"/>
                    <w:tr2bl w:val="nil"/>
                  </w:tcBorders>
                  <w:noWrap w:val="0"/>
                  <w:vAlign w:val="center"/>
                </w:tcPr>
                <w:p w14:paraId="605C8599">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eastAsia="宋体"/>
                      <w:bCs/>
                      <w:sz w:val="21"/>
                      <w:szCs w:val="21"/>
                      <w:lang w:val="en-US" w:eastAsia="zh-CN"/>
                    </w:rPr>
                  </w:pPr>
                  <w:r>
                    <w:rPr>
                      <w:rFonts w:hint="eastAsia" w:hAnsi="宋体"/>
                      <w:bCs/>
                      <w:sz w:val="21"/>
                      <w:szCs w:val="21"/>
                    </w:rPr>
                    <w:t>90.6</w:t>
                  </w:r>
                </w:p>
              </w:tc>
              <w:tc>
                <w:tcPr>
                  <w:tcW w:w="1525" w:type="pct"/>
                  <w:tcBorders>
                    <w:tl2br w:val="nil"/>
                    <w:tr2bl w:val="nil"/>
                  </w:tcBorders>
                  <w:noWrap w:val="0"/>
                  <w:vAlign w:val="center"/>
                </w:tcPr>
                <w:p w14:paraId="00A958FC">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eastAsia="宋体"/>
                      <w:bCs/>
                      <w:sz w:val="21"/>
                      <w:szCs w:val="21"/>
                      <w:lang w:val="en-US" w:eastAsia="zh-CN"/>
                    </w:rPr>
                  </w:pPr>
                  <w:r>
                    <w:rPr>
                      <w:rFonts w:hint="eastAsia" w:hAnsi="宋体"/>
                      <w:bCs/>
                      <w:sz w:val="21"/>
                      <w:szCs w:val="21"/>
                      <w:lang w:val="en-US" w:eastAsia="zh-CN"/>
                    </w:rPr>
                    <w:t>农村</w:t>
                  </w:r>
                  <w:r>
                    <w:rPr>
                      <w:rFonts w:hAnsi="宋体"/>
                      <w:bCs/>
                      <w:sz w:val="21"/>
                      <w:szCs w:val="21"/>
                    </w:rPr>
                    <w:t>供电</w:t>
                  </w:r>
                  <w:r>
                    <w:rPr>
                      <w:rFonts w:hint="eastAsia" w:hAnsi="宋体"/>
                      <w:bCs/>
                      <w:sz w:val="21"/>
                      <w:szCs w:val="21"/>
                      <w:lang w:val="en-US" w:eastAsia="zh-CN"/>
                    </w:rPr>
                    <w:t>系统</w:t>
                  </w:r>
                </w:p>
              </w:tc>
            </w:tr>
          </w:tbl>
          <w:p w14:paraId="3DB673AF">
            <w:pPr>
              <w:pStyle w:val="4"/>
              <w:keepNext w:val="0"/>
              <w:keepLines w:val="0"/>
              <w:pageBreakBefore w:val="0"/>
              <w:widowControl w:val="0"/>
              <w:kinsoku/>
              <w:wordWrap/>
              <w:overflowPunct/>
              <w:topLinePunct w:val="0"/>
              <w:autoSpaceDE/>
              <w:autoSpaceDN/>
              <w:bidi w:val="0"/>
              <w:rPr>
                <w:rFonts w:hint="default"/>
                <w:lang w:val="en-US" w:eastAsia="zh-CN"/>
              </w:rPr>
            </w:pPr>
            <w:r>
              <w:rPr>
                <w:rFonts w:hint="eastAsia"/>
                <w:lang w:val="en-US" w:eastAsia="zh-CN"/>
              </w:rPr>
              <w:t>4、矿区概况</w:t>
            </w:r>
          </w:p>
          <w:p w14:paraId="6F31326F">
            <w:pPr>
              <w:pStyle w:val="4"/>
              <w:keepNext w:val="0"/>
              <w:keepLines w:val="0"/>
              <w:pageBreakBefore w:val="0"/>
              <w:widowControl w:val="0"/>
              <w:kinsoku/>
              <w:wordWrap/>
              <w:overflowPunct/>
              <w:topLinePunct w:val="0"/>
              <w:autoSpaceDE/>
              <w:autoSpaceDN/>
              <w:bidi w:val="0"/>
              <w:rPr>
                <w:rFonts w:hint="eastAsia"/>
                <w:lang w:val="en-US" w:eastAsia="zh-CN"/>
              </w:rPr>
            </w:pPr>
            <w:r>
              <w:rPr>
                <w:rFonts w:hint="eastAsia"/>
                <w:lang w:val="en-US" w:eastAsia="zh-CN"/>
              </w:rPr>
              <w:t>4.1矿区地理特征</w:t>
            </w:r>
          </w:p>
          <w:p w14:paraId="7A3F19D1">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bookmarkStart w:id="3" w:name="_Toc5194"/>
            <w:bookmarkStart w:id="4" w:name="_Toc17650"/>
            <w:bookmarkStart w:id="5" w:name="_Toc15359"/>
            <w:bookmarkStart w:id="6" w:name="_Toc23006"/>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一</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地层</w:t>
            </w:r>
          </w:p>
          <w:p w14:paraId="69A561D8">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矿业权范围内出露地层较简单，主要为三叠系中统砂岩</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T2b</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及第四系全新统冲积、洪积砂砾石</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Q4aP</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及第四系全新统残坡积物</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Q4l-</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，现简述如下</w:t>
            </w:r>
            <w:r>
              <w:rPr>
                <w:rFonts w:hint="eastAsia" w:ascii="Times New Roman" w:hAnsi="Times New Roman" w:eastAsia="宋体" w:cs="Times New Roman"/>
                <w:b w:val="0"/>
                <w:bCs w:val="0"/>
                <w:color w:val="auto"/>
                <w:sz w:val="24"/>
                <w:szCs w:val="24"/>
                <w:highlight w:val="none"/>
                <w:lang w:eastAsia="zh-CN"/>
              </w:rPr>
              <w:t>：</w:t>
            </w:r>
          </w:p>
          <w:bookmarkEnd w:id="3"/>
          <w:bookmarkEnd w:id="4"/>
          <w:bookmarkEnd w:id="5"/>
          <w:bookmarkEnd w:id="6"/>
          <w:p w14:paraId="1FAFBCA5">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三叠系中统砂岩（</w:t>
            </w:r>
            <w:r>
              <w:rPr>
                <w:rFonts w:hint="default" w:ascii="Times New Roman" w:hAnsi="Times New Roman" w:eastAsia="宋体" w:cs="Times New Roman"/>
                <w:b w:val="0"/>
                <w:bCs w:val="0"/>
                <w:color w:val="auto"/>
                <w:sz w:val="24"/>
                <w:szCs w:val="24"/>
                <w:highlight w:val="none"/>
                <w:lang w:val="en-US" w:eastAsia="zh-CN"/>
              </w:rPr>
              <w:t>T2b</w:t>
            </w:r>
            <w:r>
              <w:rPr>
                <w:rFonts w:hint="eastAsia" w:ascii="Times New Roman" w:hAnsi="Times New Roman" w:eastAsia="宋体" w:cs="Times New Roman"/>
                <w:b w:val="0"/>
                <w:bCs w:val="0"/>
                <w:color w:val="auto"/>
                <w:sz w:val="24"/>
                <w:szCs w:val="24"/>
                <w:highlight w:val="none"/>
                <w:lang w:val="en-US" w:eastAsia="zh-CN"/>
              </w:rPr>
              <w:t>）：该层整个矿区内全区分布（图</w:t>
            </w:r>
            <w:r>
              <w:rPr>
                <w:rFonts w:hint="default" w:ascii="Times New Roman" w:hAnsi="Times New Roman" w:eastAsia="宋体" w:cs="Times New Roman"/>
                <w:b w:val="0"/>
                <w:bCs w:val="0"/>
                <w:color w:val="auto"/>
                <w:sz w:val="24"/>
                <w:szCs w:val="24"/>
                <w:highlight w:val="none"/>
                <w:lang w:val="en-US" w:eastAsia="zh-CN"/>
              </w:rPr>
              <w:t>2-1</w:t>
            </w:r>
            <w:r>
              <w:rPr>
                <w:rFonts w:hint="eastAsia" w:ascii="Times New Roman" w:hAnsi="Times New Roman" w:eastAsia="宋体" w:cs="Times New Roman"/>
                <w:b w:val="0"/>
                <w:bCs w:val="0"/>
                <w:color w:val="auto"/>
                <w:sz w:val="24"/>
                <w:szCs w:val="24"/>
                <w:highlight w:val="none"/>
                <w:lang w:val="en-US" w:eastAsia="zh-CN"/>
              </w:rPr>
              <w:t>），露头较好，主要岩性为灰绿色中细粒长石石英砂岩，地层呈单斜层状构造，产状</w:t>
            </w:r>
            <w:r>
              <w:rPr>
                <w:rFonts w:hint="default" w:ascii="Times New Roman" w:hAnsi="Times New Roman" w:eastAsia="宋体" w:cs="Times New Roman"/>
                <w:b w:val="0"/>
                <w:bCs w:val="0"/>
                <w:color w:val="auto"/>
                <w:sz w:val="24"/>
                <w:szCs w:val="24"/>
                <w:highlight w:val="none"/>
                <w:lang w:val="en-US" w:eastAsia="zh-CN"/>
              </w:rPr>
              <w:t>275</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305°</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38</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45°</w:t>
            </w:r>
            <w:r>
              <w:rPr>
                <w:rFonts w:hint="eastAsia" w:ascii="Times New Roman" w:hAnsi="Times New Roman" w:eastAsia="宋体" w:cs="Times New Roman"/>
                <w:b w:val="0"/>
                <w:bCs w:val="0"/>
                <w:color w:val="auto"/>
                <w:sz w:val="24"/>
                <w:szCs w:val="24"/>
                <w:highlight w:val="none"/>
                <w:lang w:val="en-US" w:eastAsia="zh-CN"/>
              </w:rPr>
              <w:t>，地层产状变化较稳定。砂岩呈中</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细粒砂状结构，中厚层状构造，矿物主要组分为长石、石英和岩屑，长石占比约</w:t>
            </w:r>
            <w:r>
              <w:rPr>
                <w:rFonts w:hint="default"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lang w:val="en-US" w:eastAsia="zh-CN"/>
              </w:rPr>
              <w:t>、石英占比约</w:t>
            </w:r>
            <w:r>
              <w:rPr>
                <w:rFonts w:hint="default" w:ascii="Times New Roman" w:hAnsi="Times New Roman" w:eastAsia="宋体" w:cs="Times New Roman"/>
                <w:b w:val="0"/>
                <w:bCs w:val="0"/>
                <w:color w:val="auto"/>
                <w:sz w:val="24"/>
                <w:szCs w:val="24"/>
                <w:highlight w:val="none"/>
                <w:lang w:val="en-US" w:eastAsia="zh-CN"/>
              </w:rPr>
              <w:t>85%</w:t>
            </w:r>
            <w:r>
              <w:rPr>
                <w:rFonts w:hint="eastAsia" w:ascii="Times New Roman" w:hAnsi="Times New Roman" w:eastAsia="宋体" w:cs="Times New Roman"/>
                <w:b w:val="0"/>
                <w:bCs w:val="0"/>
                <w:color w:val="auto"/>
                <w:sz w:val="24"/>
                <w:szCs w:val="24"/>
                <w:highlight w:val="none"/>
                <w:lang w:val="en-US" w:eastAsia="zh-CN"/>
              </w:rPr>
              <w:t>、岩屑及其他碎屑占比约</w:t>
            </w:r>
            <w:r>
              <w:rPr>
                <w:rFonts w:hint="default" w:ascii="Times New Roman" w:hAnsi="Times New Roman" w:eastAsia="宋体" w:cs="Times New Roman"/>
                <w:b w:val="0"/>
                <w:bCs w:val="0"/>
                <w:color w:val="auto"/>
                <w:sz w:val="24"/>
                <w:szCs w:val="24"/>
                <w:highlight w:val="none"/>
                <w:lang w:val="en-US" w:eastAsia="zh-CN"/>
              </w:rPr>
              <w:t>5%</w:t>
            </w:r>
            <w:r>
              <w:rPr>
                <w:rFonts w:hint="eastAsia" w:ascii="Times New Roman" w:hAnsi="Times New Roman" w:eastAsia="宋体" w:cs="Times New Roman"/>
                <w:b w:val="0"/>
                <w:bCs w:val="0"/>
                <w:color w:val="auto"/>
                <w:sz w:val="24"/>
                <w:szCs w:val="24"/>
                <w:highlight w:val="none"/>
                <w:lang w:val="en-US" w:eastAsia="zh-CN"/>
              </w:rPr>
              <w:t>。为含矿层，延伸稳定，厚度大于</w:t>
            </w:r>
            <w:r>
              <w:rPr>
                <w:rFonts w:hint="default" w:ascii="Times New Roman" w:hAnsi="Times New Roman" w:eastAsia="宋体" w:cs="Times New Roman"/>
                <w:b w:val="0"/>
                <w:bCs w:val="0"/>
                <w:color w:val="auto"/>
                <w:sz w:val="24"/>
                <w:szCs w:val="24"/>
                <w:highlight w:val="none"/>
                <w:lang w:val="en-US" w:eastAsia="zh-CN"/>
              </w:rPr>
              <w:t>200m</w:t>
            </w:r>
            <w:r>
              <w:rPr>
                <w:rFonts w:hint="eastAsia" w:ascii="Times New Roman" w:hAnsi="Times New Roman" w:eastAsia="宋体" w:cs="Times New Roman"/>
                <w:b w:val="0"/>
                <w:bCs w:val="0"/>
                <w:color w:val="auto"/>
                <w:sz w:val="24"/>
                <w:szCs w:val="24"/>
                <w:highlight w:val="none"/>
                <w:lang w:val="en-US" w:eastAsia="zh-CN"/>
              </w:rPr>
              <w:t>。受风化作用，岩石表层较为破碎，裂隙发育，表面被第四系残坡积物及植被覆盖，盖层平均厚度约</w:t>
            </w:r>
            <w:r>
              <w:rPr>
                <w:rFonts w:hint="default" w:ascii="Times New Roman" w:hAnsi="Times New Roman" w:eastAsia="宋体" w:cs="Times New Roman"/>
                <w:b w:val="0"/>
                <w:bCs w:val="0"/>
                <w:color w:val="auto"/>
                <w:sz w:val="24"/>
                <w:szCs w:val="24"/>
                <w:highlight w:val="none"/>
                <w:lang w:val="en-US" w:eastAsia="zh-CN"/>
              </w:rPr>
              <w:t>5m</w:t>
            </w:r>
            <w:r>
              <w:rPr>
                <w:rFonts w:hint="eastAsia" w:ascii="Times New Roman" w:hAnsi="Times New Roman" w:eastAsia="宋体" w:cs="Times New Roman"/>
                <w:b w:val="0"/>
                <w:bCs w:val="0"/>
                <w:color w:val="auto"/>
                <w:sz w:val="24"/>
                <w:szCs w:val="24"/>
                <w:highlight w:val="none"/>
                <w:lang w:val="en-US" w:eastAsia="zh-CN"/>
              </w:rPr>
              <w:t>。</w:t>
            </w:r>
          </w:p>
          <w:p w14:paraId="2204E639">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第四系全新统冲积、</w:t>
            </w:r>
            <w:r>
              <w:rPr>
                <w:rFonts w:hint="eastAsia" w:cs="Times New Roman"/>
                <w:b w:val="0"/>
                <w:bCs w:val="0"/>
                <w:color w:val="auto"/>
                <w:sz w:val="24"/>
                <w:szCs w:val="24"/>
                <w:highlight w:val="none"/>
                <w:lang w:val="en-US" w:eastAsia="zh-CN"/>
              </w:rPr>
              <w:t>洪积沙砾</w:t>
            </w:r>
            <w:r>
              <w:rPr>
                <w:rFonts w:hint="eastAsia" w:ascii="Times New Roman" w:hAnsi="Times New Roman" w:eastAsia="宋体" w:cs="Times New Roman"/>
                <w:b w:val="0"/>
                <w:bCs w:val="0"/>
                <w:color w:val="auto"/>
                <w:sz w:val="24"/>
                <w:szCs w:val="24"/>
                <w:highlight w:val="none"/>
                <w:lang w:val="en-US" w:eastAsia="zh-CN"/>
              </w:rPr>
              <w:t>石（</w:t>
            </w:r>
            <w:r>
              <w:rPr>
                <w:rFonts w:hint="default" w:ascii="Times New Roman" w:hAnsi="Times New Roman" w:eastAsia="宋体" w:cs="Times New Roman"/>
                <w:b w:val="0"/>
                <w:bCs w:val="0"/>
                <w:color w:val="auto"/>
                <w:sz w:val="24"/>
                <w:szCs w:val="24"/>
                <w:highlight w:val="none"/>
                <w:lang w:val="en-US" w:eastAsia="zh-CN"/>
              </w:rPr>
              <w:t>Q4al-pl</w:t>
            </w:r>
            <w:r>
              <w:rPr>
                <w:rFonts w:hint="eastAsia" w:ascii="Times New Roman" w:hAnsi="Times New Roman" w:eastAsia="宋体" w:cs="Times New Roman"/>
                <w:b w:val="0"/>
                <w:bCs w:val="0"/>
                <w:color w:val="auto"/>
                <w:sz w:val="24"/>
                <w:szCs w:val="24"/>
                <w:highlight w:val="none"/>
                <w:lang w:val="en-US" w:eastAsia="zh-CN"/>
              </w:rPr>
              <w:t>）：该层仅分布于矿区内的冲沟及沟谷两侧，厚</w:t>
            </w:r>
            <w:r>
              <w:rPr>
                <w:rFonts w:hint="default" w:ascii="Times New Roman" w:hAnsi="Times New Roman" w:eastAsia="宋体" w:cs="Times New Roman"/>
                <w:b w:val="0"/>
                <w:bCs w:val="0"/>
                <w:color w:val="auto"/>
                <w:sz w:val="24"/>
                <w:szCs w:val="24"/>
                <w:highlight w:val="none"/>
                <w:lang w:val="en-US" w:eastAsia="zh-CN"/>
              </w:rPr>
              <w:t>0.5</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5m</w:t>
            </w:r>
            <w:r>
              <w:rPr>
                <w:rFonts w:hint="eastAsia" w:ascii="Times New Roman" w:hAnsi="Times New Roman" w:eastAsia="宋体" w:cs="Times New Roman"/>
                <w:b w:val="0"/>
                <w:bCs w:val="0"/>
                <w:color w:val="auto"/>
                <w:sz w:val="24"/>
                <w:szCs w:val="24"/>
                <w:highlight w:val="none"/>
                <w:lang w:val="en-US" w:eastAsia="zh-CN"/>
              </w:rPr>
              <w:t>；主要由砂卵石、砂砾碎石及大量粉土组成，岩性上部为黄土状粉土，稍湿—湿，呈稍密状态，粉土中有机物含量较高，表层植被生长较为茂盛；下部为砂卵石、砂砾碎石，呈稍密—中密状态，碎石磨圆差，分选性差，粒径一般</w:t>
            </w:r>
            <w:r>
              <w:rPr>
                <w:rFonts w:hint="default" w:ascii="Times New Roman" w:hAnsi="Times New Roman" w:eastAsia="宋体"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15cm</w:t>
            </w:r>
            <w:r>
              <w:rPr>
                <w:rFonts w:hint="eastAsia" w:ascii="Times New Roman" w:hAnsi="Times New Roman" w:eastAsia="宋体" w:cs="Times New Roman"/>
                <w:b w:val="0"/>
                <w:bCs w:val="0"/>
                <w:color w:val="auto"/>
                <w:sz w:val="24"/>
                <w:szCs w:val="24"/>
                <w:highlight w:val="none"/>
                <w:lang w:val="en-US" w:eastAsia="zh-CN"/>
              </w:rPr>
              <w:t>。</w:t>
            </w:r>
          </w:p>
          <w:p w14:paraId="3EA8CEDF">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第四系全新统残坡积物（</w:t>
            </w:r>
            <w:r>
              <w:rPr>
                <w:rFonts w:hint="default" w:ascii="Times New Roman" w:hAnsi="Times New Roman" w:eastAsia="宋体" w:cs="Times New Roman"/>
                <w:b w:val="0"/>
                <w:bCs w:val="0"/>
                <w:color w:val="auto"/>
                <w:sz w:val="24"/>
                <w:szCs w:val="24"/>
                <w:highlight w:val="none"/>
                <w:lang w:val="en-US" w:eastAsia="zh-CN"/>
              </w:rPr>
              <w:t>Q4el-dl</w:t>
            </w:r>
            <w:r>
              <w:rPr>
                <w:rFonts w:hint="eastAsia" w:ascii="Times New Roman" w:hAnsi="Times New Roman" w:eastAsia="宋体" w:cs="Times New Roman"/>
                <w:b w:val="0"/>
                <w:bCs w:val="0"/>
                <w:color w:val="auto"/>
                <w:sz w:val="24"/>
                <w:szCs w:val="24"/>
                <w:highlight w:val="none"/>
                <w:lang w:val="en-US" w:eastAsia="zh-CN"/>
              </w:rPr>
              <w:t>）：该层全区分布，为矿区内表土层，覆盖于砂岩层之上，多为表土、腐殖土，结构松散、透水性强；土层厚度分布不均匀，山顶覆盖层较薄，山腰及山脚处覆盖层较厚，整体平均覆盖厚度约</w:t>
            </w:r>
            <w:r>
              <w:rPr>
                <w:rFonts w:hint="default" w:ascii="Times New Roman" w:hAnsi="Times New Roman" w:eastAsia="宋体" w:cs="Times New Roman"/>
                <w:b w:val="0"/>
                <w:bCs w:val="0"/>
                <w:color w:val="auto"/>
                <w:sz w:val="24"/>
                <w:szCs w:val="24"/>
                <w:highlight w:val="none"/>
                <w:lang w:val="en-US" w:eastAsia="zh-CN"/>
              </w:rPr>
              <w:t>5m</w:t>
            </w:r>
            <w:r>
              <w:rPr>
                <w:rFonts w:hint="eastAsia" w:ascii="Times New Roman" w:hAnsi="Times New Roman" w:eastAsia="宋体" w:cs="Times New Roman"/>
                <w:b w:val="0"/>
                <w:bCs w:val="0"/>
                <w:color w:val="auto"/>
                <w:sz w:val="24"/>
                <w:szCs w:val="24"/>
                <w:highlight w:val="none"/>
                <w:lang w:val="en-US" w:eastAsia="zh-CN"/>
              </w:rPr>
              <w:t>。有机质含量高，植被发育好，简测区内植被覆盖度可达</w:t>
            </w:r>
            <w:r>
              <w:rPr>
                <w:rFonts w:hint="default" w:ascii="Times New Roman" w:hAnsi="Times New Roman" w:eastAsia="宋体" w:cs="Times New Roman"/>
                <w:b w:val="0"/>
                <w:bCs w:val="0"/>
                <w:color w:val="auto"/>
                <w:sz w:val="24"/>
                <w:szCs w:val="24"/>
                <w:highlight w:val="none"/>
                <w:lang w:val="en-US" w:eastAsia="zh-CN"/>
              </w:rPr>
              <w:t>90%</w:t>
            </w:r>
            <w:r>
              <w:rPr>
                <w:rFonts w:hint="eastAsia" w:ascii="Times New Roman" w:hAnsi="Times New Roman" w:eastAsia="宋体" w:cs="Times New Roman"/>
                <w:b w:val="0"/>
                <w:bCs w:val="0"/>
                <w:color w:val="auto"/>
                <w:sz w:val="24"/>
                <w:szCs w:val="24"/>
                <w:highlight w:val="none"/>
                <w:lang w:val="en-US" w:eastAsia="zh-CN"/>
              </w:rPr>
              <w:t>。</w:t>
            </w:r>
          </w:p>
          <w:p w14:paraId="2A22E610">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（二）构造</w:t>
            </w:r>
          </w:p>
          <w:p w14:paraId="60856906">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矿区地处同德县南侧，属侵蚀构造中高山区，山顶、山坡多被残坡积物覆盖，植被发育；区内未发现断裂及褶皱构造，地层呈单斜层状构造，产状</w:t>
            </w:r>
            <w:r>
              <w:rPr>
                <w:rFonts w:hint="default" w:ascii="Times New Roman" w:hAnsi="Times New Roman" w:eastAsia="宋体" w:cs="Times New Roman"/>
                <w:b w:val="0"/>
                <w:bCs w:val="0"/>
                <w:color w:val="auto"/>
                <w:sz w:val="24"/>
                <w:szCs w:val="24"/>
                <w:highlight w:val="none"/>
                <w:lang w:val="en-US" w:eastAsia="zh-CN"/>
              </w:rPr>
              <w:t>275</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305°</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38</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45°</w:t>
            </w:r>
            <w:r>
              <w:rPr>
                <w:rFonts w:hint="eastAsia" w:ascii="Times New Roman" w:hAnsi="Times New Roman" w:eastAsia="宋体" w:cs="Times New Roman"/>
                <w:b w:val="0"/>
                <w:bCs w:val="0"/>
                <w:color w:val="auto"/>
                <w:sz w:val="24"/>
                <w:szCs w:val="24"/>
                <w:highlight w:val="none"/>
                <w:lang w:val="en-US" w:eastAsia="zh-CN"/>
              </w:rPr>
              <w:t>，地层产状变化较稳定。</w:t>
            </w:r>
          </w:p>
          <w:p w14:paraId="411E3587">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（三）岩浆岩</w:t>
            </w:r>
          </w:p>
          <w:p w14:paraId="6B184072">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矿区内未发现岩浆岩出露。</w:t>
            </w:r>
          </w:p>
          <w:p w14:paraId="2A0DDD81">
            <w:pPr>
              <w:pStyle w:val="4"/>
              <w:keepNext w:val="0"/>
              <w:keepLines w:val="0"/>
              <w:pageBreakBefore w:val="0"/>
              <w:widowControl w:val="0"/>
              <w:kinsoku/>
              <w:wordWrap/>
              <w:overflowPunct/>
              <w:topLinePunct w:val="0"/>
              <w:autoSpaceDE/>
              <w:autoSpaceDN/>
              <w:bidi w:val="0"/>
              <w:rPr>
                <w:rFonts w:hint="default"/>
                <w:lang w:val="en-US" w:eastAsia="zh-CN"/>
              </w:rPr>
            </w:pPr>
            <w:r>
              <w:rPr>
                <w:rFonts w:hint="default"/>
                <w:lang w:val="en-US" w:eastAsia="zh-CN"/>
              </w:rPr>
              <w:t>4.2矿体特征</w:t>
            </w:r>
          </w:p>
          <w:p w14:paraId="2FE4F8DC">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（一）矿体规模、形态及产状</w:t>
            </w:r>
          </w:p>
          <w:p w14:paraId="58DA236A">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矿体（编号</w:t>
            </w:r>
            <w:r>
              <w:rPr>
                <w:rFonts w:hint="default" w:ascii="Times New Roman" w:hAnsi="Times New Roman" w:eastAsia="宋体" w:cs="Times New Roman"/>
                <w:b w:val="0"/>
                <w:bCs w:val="0"/>
                <w:color w:val="0000FF"/>
                <w:sz w:val="24"/>
                <w:szCs w:val="24"/>
                <w:highlight w:val="none"/>
                <w:lang w:val="en-US" w:eastAsia="zh-CN"/>
              </w:rPr>
              <w:t>K1</w:t>
            </w:r>
            <w:r>
              <w:rPr>
                <w:rFonts w:hint="eastAsia" w:ascii="Times New Roman" w:hAnsi="Times New Roman" w:eastAsia="宋体" w:cs="Times New Roman"/>
                <w:b w:val="0"/>
                <w:bCs w:val="0"/>
                <w:color w:val="0000FF"/>
                <w:sz w:val="24"/>
                <w:szCs w:val="24"/>
                <w:highlight w:val="none"/>
                <w:lang w:val="en-US" w:eastAsia="zh-CN"/>
              </w:rPr>
              <w:t>）赋存于三叠纪中统砂岩层中（</w:t>
            </w:r>
            <w:r>
              <w:rPr>
                <w:rFonts w:hint="default" w:ascii="Times New Roman" w:hAnsi="Times New Roman" w:eastAsia="宋体" w:cs="Times New Roman"/>
                <w:b w:val="0"/>
                <w:bCs w:val="0"/>
                <w:color w:val="0000FF"/>
                <w:sz w:val="24"/>
                <w:szCs w:val="24"/>
                <w:highlight w:val="none"/>
                <w:lang w:val="en-US" w:eastAsia="zh-CN"/>
              </w:rPr>
              <w:t>T2b</w:t>
            </w:r>
            <w:r>
              <w:rPr>
                <w:rFonts w:hint="eastAsia" w:ascii="Times New Roman" w:hAnsi="Times New Roman" w:eastAsia="宋体" w:cs="Times New Roman"/>
                <w:b w:val="0"/>
                <w:bCs w:val="0"/>
                <w:color w:val="0000FF"/>
                <w:sz w:val="24"/>
                <w:szCs w:val="24"/>
                <w:highlight w:val="none"/>
                <w:lang w:val="en-US" w:eastAsia="zh-CN"/>
              </w:rPr>
              <w:t>），呈灰色、灰绿色，矿石主要为长石石英砂岩，中厚层状，矿体产状与地层产状一致，呈单斜层状构造，产状</w:t>
            </w:r>
            <w:r>
              <w:rPr>
                <w:rFonts w:hint="default" w:ascii="Times New Roman" w:hAnsi="Times New Roman" w:eastAsia="宋体" w:cs="Times New Roman"/>
                <w:b w:val="0"/>
                <w:bCs w:val="0"/>
                <w:color w:val="0000FF"/>
                <w:sz w:val="24"/>
                <w:szCs w:val="24"/>
                <w:highlight w:val="none"/>
                <w:lang w:val="en-US" w:eastAsia="zh-CN"/>
              </w:rPr>
              <w:t>275</w:t>
            </w:r>
            <w:r>
              <w:rPr>
                <w:rFonts w:hint="eastAsia" w:ascii="Times New Roman" w:hAnsi="Times New Roman" w:eastAsia="宋体"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305°</w:t>
            </w:r>
            <w:r>
              <w:rPr>
                <w:rFonts w:hint="eastAsia" w:ascii="Times New Roman" w:hAnsi="Times New Roman" w:eastAsia="宋体"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38</w:t>
            </w:r>
            <w:r>
              <w:rPr>
                <w:rFonts w:hint="eastAsia" w:ascii="Times New Roman" w:hAnsi="Times New Roman" w:eastAsia="宋体"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45°</w:t>
            </w:r>
            <w:r>
              <w:rPr>
                <w:rFonts w:hint="eastAsia" w:ascii="Times New Roman" w:hAnsi="Times New Roman" w:eastAsia="宋体" w:cs="Times New Roman"/>
                <w:b w:val="0"/>
                <w:bCs w:val="0"/>
                <w:color w:val="0000FF"/>
                <w:sz w:val="24"/>
                <w:szCs w:val="24"/>
                <w:highlight w:val="none"/>
                <w:lang w:val="en-US" w:eastAsia="zh-CN"/>
              </w:rPr>
              <w:t>，产状变化较稳定，矿体出露于矿区东南侧、西南侧山体。矿体平面形态呈多边形状，东</w:t>
            </w:r>
            <w:r>
              <w:rPr>
                <w:rFonts w:hint="default" w:ascii="Times New Roman" w:hAnsi="Times New Roman" w:eastAsia="宋体" w:cs="Times New Roman"/>
                <w:b w:val="0"/>
                <w:bCs w:val="0"/>
                <w:color w:val="0000FF"/>
                <w:sz w:val="24"/>
                <w:szCs w:val="24"/>
                <w:highlight w:val="none"/>
                <w:lang w:val="en-US" w:eastAsia="zh-CN"/>
              </w:rPr>
              <w:t>-</w:t>
            </w:r>
            <w:r>
              <w:rPr>
                <w:rFonts w:hint="eastAsia" w:ascii="Times New Roman" w:hAnsi="Times New Roman" w:eastAsia="宋体" w:cs="Times New Roman"/>
                <w:b w:val="0"/>
                <w:bCs w:val="0"/>
                <w:color w:val="0000FF"/>
                <w:sz w:val="24"/>
                <w:szCs w:val="24"/>
                <w:highlight w:val="none"/>
                <w:lang w:val="en-US" w:eastAsia="zh-CN"/>
              </w:rPr>
              <w:t>西长约</w:t>
            </w:r>
            <w:r>
              <w:rPr>
                <w:rFonts w:hint="default" w:ascii="Times New Roman" w:hAnsi="Times New Roman" w:eastAsia="宋体" w:cs="Times New Roman"/>
                <w:b w:val="0"/>
                <w:bCs w:val="0"/>
                <w:color w:val="0000FF"/>
                <w:sz w:val="24"/>
                <w:szCs w:val="24"/>
                <w:highlight w:val="none"/>
                <w:lang w:val="en-US" w:eastAsia="zh-CN"/>
              </w:rPr>
              <w:t>624m</w:t>
            </w:r>
            <w:r>
              <w:rPr>
                <w:rFonts w:hint="eastAsia" w:ascii="Times New Roman" w:hAnsi="Times New Roman" w:eastAsia="宋体" w:cs="Times New Roman"/>
                <w:b w:val="0"/>
                <w:bCs w:val="0"/>
                <w:color w:val="0000FF"/>
                <w:sz w:val="24"/>
                <w:szCs w:val="24"/>
                <w:highlight w:val="none"/>
                <w:lang w:val="en-US" w:eastAsia="zh-CN"/>
              </w:rPr>
              <w:t>，南</w:t>
            </w:r>
            <w:r>
              <w:rPr>
                <w:rFonts w:hint="default" w:ascii="Times New Roman" w:hAnsi="Times New Roman" w:eastAsia="宋体" w:cs="Times New Roman"/>
                <w:b w:val="0"/>
                <w:bCs w:val="0"/>
                <w:color w:val="0000FF"/>
                <w:sz w:val="24"/>
                <w:szCs w:val="24"/>
                <w:highlight w:val="none"/>
                <w:lang w:val="en-US" w:eastAsia="zh-CN"/>
              </w:rPr>
              <w:t>-</w:t>
            </w:r>
            <w:r>
              <w:rPr>
                <w:rFonts w:hint="eastAsia" w:ascii="Times New Roman" w:hAnsi="Times New Roman" w:eastAsia="宋体" w:cs="Times New Roman"/>
                <w:b w:val="0"/>
                <w:bCs w:val="0"/>
                <w:color w:val="0000FF"/>
                <w:sz w:val="24"/>
                <w:szCs w:val="24"/>
                <w:highlight w:val="none"/>
                <w:lang w:val="en-US" w:eastAsia="zh-CN"/>
              </w:rPr>
              <w:t>北宽约</w:t>
            </w:r>
            <w:r>
              <w:rPr>
                <w:rFonts w:hint="default" w:ascii="Times New Roman" w:hAnsi="Times New Roman" w:eastAsia="宋体" w:cs="Times New Roman"/>
                <w:b w:val="0"/>
                <w:bCs w:val="0"/>
                <w:color w:val="0000FF"/>
                <w:sz w:val="24"/>
                <w:szCs w:val="24"/>
                <w:highlight w:val="none"/>
                <w:lang w:val="en-US" w:eastAsia="zh-CN"/>
              </w:rPr>
              <w:t>545m</w:t>
            </w:r>
            <w:r>
              <w:rPr>
                <w:rFonts w:hint="eastAsia" w:ascii="Times New Roman" w:hAnsi="Times New Roman" w:eastAsia="宋体" w:cs="Times New Roman"/>
                <w:b w:val="0"/>
                <w:bCs w:val="0"/>
                <w:color w:val="0000FF"/>
                <w:sz w:val="24"/>
                <w:szCs w:val="24"/>
                <w:highlight w:val="none"/>
                <w:lang w:val="en-US" w:eastAsia="zh-CN"/>
              </w:rPr>
              <w:t>，出露标高</w:t>
            </w:r>
            <w:r>
              <w:rPr>
                <w:rFonts w:hint="default" w:ascii="Times New Roman" w:hAnsi="Times New Roman" w:eastAsia="宋体" w:cs="Times New Roman"/>
                <w:b w:val="0"/>
                <w:bCs w:val="0"/>
                <w:color w:val="0000FF"/>
                <w:sz w:val="24"/>
                <w:szCs w:val="24"/>
                <w:highlight w:val="none"/>
                <w:lang w:val="en-US" w:eastAsia="zh-CN"/>
              </w:rPr>
              <w:t>+3920</w:t>
            </w:r>
            <w:r>
              <w:rPr>
                <w:rFonts w:hint="eastAsia" w:ascii="Times New Roman" w:hAnsi="Times New Roman" w:eastAsia="宋体"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+3975m</w:t>
            </w:r>
            <w:r>
              <w:rPr>
                <w:rFonts w:hint="eastAsia" w:ascii="Times New Roman" w:hAnsi="Times New Roman" w:eastAsia="宋体" w:cs="Times New Roman"/>
                <w:b w:val="0"/>
                <w:bCs w:val="0"/>
                <w:color w:val="0000FF"/>
                <w:sz w:val="24"/>
                <w:szCs w:val="24"/>
                <w:highlight w:val="none"/>
                <w:lang w:val="en-US" w:eastAsia="zh-CN"/>
              </w:rPr>
              <w:t>，出露厚度＞</w:t>
            </w:r>
            <w:r>
              <w:rPr>
                <w:rFonts w:hint="default" w:ascii="Times New Roman" w:hAnsi="Times New Roman" w:eastAsia="宋体" w:cs="Times New Roman"/>
                <w:b w:val="0"/>
                <w:bCs w:val="0"/>
                <w:color w:val="0000FF"/>
                <w:sz w:val="24"/>
                <w:szCs w:val="24"/>
                <w:highlight w:val="none"/>
                <w:lang w:val="en-US" w:eastAsia="zh-CN"/>
              </w:rPr>
              <w:t>50m</w:t>
            </w:r>
            <w:r>
              <w:rPr>
                <w:rFonts w:hint="eastAsia" w:ascii="Times New Roman" w:hAnsi="Times New Roman" w:eastAsia="宋体" w:cs="Times New Roman"/>
                <w:b w:val="0"/>
                <w:bCs w:val="0"/>
                <w:color w:val="0000FF"/>
                <w:sz w:val="24"/>
                <w:szCs w:val="24"/>
                <w:highlight w:val="none"/>
                <w:lang w:val="en-US" w:eastAsia="zh-CN"/>
              </w:rPr>
              <w:t>。矿体由北东</w:t>
            </w:r>
            <w:r>
              <w:rPr>
                <w:rFonts w:hint="default" w:ascii="Times New Roman" w:hAnsi="Times New Roman" w:eastAsia="宋体" w:cs="Times New Roman"/>
                <w:b w:val="0"/>
                <w:bCs w:val="0"/>
                <w:color w:val="0000FF"/>
                <w:sz w:val="24"/>
                <w:szCs w:val="24"/>
                <w:highlight w:val="none"/>
                <w:lang w:val="en-US" w:eastAsia="zh-CN"/>
              </w:rPr>
              <w:t>-</w:t>
            </w:r>
            <w:r>
              <w:rPr>
                <w:rFonts w:hint="eastAsia" w:ascii="Times New Roman" w:hAnsi="Times New Roman" w:eastAsia="宋体" w:cs="Times New Roman"/>
                <w:b w:val="0"/>
                <w:bCs w:val="0"/>
                <w:color w:val="0000FF"/>
                <w:sz w:val="24"/>
                <w:szCs w:val="24"/>
                <w:highlight w:val="none"/>
                <w:lang w:val="en-US" w:eastAsia="zh-CN"/>
              </w:rPr>
              <w:t xml:space="preserve">南西向延伸出矿区，厚度大于 </w:t>
            </w:r>
            <w:r>
              <w:rPr>
                <w:rFonts w:hint="default" w:ascii="Times New Roman" w:hAnsi="Times New Roman" w:eastAsia="宋体" w:cs="Times New Roman"/>
                <w:b w:val="0"/>
                <w:bCs w:val="0"/>
                <w:color w:val="0000FF"/>
                <w:sz w:val="24"/>
                <w:szCs w:val="24"/>
                <w:highlight w:val="none"/>
                <w:lang w:val="en-US" w:eastAsia="zh-CN"/>
              </w:rPr>
              <w:t>200m</w:t>
            </w:r>
            <w:r>
              <w:rPr>
                <w:rFonts w:hint="eastAsia" w:ascii="Times New Roman" w:hAnsi="Times New Roman" w:eastAsia="宋体" w:cs="Times New Roman"/>
                <w:b w:val="0"/>
                <w:bCs w:val="0"/>
                <w:color w:val="0000FF"/>
                <w:sz w:val="24"/>
                <w:szCs w:val="24"/>
                <w:highlight w:val="none"/>
                <w:lang w:val="en-US" w:eastAsia="zh-CN"/>
              </w:rPr>
              <w:t>，厚度变化较稳定。受风化作用影响，矿体表层较为破碎，裂隙发育；矿体表层覆盖有粉土、腐殖质土等第四系残坡积物，植被生长发育较好，简测区内植被覆盖率可达</w:t>
            </w:r>
            <w:r>
              <w:rPr>
                <w:rFonts w:hint="default" w:ascii="Times New Roman" w:hAnsi="Times New Roman" w:eastAsia="宋体" w:cs="Times New Roman"/>
                <w:b w:val="0"/>
                <w:bCs w:val="0"/>
                <w:color w:val="0000FF"/>
                <w:sz w:val="24"/>
                <w:szCs w:val="24"/>
                <w:highlight w:val="none"/>
                <w:lang w:val="en-US" w:eastAsia="zh-CN"/>
              </w:rPr>
              <w:t>70%</w:t>
            </w:r>
            <w:r>
              <w:rPr>
                <w:rFonts w:hint="eastAsia" w:ascii="Times New Roman" w:hAnsi="Times New Roman" w:eastAsia="宋体" w:cs="Times New Roman"/>
                <w:b w:val="0"/>
                <w:bCs w:val="0"/>
                <w:color w:val="0000FF"/>
                <w:sz w:val="24"/>
                <w:szCs w:val="24"/>
                <w:highlight w:val="none"/>
                <w:lang w:val="en-US" w:eastAsia="zh-CN"/>
              </w:rPr>
              <w:t>，残坡积物覆盖层平均厚度约</w:t>
            </w:r>
            <w:r>
              <w:rPr>
                <w:rFonts w:hint="default" w:ascii="Times New Roman" w:hAnsi="Times New Roman" w:eastAsia="宋体" w:cs="Times New Roman"/>
                <w:b w:val="0"/>
                <w:bCs w:val="0"/>
                <w:color w:val="0000FF"/>
                <w:sz w:val="24"/>
                <w:szCs w:val="24"/>
                <w:highlight w:val="none"/>
                <w:lang w:val="en-US" w:eastAsia="zh-CN"/>
              </w:rPr>
              <w:t>5m</w:t>
            </w:r>
            <w:r>
              <w:rPr>
                <w:rFonts w:hint="eastAsia" w:ascii="Times New Roman" w:hAnsi="Times New Roman" w:eastAsia="宋体" w:cs="Times New Roman"/>
                <w:b w:val="0"/>
                <w:bCs w:val="0"/>
                <w:color w:val="0000FF"/>
                <w:sz w:val="24"/>
                <w:szCs w:val="24"/>
                <w:highlight w:val="none"/>
                <w:lang w:val="en-US" w:eastAsia="zh-CN"/>
              </w:rPr>
              <w:t>。</w:t>
            </w:r>
          </w:p>
          <w:p w14:paraId="23DEC634">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（二）矿石质量</w:t>
            </w:r>
          </w:p>
          <w:p w14:paraId="61D46CD4">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经野外观察矿体为长石石英砂岩，呈灰色</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灰绿色，砂岩呈中</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细粒砂状结构，中厚层状构造，矿物主要组分为长石、石英和岩屑，长石占比约</w:t>
            </w:r>
            <w:r>
              <w:rPr>
                <w:rFonts w:hint="default"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lang w:val="en-US" w:eastAsia="zh-CN"/>
              </w:rPr>
              <w:t>、石英占比约</w:t>
            </w:r>
            <w:r>
              <w:rPr>
                <w:rFonts w:hint="default" w:ascii="Times New Roman" w:hAnsi="Times New Roman" w:eastAsia="宋体" w:cs="Times New Roman"/>
                <w:b w:val="0"/>
                <w:bCs w:val="0"/>
                <w:color w:val="auto"/>
                <w:sz w:val="24"/>
                <w:szCs w:val="24"/>
                <w:highlight w:val="none"/>
                <w:lang w:val="en-US" w:eastAsia="zh-CN"/>
              </w:rPr>
              <w:t>85%</w:t>
            </w:r>
            <w:r>
              <w:rPr>
                <w:rFonts w:hint="eastAsia" w:ascii="Times New Roman" w:hAnsi="Times New Roman" w:eastAsia="宋体" w:cs="Times New Roman"/>
                <w:b w:val="0"/>
                <w:bCs w:val="0"/>
                <w:color w:val="auto"/>
                <w:sz w:val="24"/>
                <w:szCs w:val="24"/>
                <w:highlight w:val="none"/>
                <w:lang w:val="en-US" w:eastAsia="zh-CN"/>
              </w:rPr>
              <w:t>、岩屑及其他碎屑占比约</w:t>
            </w:r>
            <w:r>
              <w:rPr>
                <w:rFonts w:hint="default" w:ascii="Times New Roman" w:hAnsi="Times New Roman" w:eastAsia="宋体" w:cs="Times New Roman"/>
                <w:b w:val="0"/>
                <w:bCs w:val="0"/>
                <w:color w:val="auto"/>
                <w:sz w:val="24"/>
                <w:szCs w:val="24"/>
                <w:highlight w:val="none"/>
                <w:lang w:val="en-US" w:eastAsia="zh-CN"/>
              </w:rPr>
              <w:t>5%</w:t>
            </w:r>
            <w:r>
              <w:rPr>
                <w:rFonts w:hint="eastAsia" w:ascii="Times New Roman" w:hAnsi="Times New Roman" w:eastAsia="宋体" w:cs="Times New Roman"/>
                <w:b w:val="0"/>
                <w:bCs w:val="0"/>
                <w:color w:val="auto"/>
                <w:sz w:val="24"/>
                <w:szCs w:val="24"/>
                <w:highlight w:val="none"/>
                <w:lang w:val="en-US" w:eastAsia="zh-CN"/>
              </w:rPr>
              <w:t>，矿体内节理裂隙较为发育。根据地质</w:t>
            </w:r>
            <w:r>
              <w:rPr>
                <w:rFonts w:hint="eastAsia" w:cs="Times New Roman"/>
                <w:b w:val="0"/>
                <w:bCs w:val="0"/>
                <w:color w:val="auto"/>
                <w:sz w:val="24"/>
                <w:szCs w:val="24"/>
                <w:highlight w:val="none"/>
                <w:lang w:val="en-US" w:eastAsia="zh-CN"/>
              </w:rPr>
              <w:t>检测报告</w:t>
            </w:r>
            <w:r>
              <w:rPr>
                <w:rFonts w:hint="eastAsia" w:ascii="Times New Roman" w:hAnsi="Times New Roman" w:eastAsia="宋体" w:cs="Times New Roman"/>
                <w:b w:val="0"/>
                <w:bCs w:val="0"/>
                <w:color w:val="auto"/>
                <w:sz w:val="24"/>
                <w:szCs w:val="24"/>
                <w:highlight w:val="none"/>
                <w:lang w:val="en-US" w:eastAsia="zh-CN"/>
              </w:rPr>
              <w:t>该区域内砂岩水饱和抗压强度为</w:t>
            </w:r>
            <w:r>
              <w:rPr>
                <w:rFonts w:hint="default" w:ascii="Times New Roman" w:hAnsi="Times New Roman" w:eastAsia="宋体" w:cs="Times New Roman"/>
                <w:b w:val="0"/>
                <w:bCs w:val="0"/>
                <w:color w:val="auto"/>
                <w:sz w:val="24"/>
                <w:szCs w:val="24"/>
                <w:highlight w:val="none"/>
                <w:lang w:val="en-US" w:eastAsia="zh-CN"/>
              </w:rPr>
              <w:t>62MPa</w:t>
            </w:r>
            <w:r>
              <w:rPr>
                <w:rFonts w:hint="eastAsia" w:ascii="Times New Roman" w:hAnsi="Times New Roman" w:eastAsia="宋体" w:cs="Times New Roman"/>
                <w:b w:val="0"/>
                <w:bCs w:val="0"/>
                <w:color w:val="auto"/>
                <w:sz w:val="24"/>
                <w:szCs w:val="24"/>
                <w:highlight w:val="none"/>
                <w:lang w:val="en-US" w:eastAsia="zh-CN"/>
              </w:rPr>
              <w:t>，压碎值为</w:t>
            </w:r>
            <w:r>
              <w:rPr>
                <w:rFonts w:hint="default" w:ascii="Times New Roman" w:hAnsi="Times New Roman" w:eastAsia="宋体" w:cs="Times New Roman"/>
                <w:b w:val="0"/>
                <w:bCs w:val="0"/>
                <w:color w:val="auto"/>
                <w:sz w:val="24"/>
                <w:szCs w:val="24"/>
                <w:highlight w:val="none"/>
                <w:lang w:val="en-US" w:eastAsia="zh-CN"/>
              </w:rPr>
              <w:t>16%</w:t>
            </w:r>
            <w:r>
              <w:rPr>
                <w:rFonts w:hint="eastAsia" w:ascii="Times New Roman" w:hAnsi="Times New Roman" w:eastAsia="宋体" w:cs="Times New Roman"/>
                <w:b w:val="0"/>
                <w:bCs w:val="0"/>
                <w:color w:val="auto"/>
                <w:sz w:val="24"/>
                <w:szCs w:val="24"/>
                <w:highlight w:val="none"/>
                <w:lang w:val="en-US" w:eastAsia="zh-CN"/>
              </w:rPr>
              <w:t>。满足公路水泥混凝土路面用碎石质量指标。根据样品检验结果及《矿产地质勘查规范建筑用石料类》（</w:t>
            </w:r>
            <w:r>
              <w:rPr>
                <w:rFonts w:hint="default" w:ascii="Times New Roman" w:hAnsi="Times New Roman" w:eastAsia="宋体" w:cs="Times New Roman"/>
                <w:b w:val="0"/>
                <w:bCs w:val="0"/>
                <w:color w:val="auto"/>
                <w:sz w:val="24"/>
                <w:szCs w:val="24"/>
                <w:highlight w:val="none"/>
                <w:lang w:val="en-US" w:eastAsia="zh-CN"/>
              </w:rPr>
              <w:t>DZ/T0341-2020</w:t>
            </w:r>
            <w:r>
              <w:rPr>
                <w:rFonts w:hint="eastAsia" w:ascii="Times New Roman" w:hAnsi="Times New Roman" w:eastAsia="宋体" w:cs="Times New Roman"/>
                <w:b w:val="0"/>
                <w:bCs w:val="0"/>
                <w:color w:val="auto"/>
                <w:sz w:val="24"/>
                <w:szCs w:val="24"/>
                <w:highlight w:val="none"/>
                <w:lang w:val="en-US" w:eastAsia="zh-CN"/>
              </w:rPr>
              <w:t>）中建筑用砂分类标准，矿区内建筑用砂岩矿为Ⅰ类砂。矿体内无夹石，主要含矿层为三叠系砂岩，砂岩未见底，所有伴生</w:t>
            </w:r>
            <w:r>
              <w:rPr>
                <w:rFonts w:hint="eastAsia" w:cs="Times New Roman"/>
                <w:b w:val="0"/>
                <w:bCs w:val="0"/>
                <w:color w:val="auto"/>
                <w:sz w:val="24"/>
                <w:szCs w:val="24"/>
                <w:highlight w:val="none"/>
                <w:lang w:val="en-US" w:eastAsia="zh-CN"/>
              </w:rPr>
              <w:t>组分</w:t>
            </w:r>
            <w:r>
              <w:rPr>
                <w:rFonts w:hint="eastAsia" w:ascii="Times New Roman" w:hAnsi="Times New Roman" w:eastAsia="宋体" w:cs="Times New Roman"/>
                <w:b w:val="0"/>
                <w:bCs w:val="0"/>
                <w:color w:val="auto"/>
                <w:sz w:val="24"/>
                <w:szCs w:val="24"/>
                <w:highlight w:val="none"/>
                <w:lang w:val="en-US" w:eastAsia="zh-CN"/>
              </w:rPr>
              <w:t>不影响石料质量。但由于地质</w:t>
            </w:r>
            <w:r>
              <w:rPr>
                <w:rFonts w:hint="eastAsia" w:cs="Times New Roman"/>
                <w:b w:val="0"/>
                <w:bCs w:val="0"/>
                <w:color w:val="auto"/>
                <w:sz w:val="24"/>
                <w:szCs w:val="24"/>
                <w:highlight w:val="none"/>
                <w:lang w:val="en-US" w:eastAsia="zh-CN"/>
              </w:rPr>
              <w:t>监测工作</w:t>
            </w:r>
            <w:r>
              <w:rPr>
                <w:rFonts w:hint="eastAsia" w:ascii="Times New Roman" w:hAnsi="Times New Roman" w:eastAsia="宋体" w:cs="Times New Roman"/>
                <w:b w:val="0"/>
                <w:bCs w:val="0"/>
                <w:color w:val="auto"/>
                <w:sz w:val="24"/>
                <w:szCs w:val="24"/>
                <w:highlight w:val="none"/>
                <w:lang w:val="en-US" w:eastAsia="zh-CN"/>
              </w:rPr>
              <w:t>程度较低，矿山企业后期进行开采时需考虑承担相应风险所造成的损失。</w:t>
            </w:r>
          </w:p>
          <w:p w14:paraId="4EB1DC70">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（三）砂岩类型</w:t>
            </w:r>
          </w:p>
          <w:p w14:paraId="52D5F32B">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砂岩自然类型</w:t>
            </w:r>
          </w:p>
          <w:p w14:paraId="7FAE028E">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根据矿石的颜色、结构、构造特征，矿区内矿石自然类型较单一，区内矿石的自然类型可分为灰绿色长石石英砂岩一种类型。</w:t>
            </w:r>
          </w:p>
          <w:p w14:paraId="51C33595">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砂岩工业类型</w:t>
            </w:r>
          </w:p>
          <w:p w14:paraId="4A1F2FC3">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依据矿区内砂岩的物质成分及含量，依照《矿产资源工业要求参考手册》（</w:t>
            </w:r>
            <w:r>
              <w:rPr>
                <w:rFonts w:hint="default" w:ascii="Times New Roman" w:hAnsi="Times New Roman" w:eastAsia="宋体" w:cs="Times New Roman"/>
                <w:b w:val="0"/>
                <w:bCs w:val="0"/>
                <w:color w:val="auto"/>
                <w:sz w:val="24"/>
                <w:szCs w:val="24"/>
                <w:highlight w:val="none"/>
                <w:lang w:val="en-US" w:eastAsia="zh-CN"/>
              </w:rPr>
              <w:t xml:space="preserve">2022 </w:t>
            </w:r>
            <w:r>
              <w:rPr>
                <w:rFonts w:hint="eastAsia" w:ascii="Times New Roman" w:hAnsi="Times New Roman" w:eastAsia="宋体" w:cs="Times New Roman"/>
                <w:b w:val="0"/>
                <w:bCs w:val="0"/>
                <w:color w:val="auto"/>
                <w:sz w:val="24"/>
                <w:szCs w:val="24"/>
                <w:highlight w:val="none"/>
                <w:lang w:val="en-US" w:eastAsia="zh-CN"/>
              </w:rPr>
              <w:t>年版）中“非金属矿产</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工业岩石砂、卵石、碎石（集料用）”原料质量要求，区内矿体的工业类型可划分为建筑石料用砂岩一种工业类型。</w:t>
            </w:r>
          </w:p>
          <w:p w14:paraId="75F60D02">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（四）覆盖情况</w:t>
            </w:r>
          </w:p>
          <w:p w14:paraId="340A9C57">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矿体上部覆盖层较厚，平均厚度约</w:t>
            </w:r>
            <w:r>
              <w:rPr>
                <w:rFonts w:hint="default" w:ascii="Times New Roman" w:hAnsi="Times New Roman" w:eastAsia="宋体" w:cs="Times New Roman"/>
                <w:b w:val="0"/>
                <w:bCs w:val="0"/>
                <w:color w:val="auto"/>
                <w:sz w:val="24"/>
                <w:szCs w:val="24"/>
                <w:highlight w:val="none"/>
                <w:lang w:val="en-US" w:eastAsia="zh-CN"/>
              </w:rPr>
              <w:t>5m</w:t>
            </w:r>
            <w:r>
              <w:rPr>
                <w:rFonts w:hint="eastAsia" w:ascii="Times New Roman" w:hAnsi="Times New Roman" w:eastAsia="宋体" w:cs="Times New Roman"/>
                <w:b w:val="0"/>
                <w:bCs w:val="0"/>
                <w:color w:val="auto"/>
                <w:sz w:val="24"/>
                <w:szCs w:val="24"/>
                <w:highlight w:val="none"/>
                <w:lang w:val="en-US" w:eastAsia="zh-CN"/>
              </w:rPr>
              <w:t>，整个矿区内全区分布，多为风化层、粉土、腐殖土等第四系残坡积物，含有草根、树枝</w:t>
            </w:r>
            <w:r>
              <w:rPr>
                <w:rFonts w:hint="eastAsia" w:cs="Times New Roman"/>
                <w:b w:val="0"/>
                <w:bCs w:val="0"/>
                <w:color w:val="auto"/>
                <w:sz w:val="24"/>
                <w:szCs w:val="24"/>
                <w:highlight w:val="none"/>
                <w:lang w:val="en-US" w:eastAsia="zh-CN"/>
              </w:rPr>
              <w:t>及其他</w:t>
            </w:r>
            <w:r>
              <w:rPr>
                <w:rFonts w:hint="eastAsia" w:ascii="Times New Roman" w:hAnsi="Times New Roman" w:eastAsia="宋体" w:cs="Times New Roman"/>
                <w:b w:val="0"/>
                <w:bCs w:val="0"/>
                <w:color w:val="auto"/>
                <w:sz w:val="24"/>
                <w:szCs w:val="24"/>
                <w:highlight w:val="none"/>
                <w:lang w:val="en-US" w:eastAsia="zh-CN"/>
              </w:rPr>
              <w:t>有机物，盖层表面植被发育较好，整个简测区内植被覆盖度较高。</w:t>
            </w:r>
          </w:p>
          <w:p w14:paraId="045AC5C1">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（五）矿床成因及远景</w:t>
            </w:r>
          </w:p>
          <w:p w14:paraId="71FD36A4">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矿床产于三叠纪中统砂岩层中，为沉积型矿床。经外围踏勘了解，区内砂岩延伸数公里，矿区规模还可进一步扩大，成矿远景较好。</w:t>
            </w:r>
          </w:p>
          <w:p w14:paraId="7F1FC2AD">
            <w:pPr>
              <w:pStyle w:val="4"/>
              <w:keepNext w:val="0"/>
              <w:keepLines w:val="0"/>
              <w:pageBreakBefore w:val="0"/>
              <w:widowControl w:val="0"/>
              <w:kinsoku/>
              <w:wordWrap/>
              <w:overflowPunct/>
              <w:topLinePunct w:val="0"/>
              <w:autoSpaceDE/>
              <w:autoSpaceDN/>
              <w:bidi w:val="0"/>
              <w:rPr>
                <w:rFonts w:hint="default"/>
                <w:lang w:val="en-US" w:eastAsia="zh-CN"/>
              </w:rPr>
            </w:pPr>
            <w:r>
              <w:rPr>
                <w:rFonts w:hint="eastAsia"/>
                <w:color w:val="FF0000"/>
                <w:lang w:val="en-US" w:eastAsia="zh-CN"/>
              </w:rPr>
              <w:t>4.3开采技术的可行性分析</w:t>
            </w:r>
          </w:p>
          <w:p w14:paraId="04E2B37F">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（一）</w:t>
            </w:r>
            <w:r>
              <w:rPr>
                <w:rFonts w:hint="eastAsia" w:cs="Times New Roman"/>
                <w:b w:val="0"/>
                <w:bCs w:val="0"/>
                <w:color w:val="FF0000"/>
                <w:sz w:val="24"/>
                <w:szCs w:val="24"/>
                <w:highlight w:val="none"/>
                <w:lang w:val="en-US" w:eastAsia="zh-CN"/>
              </w:rPr>
              <w:t>矿区</w:t>
            </w:r>
            <w:r>
              <w:rPr>
                <w:rFonts w:hint="eastAsia" w:ascii="Times New Roman" w:hAnsi="Times New Roman" w:eastAsia="宋体" w:cs="Times New Roman"/>
                <w:b w:val="0"/>
                <w:bCs w:val="0"/>
                <w:color w:val="FF0000"/>
                <w:sz w:val="24"/>
                <w:szCs w:val="24"/>
                <w:highlight w:val="none"/>
                <w:lang w:val="en-US" w:eastAsia="zh-CN"/>
              </w:rPr>
              <w:t>水文地质</w:t>
            </w:r>
          </w:p>
          <w:p w14:paraId="2D2FC701">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矿区地貌特征</w:t>
            </w:r>
          </w:p>
          <w:p w14:paraId="5DC7D0D8">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矿区位于同德县东南部，区内地貌主要为侵蚀构造中高山。区内总体地势北高南低，中部高四周低，海拔</w:t>
            </w:r>
            <w:r>
              <w:rPr>
                <w:rFonts w:hint="default" w:ascii="Times New Roman" w:hAnsi="Times New Roman" w:eastAsia="宋体" w:cs="Times New Roman"/>
                <w:b w:val="0"/>
                <w:bCs w:val="0"/>
                <w:color w:val="auto"/>
                <w:sz w:val="24"/>
                <w:szCs w:val="24"/>
                <w:highlight w:val="none"/>
                <w:lang w:val="en-US" w:eastAsia="zh-CN"/>
              </w:rPr>
              <w:t>+3850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+4049m</w:t>
            </w:r>
            <w:r>
              <w:rPr>
                <w:rFonts w:hint="eastAsia" w:ascii="Times New Roman" w:hAnsi="Times New Roman" w:eastAsia="宋体" w:cs="Times New Roman"/>
                <w:b w:val="0"/>
                <w:bCs w:val="0"/>
                <w:color w:val="auto"/>
                <w:sz w:val="24"/>
                <w:szCs w:val="24"/>
                <w:highlight w:val="none"/>
                <w:lang w:val="en-US" w:eastAsia="zh-CN"/>
              </w:rPr>
              <w:t>，相对高差约</w:t>
            </w:r>
            <w:r>
              <w:rPr>
                <w:rFonts w:hint="default" w:ascii="Times New Roman" w:hAnsi="Times New Roman" w:eastAsia="宋体" w:cs="Times New Roman"/>
                <w:b w:val="0"/>
                <w:bCs w:val="0"/>
                <w:color w:val="auto"/>
                <w:sz w:val="24"/>
                <w:szCs w:val="24"/>
                <w:highlight w:val="none"/>
                <w:lang w:val="en-US" w:eastAsia="zh-CN"/>
              </w:rPr>
              <w:t>200m</w:t>
            </w:r>
            <w:r>
              <w:rPr>
                <w:rFonts w:hint="eastAsia" w:ascii="Times New Roman" w:hAnsi="Times New Roman" w:eastAsia="宋体" w:cs="Times New Roman"/>
                <w:b w:val="0"/>
                <w:bCs w:val="0"/>
                <w:color w:val="auto"/>
                <w:sz w:val="24"/>
                <w:szCs w:val="24"/>
                <w:highlight w:val="none"/>
                <w:lang w:val="en-US" w:eastAsia="zh-CN"/>
              </w:rPr>
              <w:t>，地形坡度一般大于</w:t>
            </w:r>
            <w:r>
              <w:rPr>
                <w:rFonts w:hint="default" w:ascii="Times New Roman" w:hAnsi="Times New Roman" w:eastAsia="宋体" w:cs="Times New Roman"/>
                <w:b w:val="0"/>
                <w:bCs w:val="0"/>
                <w:color w:val="auto"/>
                <w:sz w:val="24"/>
                <w:szCs w:val="24"/>
                <w:highlight w:val="none"/>
                <w:lang w:val="en-US" w:eastAsia="zh-CN"/>
              </w:rPr>
              <w:t>20°</w:t>
            </w:r>
            <w:r>
              <w:rPr>
                <w:rFonts w:hint="eastAsia" w:ascii="Times New Roman" w:hAnsi="Times New Roman" w:eastAsia="宋体" w:cs="Times New Roman"/>
                <w:b w:val="0"/>
                <w:bCs w:val="0"/>
                <w:color w:val="auto"/>
                <w:sz w:val="24"/>
                <w:szCs w:val="24"/>
                <w:highlight w:val="none"/>
                <w:lang w:val="en-US" w:eastAsia="zh-CN"/>
              </w:rPr>
              <w:t>，局部坡度大于</w:t>
            </w:r>
            <w:r>
              <w:rPr>
                <w:rFonts w:hint="default" w:ascii="Times New Roman" w:hAnsi="Times New Roman" w:eastAsia="宋体" w:cs="Times New Roman"/>
                <w:b w:val="0"/>
                <w:bCs w:val="0"/>
                <w:color w:val="auto"/>
                <w:sz w:val="24"/>
                <w:szCs w:val="24"/>
                <w:highlight w:val="none"/>
                <w:lang w:val="en-US" w:eastAsia="zh-CN"/>
              </w:rPr>
              <w:t>30°</w:t>
            </w:r>
            <w:r>
              <w:rPr>
                <w:rFonts w:hint="eastAsia" w:ascii="Times New Roman" w:hAnsi="Times New Roman" w:eastAsia="宋体" w:cs="Times New Roman"/>
                <w:b w:val="0"/>
                <w:bCs w:val="0"/>
                <w:color w:val="auto"/>
                <w:sz w:val="24"/>
                <w:szCs w:val="24"/>
                <w:highlight w:val="none"/>
                <w:lang w:val="en-US" w:eastAsia="zh-CN"/>
              </w:rPr>
              <w:t>。矿区周边及范围内无湖泊分布，矿区西侧、东南侧分布有季节性沟谷，现场调查时沟谷内有地表水，水量较小。</w:t>
            </w:r>
          </w:p>
          <w:p w14:paraId="457472CF">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从地貌现状来看，以往未发生过较大洪水。</w:t>
            </w:r>
          </w:p>
          <w:p w14:paraId="1F4B5023">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 xml:space="preserve">地下水类型及含水、隔水层特征 </w:t>
            </w:r>
          </w:p>
          <w:p w14:paraId="58E9FBE6">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区内及周边地下水类型以松散岩类孔隙水及基岩裂隙水为主，松散岩类孔隙水主要含水层为第四系残坡积物，矿化度一般小于</w:t>
            </w:r>
            <w:r>
              <w:rPr>
                <w:rFonts w:hint="default" w:ascii="Times New Roman" w:hAnsi="Times New Roman" w:eastAsia="宋体" w:cs="Times New Roman"/>
                <w:b w:val="0"/>
                <w:bCs w:val="0"/>
                <w:color w:val="auto"/>
                <w:sz w:val="24"/>
                <w:szCs w:val="24"/>
                <w:highlight w:val="none"/>
                <w:lang w:val="en-US" w:eastAsia="zh-CN"/>
              </w:rPr>
              <w:t>1g/L</w:t>
            </w:r>
            <w:r>
              <w:rPr>
                <w:rFonts w:hint="eastAsia" w:ascii="Times New Roman" w:hAnsi="Times New Roman" w:eastAsia="宋体" w:cs="Times New Roman"/>
                <w:b w:val="0"/>
                <w:bCs w:val="0"/>
                <w:color w:val="auto"/>
                <w:sz w:val="24"/>
                <w:szCs w:val="24"/>
                <w:highlight w:val="none"/>
                <w:lang w:val="en-US" w:eastAsia="zh-CN"/>
              </w:rPr>
              <w:t>，水化学类型属</w:t>
            </w:r>
            <w:r>
              <w:rPr>
                <w:rFonts w:hint="default" w:ascii="Times New Roman" w:hAnsi="Times New Roman" w:eastAsia="宋体" w:cs="Times New Roman"/>
                <w:b w:val="0"/>
                <w:bCs w:val="0"/>
                <w:color w:val="auto"/>
                <w:sz w:val="24"/>
                <w:szCs w:val="24"/>
                <w:highlight w:val="none"/>
                <w:lang w:val="en-US" w:eastAsia="zh-CN"/>
              </w:rPr>
              <w:t>HCO</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Ca</w:t>
            </w:r>
            <w:r>
              <w:rPr>
                <w:rFonts w:hint="eastAsia" w:ascii="Times New Roman" w:hAnsi="Times New Roman" w:eastAsia="宋体" w:cs="Times New Roman"/>
                <w:b w:val="0"/>
                <w:bCs w:val="0"/>
                <w:color w:val="auto"/>
                <w:sz w:val="24"/>
                <w:szCs w:val="24"/>
                <w:highlight w:val="none"/>
                <w:lang w:val="en-US" w:eastAsia="zh-CN"/>
              </w:rPr>
              <w:t>型水；基岩裂隙水主要含水层为三叠纪中统砂岩层，矿化度一般小于</w:t>
            </w:r>
            <w:r>
              <w:rPr>
                <w:rFonts w:hint="default" w:ascii="Times New Roman" w:hAnsi="Times New Roman" w:eastAsia="宋体" w:cs="Times New Roman"/>
                <w:b w:val="0"/>
                <w:bCs w:val="0"/>
                <w:color w:val="auto"/>
                <w:sz w:val="24"/>
                <w:szCs w:val="24"/>
                <w:highlight w:val="none"/>
                <w:lang w:val="en-US" w:eastAsia="zh-CN"/>
              </w:rPr>
              <w:t>1g/L</w:t>
            </w:r>
            <w:r>
              <w:rPr>
                <w:rFonts w:hint="eastAsia" w:ascii="Times New Roman" w:hAnsi="Times New Roman" w:eastAsia="宋体" w:cs="Times New Roman"/>
                <w:b w:val="0"/>
                <w:bCs w:val="0"/>
                <w:color w:val="auto"/>
                <w:sz w:val="24"/>
                <w:szCs w:val="24"/>
                <w:highlight w:val="none"/>
                <w:lang w:val="en-US" w:eastAsia="zh-CN"/>
              </w:rPr>
              <w:t>，水化学类型属</w:t>
            </w:r>
            <w:r>
              <w:rPr>
                <w:rFonts w:hint="default" w:ascii="Times New Roman" w:hAnsi="Times New Roman" w:eastAsia="宋体" w:cs="Times New Roman"/>
                <w:b w:val="0"/>
                <w:bCs w:val="0"/>
                <w:color w:val="auto"/>
                <w:sz w:val="24"/>
                <w:szCs w:val="24"/>
                <w:highlight w:val="none"/>
                <w:lang w:val="en-US" w:eastAsia="zh-CN"/>
              </w:rPr>
              <w:t>HCO</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Ca.Mg</w:t>
            </w:r>
            <w:r>
              <w:rPr>
                <w:rFonts w:hint="eastAsia" w:ascii="Times New Roman" w:hAnsi="Times New Roman" w:eastAsia="宋体" w:cs="Times New Roman"/>
                <w:b w:val="0"/>
                <w:bCs w:val="0"/>
                <w:color w:val="auto"/>
                <w:sz w:val="24"/>
                <w:szCs w:val="24"/>
                <w:highlight w:val="none"/>
                <w:lang w:val="en-US" w:eastAsia="zh-CN"/>
              </w:rPr>
              <w:t>型水。</w:t>
            </w:r>
          </w:p>
          <w:p w14:paraId="561E51B5">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w:t>
            </w:r>
            <w:r>
              <w:rPr>
                <w:rFonts w:hint="eastAsia" w:ascii="Times New Roman" w:hAnsi="Times New Roman" w:eastAsia="宋体" w:cs="Times New Roman"/>
                <w:b w:val="0"/>
                <w:bCs w:val="0"/>
                <w:color w:val="auto"/>
                <w:sz w:val="24"/>
                <w:szCs w:val="24"/>
                <w:highlight w:val="none"/>
                <w:lang w:val="en-US" w:eastAsia="zh-CN"/>
              </w:rPr>
              <w:t>地下水补给、径流、排泄条件</w:t>
            </w:r>
          </w:p>
          <w:p w14:paraId="76CB5162">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矿区及周边无水源地及机（民）井分布，现状条件下地下水未开采，区内汇水面积较小，大气降水后大多成为地表径流，部分渗入地下成为地下径流；地下水主要接受上游地下水渗流的补给，其次为大气降水补给，地下水流向与地形变化一致，地下水位埋深在丰水期水位上升，枯水期则下降，一般变化幅度为</w:t>
            </w:r>
            <w:r>
              <w:rPr>
                <w:rFonts w:hint="default" w:ascii="Times New Roman" w:hAnsi="Times New Roman" w:eastAsia="宋体" w:cs="Times New Roman"/>
                <w:b w:val="0"/>
                <w:bCs w:val="0"/>
                <w:color w:val="auto"/>
                <w:sz w:val="24"/>
                <w:szCs w:val="24"/>
                <w:highlight w:val="none"/>
                <w:lang w:val="en-US" w:eastAsia="zh-CN"/>
              </w:rPr>
              <w:t>0.3-1m</w:t>
            </w:r>
            <w:r>
              <w:rPr>
                <w:rFonts w:hint="eastAsia" w:ascii="Times New Roman" w:hAnsi="Times New Roman" w:eastAsia="宋体" w:cs="Times New Roman"/>
                <w:b w:val="0"/>
                <w:bCs w:val="0"/>
                <w:color w:val="auto"/>
                <w:sz w:val="24"/>
                <w:szCs w:val="24"/>
                <w:highlight w:val="none"/>
                <w:lang w:val="en-US" w:eastAsia="zh-CN"/>
              </w:rPr>
              <w:t>。区内地下水主要以地下径流的形式继续向下游径流排泄。区内总体地势北高南低，地形坡度一般为</w:t>
            </w:r>
            <w:r>
              <w:rPr>
                <w:rFonts w:hint="default" w:ascii="Times New Roman" w:hAnsi="Times New Roman" w:eastAsia="宋体" w:cs="Times New Roman"/>
                <w:b w:val="0"/>
                <w:bCs w:val="0"/>
                <w:color w:val="auto"/>
                <w:sz w:val="24"/>
                <w:szCs w:val="24"/>
                <w:highlight w:val="none"/>
                <w:lang w:val="en-US" w:eastAsia="zh-CN"/>
              </w:rPr>
              <w:t>20°</w:t>
            </w:r>
            <w:r>
              <w:rPr>
                <w:rFonts w:hint="eastAsia" w:ascii="Times New Roman" w:hAnsi="Times New Roman" w:eastAsia="宋体" w:cs="Times New Roman"/>
                <w:b w:val="0"/>
                <w:bCs w:val="0"/>
                <w:color w:val="auto"/>
                <w:sz w:val="24"/>
                <w:szCs w:val="24"/>
                <w:highlight w:val="none"/>
                <w:lang w:val="en-US" w:eastAsia="zh-CN"/>
              </w:rPr>
              <w:t>，局部大于</w:t>
            </w:r>
            <w:r>
              <w:rPr>
                <w:rFonts w:hint="default" w:ascii="Times New Roman" w:hAnsi="Times New Roman" w:eastAsia="宋体" w:cs="Times New Roman"/>
                <w:b w:val="0"/>
                <w:bCs w:val="0"/>
                <w:color w:val="auto"/>
                <w:sz w:val="24"/>
                <w:szCs w:val="24"/>
                <w:highlight w:val="none"/>
                <w:lang w:val="en-US" w:eastAsia="zh-CN"/>
              </w:rPr>
              <w:t>30°</w:t>
            </w:r>
            <w:r>
              <w:rPr>
                <w:rFonts w:hint="eastAsia" w:ascii="Times New Roman" w:hAnsi="Times New Roman" w:eastAsia="宋体" w:cs="Times New Roman"/>
                <w:b w:val="0"/>
                <w:bCs w:val="0"/>
                <w:color w:val="auto"/>
                <w:sz w:val="24"/>
                <w:szCs w:val="24"/>
                <w:highlight w:val="none"/>
                <w:lang w:val="en-US" w:eastAsia="zh-CN"/>
              </w:rPr>
              <w:t>，自然排水条件良好。</w:t>
            </w:r>
          </w:p>
          <w:p w14:paraId="12B9D91E">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0000FC"/>
                <w:sz w:val="24"/>
                <w:szCs w:val="24"/>
                <w:highlight w:val="none"/>
                <w:lang w:val="en-US" w:eastAsia="zh-CN"/>
              </w:rPr>
            </w:pPr>
            <w:r>
              <w:rPr>
                <w:rFonts w:hint="eastAsia" w:cs="Times New Roman"/>
                <w:b w:val="0"/>
                <w:bCs w:val="0"/>
                <w:color w:val="0000FC"/>
                <w:sz w:val="24"/>
                <w:szCs w:val="24"/>
                <w:highlight w:val="none"/>
                <w:lang w:val="en-US" w:eastAsia="zh-CN"/>
              </w:rPr>
              <w:t>（4）</w:t>
            </w:r>
            <w:r>
              <w:rPr>
                <w:rFonts w:hint="eastAsia" w:ascii="Times New Roman" w:hAnsi="Times New Roman" w:eastAsia="宋体" w:cs="Times New Roman"/>
                <w:b w:val="0"/>
                <w:bCs w:val="0"/>
                <w:color w:val="0000FC"/>
                <w:sz w:val="24"/>
                <w:szCs w:val="24"/>
                <w:highlight w:val="none"/>
                <w:lang w:val="en-US" w:eastAsia="zh-CN"/>
              </w:rPr>
              <w:t>矿</w:t>
            </w:r>
            <w:r>
              <w:rPr>
                <w:rFonts w:hint="eastAsia" w:cs="Times New Roman"/>
                <w:b w:val="0"/>
                <w:bCs w:val="0"/>
                <w:color w:val="0000FC"/>
                <w:sz w:val="24"/>
                <w:szCs w:val="24"/>
                <w:highlight w:val="none"/>
                <w:lang w:val="en-US" w:eastAsia="zh-CN"/>
              </w:rPr>
              <w:t>区</w:t>
            </w:r>
            <w:r>
              <w:rPr>
                <w:rFonts w:hint="eastAsia" w:ascii="Times New Roman" w:hAnsi="Times New Roman" w:eastAsia="宋体" w:cs="Times New Roman"/>
                <w:b w:val="0"/>
                <w:bCs w:val="0"/>
                <w:color w:val="0000FC"/>
                <w:sz w:val="24"/>
                <w:szCs w:val="24"/>
                <w:highlight w:val="none"/>
                <w:lang w:val="en-US" w:eastAsia="zh-CN"/>
              </w:rPr>
              <w:t>充水因素</w:t>
            </w:r>
          </w:p>
          <w:p w14:paraId="7B0CFE24">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0000FC"/>
                <w:sz w:val="24"/>
                <w:szCs w:val="24"/>
                <w:highlight w:val="none"/>
                <w:lang w:val="en-US" w:eastAsia="zh-CN"/>
              </w:rPr>
              <w:t>矿</w:t>
            </w:r>
            <w:r>
              <w:rPr>
                <w:rFonts w:hint="eastAsia" w:cs="Times New Roman"/>
                <w:b w:val="0"/>
                <w:bCs w:val="0"/>
                <w:color w:val="0000FC"/>
                <w:sz w:val="24"/>
                <w:szCs w:val="24"/>
                <w:highlight w:val="none"/>
                <w:lang w:val="en-US" w:eastAsia="zh-CN"/>
              </w:rPr>
              <w:t>区</w:t>
            </w:r>
            <w:r>
              <w:rPr>
                <w:rFonts w:hint="eastAsia" w:ascii="Times New Roman" w:hAnsi="Times New Roman" w:eastAsia="宋体" w:cs="Times New Roman"/>
                <w:b w:val="0"/>
                <w:bCs w:val="0"/>
                <w:color w:val="auto"/>
                <w:sz w:val="24"/>
                <w:szCs w:val="24"/>
                <w:highlight w:val="none"/>
                <w:lang w:val="en-US" w:eastAsia="zh-CN"/>
              </w:rPr>
              <w:t>的主要充水因素为大气降水，矿区雨水多集中在</w:t>
            </w:r>
            <w:r>
              <w:rPr>
                <w:rFonts w:hint="default" w:ascii="Times New Roman" w:hAnsi="Times New Roman" w:eastAsia="宋体" w:cs="Times New Roman"/>
                <w:b w:val="0"/>
                <w:bCs w:val="0"/>
                <w:color w:val="auto"/>
                <w:sz w:val="24"/>
                <w:szCs w:val="24"/>
                <w:highlight w:val="none"/>
                <w:lang w:val="en-US" w:eastAsia="zh-CN"/>
              </w:rPr>
              <w:t>5</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9</w:t>
            </w:r>
            <w:r>
              <w:rPr>
                <w:rFonts w:hint="eastAsia" w:ascii="Times New Roman" w:hAnsi="Times New Roman" w:eastAsia="宋体" w:cs="Times New Roman"/>
                <w:b w:val="0"/>
                <w:bCs w:val="0"/>
                <w:color w:val="auto"/>
                <w:sz w:val="24"/>
                <w:szCs w:val="24"/>
                <w:highlight w:val="none"/>
                <w:lang w:val="en-US" w:eastAsia="zh-CN"/>
              </w:rPr>
              <w:t>月份，多年平均降水量为</w:t>
            </w:r>
            <w:r>
              <w:rPr>
                <w:rFonts w:hint="default" w:ascii="Times New Roman" w:hAnsi="Times New Roman" w:eastAsia="宋体" w:cs="Times New Roman"/>
                <w:b w:val="0"/>
                <w:bCs w:val="0"/>
                <w:color w:val="auto"/>
                <w:sz w:val="24"/>
                <w:szCs w:val="24"/>
                <w:highlight w:val="none"/>
                <w:lang w:val="en-US" w:eastAsia="zh-CN"/>
              </w:rPr>
              <w:t>441.8mm</w:t>
            </w:r>
            <w:r>
              <w:rPr>
                <w:rFonts w:hint="eastAsia" w:ascii="Times New Roman" w:hAnsi="Times New Roman" w:eastAsia="宋体" w:cs="Times New Roman"/>
                <w:b w:val="0"/>
                <w:bCs w:val="0"/>
                <w:color w:val="auto"/>
                <w:sz w:val="24"/>
                <w:szCs w:val="24"/>
                <w:highlight w:val="none"/>
                <w:lang w:val="en-US" w:eastAsia="zh-CN"/>
              </w:rPr>
              <w:t>，其充水强度取决于降水量、降水强度及矿</w:t>
            </w:r>
            <w:r>
              <w:rPr>
                <w:rFonts w:hint="eastAsia" w:cs="Times New Roman"/>
                <w:b w:val="0"/>
                <w:bCs w:val="0"/>
                <w:color w:val="auto"/>
                <w:sz w:val="24"/>
                <w:szCs w:val="24"/>
                <w:highlight w:val="none"/>
                <w:lang w:val="en-US" w:eastAsia="zh-CN"/>
              </w:rPr>
              <w:t>山</w:t>
            </w:r>
            <w:r>
              <w:rPr>
                <w:rFonts w:hint="eastAsia" w:ascii="Times New Roman" w:hAnsi="Times New Roman" w:eastAsia="宋体" w:cs="Times New Roman"/>
                <w:b w:val="0"/>
                <w:bCs w:val="0"/>
                <w:color w:val="auto"/>
                <w:sz w:val="24"/>
                <w:szCs w:val="24"/>
                <w:highlight w:val="none"/>
                <w:lang w:val="en-US" w:eastAsia="zh-CN"/>
              </w:rPr>
              <w:t>汇水面积。矿区所处地带为北高、南低的山坡地貌，地下水侧向补给有限，有利于降雨汇水的自然排泄，地下水沿孔隙及裂隙自山梁向东、西两侧山坡径流，在坡地排泄于季节性沟谷中。</w:t>
            </w:r>
            <w:r>
              <w:rPr>
                <w:rFonts w:hint="eastAsia" w:cs="Times New Roman"/>
                <w:b w:val="0"/>
                <w:bCs w:val="0"/>
                <w:color w:val="0000FC"/>
                <w:sz w:val="24"/>
                <w:szCs w:val="24"/>
                <w:highlight w:val="none"/>
                <w:lang w:val="en-US" w:eastAsia="zh-CN"/>
              </w:rPr>
              <w:t>根据资料，</w:t>
            </w:r>
            <w:r>
              <w:rPr>
                <w:rFonts w:hint="eastAsia" w:ascii="Times New Roman" w:hAnsi="Times New Roman" w:eastAsia="宋体" w:cs="Times New Roman"/>
                <w:b w:val="0"/>
                <w:bCs w:val="0"/>
                <w:color w:val="0000FC"/>
                <w:sz w:val="24"/>
                <w:szCs w:val="24"/>
                <w:highlight w:val="none"/>
                <w:lang w:val="en-US" w:eastAsia="zh-CN"/>
              </w:rPr>
              <w:t>最低开采标高</w:t>
            </w:r>
            <w:r>
              <w:rPr>
                <w:rFonts w:hint="eastAsia" w:cs="Times New Roman"/>
                <w:b w:val="0"/>
                <w:bCs w:val="0"/>
                <w:color w:val="0000FC"/>
                <w:sz w:val="24"/>
                <w:szCs w:val="24"/>
                <w:highlight w:val="none"/>
                <w:lang w:val="en-US" w:eastAsia="zh-CN"/>
              </w:rPr>
              <w:t>高</w:t>
            </w:r>
            <w:r>
              <w:rPr>
                <w:rFonts w:hint="eastAsia" w:ascii="Times New Roman" w:hAnsi="Times New Roman" w:eastAsia="宋体" w:cs="Times New Roman"/>
                <w:b w:val="0"/>
                <w:bCs w:val="0"/>
                <w:color w:val="0000FC"/>
                <w:sz w:val="24"/>
                <w:szCs w:val="24"/>
                <w:highlight w:val="none"/>
                <w:lang w:val="en-US" w:eastAsia="zh-CN"/>
              </w:rPr>
              <w:t>于当地侵蚀基准面</w:t>
            </w:r>
            <w:r>
              <w:rPr>
                <w:rFonts w:hint="eastAsia" w:cs="Times New Roman"/>
                <w:b w:val="0"/>
                <w:bCs w:val="0"/>
                <w:color w:val="0000FC"/>
                <w:sz w:val="24"/>
                <w:szCs w:val="24"/>
                <w:highlight w:val="none"/>
                <w:lang w:val="en-US" w:eastAsia="zh-CN"/>
              </w:rPr>
              <w:t>就不会产生用水，本项目</w:t>
            </w:r>
            <w:r>
              <w:rPr>
                <w:rFonts w:hint="eastAsia" w:ascii="Times New Roman" w:hAnsi="Times New Roman" w:eastAsia="宋体" w:cs="Times New Roman"/>
                <w:b w:val="0"/>
                <w:bCs w:val="0"/>
                <w:color w:val="0000FC"/>
                <w:sz w:val="24"/>
                <w:szCs w:val="24"/>
                <w:highlight w:val="none"/>
                <w:lang w:val="en-US" w:eastAsia="zh-CN"/>
              </w:rPr>
              <w:t>矿山开采的最低开采基高</w:t>
            </w:r>
            <w:r>
              <w:rPr>
                <w:rFonts w:hint="default" w:ascii="Times New Roman" w:hAnsi="Times New Roman" w:eastAsia="宋体" w:cs="Times New Roman"/>
                <w:b w:val="0"/>
                <w:bCs w:val="0"/>
                <w:color w:val="0000FC"/>
                <w:sz w:val="24"/>
                <w:szCs w:val="24"/>
                <w:highlight w:val="none"/>
                <w:lang w:val="en-US" w:eastAsia="zh-CN"/>
              </w:rPr>
              <w:t>3900m</w:t>
            </w:r>
            <w:r>
              <w:rPr>
                <w:rFonts w:hint="eastAsia" w:ascii="Times New Roman" w:hAnsi="Times New Roman" w:eastAsia="宋体" w:cs="Times New Roman"/>
                <w:b w:val="0"/>
                <w:bCs w:val="0"/>
                <w:color w:val="0000FC"/>
                <w:sz w:val="24"/>
                <w:szCs w:val="24"/>
                <w:highlight w:val="none"/>
                <w:lang w:val="en-US" w:eastAsia="zh-CN"/>
              </w:rPr>
              <w:t>，较最低侵蚀基准面（</w:t>
            </w:r>
            <w:r>
              <w:rPr>
                <w:rFonts w:hint="default" w:ascii="Times New Roman" w:hAnsi="Times New Roman" w:eastAsia="宋体" w:cs="Times New Roman"/>
                <w:b w:val="0"/>
                <w:bCs w:val="0"/>
                <w:color w:val="0000FC"/>
                <w:sz w:val="24"/>
                <w:szCs w:val="24"/>
                <w:highlight w:val="none"/>
                <w:lang w:val="en-US" w:eastAsia="zh-CN"/>
              </w:rPr>
              <w:t>3898m</w:t>
            </w:r>
            <w:r>
              <w:rPr>
                <w:rFonts w:hint="eastAsia" w:ascii="Times New Roman" w:hAnsi="Times New Roman" w:eastAsia="宋体" w:cs="Times New Roman"/>
                <w:b w:val="0"/>
                <w:bCs w:val="0"/>
                <w:color w:val="0000FC"/>
                <w:sz w:val="24"/>
                <w:szCs w:val="24"/>
                <w:highlight w:val="none"/>
                <w:lang w:val="en-US" w:eastAsia="zh-CN"/>
              </w:rPr>
              <w:t>）高出</w:t>
            </w:r>
            <w:r>
              <w:rPr>
                <w:rFonts w:hint="default" w:ascii="Times New Roman" w:hAnsi="Times New Roman" w:eastAsia="宋体" w:cs="Times New Roman"/>
                <w:b w:val="0"/>
                <w:bCs w:val="0"/>
                <w:color w:val="0000FC"/>
                <w:sz w:val="24"/>
                <w:szCs w:val="24"/>
                <w:highlight w:val="none"/>
                <w:lang w:val="en-US" w:eastAsia="zh-CN"/>
              </w:rPr>
              <w:t>2m</w:t>
            </w:r>
            <w:r>
              <w:rPr>
                <w:rFonts w:hint="eastAsia" w:ascii="Times New Roman" w:hAnsi="Times New Roman" w:eastAsia="宋体" w:cs="Times New Roman"/>
                <w:b w:val="0"/>
                <w:bCs w:val="0"/>
                <w:color w:val="0000FC"/>
                <w:sz w:val="24"/>
                <w:szCs w:val="24"/>
                <w:highlight w:val="none"/>
                <w:lang w:val="en-US" w:eastAsia="zh-CN"/>
              </w:rPr>
              <w:t>，</w:t>
            </w:r>
            <w:r>
              <w:rPr>
                <w:rFonts w:hint="eastAsia" w:cs="Times New Roman"/>
                <w:b w:val="0"/>
                <w:bCs w:val="0"/>
                <w:color w:val="0000FC"/>
                <w:sz w:val="24"/>
                <w:szCs w:val="24"/>
                <w:highlight w:val="none"/>
                <w:lang w:val="en-US" w:eastAsia="zh-CN"/>
              </w:rPr>
              <w:t>因此本项目无涌水产生，</w:t>
            </w:r>
            <w:r>
              <w:rPr>
                <w:rFonts w:hint="eastAsia" w:ascii="Times New Roman" w:hAnsi="Times New Roman" w:eastAsia="宋体" w:cs="Times New Roman"/>
                <w:b w:val="0"/>
                <w:bCs w:val="0"/>
                <w:color w:val="0000FC"/>
                <w:sz w:val="24"/>
                <w:szCs w:val="24"/>
                <w:highlight w:val="none"/>
                <w:lang w:val="en-US" w:eastAsia="zh-CN"/>
              </w:rPr>
              <w:t>故矿山开采时地表水对采坑构成危害的可能性小。</w:t>
            </w:r>
          </w:p>
          <w:p w14:paraId="6D47ABBF">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综上所述，矿区内地形为北高南低，无封闭洼地，有利于地表水的排泄，</w:t>
            </w:r>
            <w:r>
              <w:rPr>
                <w:rFonts w:hint="eastAsia" w:ascii="Times New Roman" w:hAnsi="Times New Roman" w:eastAsia="宋体" w:cs="Times New Roman"/>
                <w:b w:val="0"/>
                <w:bCs w:val="0"/>
                <w:color w:val="0000FC"/>
                <w:sz w:val="24"/>
                <w:szCs w:val="24"/>
                <w:highlight w:val="none"/>
                <w:lang w:val="en-US" w:eastAsia="zh-CN"/>
              </w:rPr>
              <w:t>未来矿</w:t>
            </w:r>
            <w:r>
              <w:rPr>
                <w:rFonts w:hint="eastAsia" w:cs="Times New Roman"/>
                <w:b w:val="0"/>
                <w:bCs w:val="0"/>
                <w:color w:val="0000FC"/>
                <w:sz w:val="24"/>
                <w:szCs w:val="24"/>
                <w:highlight w:val="none"/>
                <w:lang w:val="en-US" w:eastAsia="zh-CN"/>
              </w:rPr>
              <w:t>山</w:t>
            </w:r>
            <w:r>
              <w:rPr>
                <w:rFonts w:hint="eastAsia" w:ascii="Times New Roman" w:hAnsi="Times New Roman" w:eastAsia="宋体" w:cs="Times New Roman"/>
                <w:b w:val="0"/>
                <w:bCs w:val="0"/>
                <w:color w:val="0000FC"/>
                <w:sz w:val="24"/>
                <w:szCs w:val="24"/>
                <w:highlight w:val="none"/>
                <w:lang w:val="en-US" w:eastAsia="zh-CN"/>
              </w:rPr>
              <w:t>的直接充水因素为短时的强降雨补给，最低侵蚀基准面为</w:t>
            </w:r>
            <w:r>
              <w:rPr>
                <w:rFonts w:hint="default" w:ascii="Times New Roman" w:hAnsi="Times New Roman" w:eastAsia="宋体" w:cs="Times New Roman"/>
                <w:b w:val="0"/>
                <w:bCs w:val="0"/>
                <w:color w:val="0000FC"/>
                <w:sz w:val="24"/>
                <w:szCs w:val="24"/>
                <w:highlight w:val="none"/>
                <w:lang w:val="en-US" w:eastAsia="zh-CN"/>
              </w:rPr>
              <w:t>3898m</w:t>
            </w:r>
            <w:r>
              <w:rPr>
                <w:rFonts w:hint="eastAsia" w:ascii="Times New Roman" w:hAnsi="Times New Roman" w:eastAsia="宋体" w:cs="Times New Roman"/>
                <w:b w:val="0"/>
                <w:bCs w:val="0"/>
                <w:color w:val="0000FC"/>
                <w:sz w:val="24"/>
                <w:szCs w:val="24"/>
                <w:highlight w:val="none"/>
                <w:lang w:val="en-US" w:eastAsia="zh-CN"/>
              </w:rPr>
              <w:t>，未来开采中地下水对</w:t>
            </w:r>
            <w:r>
              <w:rPr>
                <w:rFonts w:hint="eastAsia" w:cs="Times New Roman"/>
                <w:b w:val="0"/>
                <w:bCs w:val="0"/>
                <w:color w:val="0000FC"/>
                <w:sz w:val="24"/>
                <w:szCs w:val="24"/>
                <w:highlight w:val="none"/>
                <w:lang w:val="en-US" w:eastAsia="zh-CN"/>
              </w:rPr>
              <w:t>其</w:t>
            </w:r>
            <w:r>
              <w:rPr>
                <w:rFonts w:hint="eastAsia" w:ascii="Times New Roman" w:hAnsi="Times New Roman" w:eastAsia="宋体" w:cs="Times New Roman"/>
                <w:b w:val="0"/>
                <w:bCs w:val="0"/>
                <w:color w:val="0000FC"/>
                <w:sz w:val="24"/>
                <w:szCs w:val="24"/>
                <w:highlight w:val="none"/>
                <w:lang w:val="en-US" w:eastAsia="zh-CN"/>
              </w:rPr>
              <w:t>构成危害的可能性小</w:t>
            </w:r>
            <w:r>
              <w:rPr>
                <w:rFonts w:hint="eastAsia" w:ascii="Times New Roman" w:hAnsi="Times New Roman" w:eastAsia="宋体" w:cs="Times New Roman"/>
                <w:b w:val="0"/>
                <w:bCs w:val="0"/>
                <w:color w:val="auto"/>
                <w:sz w:val="24"/>
                <w:szCs w:val="24"/>
                <w:highlight w:val="none"/>
                <w:lang w:val="en-US" w:eastAsia="zh-CN"/>
              </w:rPr>
              <w:t xml:space="preserve">。矿区水文地质条件是以松散岩类孔隙水和基岩裂隙水为主的简单型。 </w:t>
            </w:r>
          </w:p>
          <w:p w14:paraId="738F8B42">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（二）</w:t>
            </w:r>
            <w:r>
              <w:rPr>
                <w:rFonts w:hint="eastAsia" w:cs="Times New Roman"/>
                <w:b w:val="0"/>
                <w:bCs w:val="0"/>
                <w:color w:val="FF0000"/>
                <w:sz w:val="24"/>
                <w:szCs w:val="24"/>
                <w:highlight w:val="none"/>
                <w:lang w:val="en-US" w:eastAsia="zh-CN"/>
              </w:rPr>
              <w:t>矿区</w:t>
            </w:r>
            <w:r>
              <w:rPr>
                <w:rFonts w:hint="eastAsia" w:ascii="Times New Roman" w:hAnsi="Times New Roman" w:eastAsia="宋体" w:cs="Times New Roman"/>
                <w:b w:val="0"/>
                <w:bCs w:val="0"/>
                <w:color w:val="FF0000"/>
                <w:sz w:val="24"/>
                <w:szCs w:val="24"/>
                <w:highlight w:val="none"/>
                <w:lang w:val="en-US" w:eastAsia="zh-CN"/>
              </w:rPr>
              <w:t>工程地质</w:t>
            </w:r>
          </w:p>
          <w:p w14:paraId="456ADC6C">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 xml:space="preserve">岩土体工程地质特征 </w:t>
            </w:r>
          </w:p>
          <w:p w14:paraId="79169442">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根据岩石的岩土体工程地质特征分为松散土体和较坚硬岩体两种类型，分述如下：</w:t>
            </w:r>
          </w:p>
          <w:p w14:paraId="54B6825A">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A.</w:t>
            </w:r>
            <w:r>
              <w:rPr>
                <w:rFonts w:hint="eastAsia" w:ascii="Times New Roman" w:hAnsi="Times New Roman" w:eastAsia="宋体" w:cs="Times New Roman"/>
                <w:b w:val="0"/>
                <w:bCs w:val="0"/>
                <w:color w:val="auto"/>
                <w:sz w:val="24"/>
                <w:szCs w:val="24"/>
                <w:highlight w:val="none"/>
                <w:lang w:val="en-US" w:eastAsia="zh-CN"/>
              </w:rPr>
              <w:t>较坚硬岩体工程地质特征</w:t>
            </w:r>
          </w:p>
          <w:p w14:paraId="714E01C2">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矿体属于较坚硬砂岩，中厚层状结构，岩体较完整，整体性强，力学强度高，饱和抗压强度</w:t>
            </w:r>
            <w:r>
              <w:rPr>
                <w:rFonts w:hint="default" w:ascii="Times New Roman" w:hAnsi="Times New Roman" w:eastAsia="宋体" w:cs="Times New Roman"/>
                <w:b w:val="0"/>
                <w:bCs w:val="0"/>
                <w:color w:val="auto"/>
                <w:sz w:val="24"/>
                <w:szCs w:val="24"/>
                <w:highlight w:val="none"/>
                <w:lang w:val="en-US" w:eastAsia="zh-CN"/>
              </w:rPr>
              <w:t>62Mpa</w:t>
            </w:r>
            <w:r>
              <w:rPr>
                <w:rFonts w:hint="eastAsia" w:ascii="Times New Roman" w:hAnsi="Times New Roman" w:eastAsia="宋体" w:cs="Times New Roman"/>
                <w:b w:val="0"/>
                <w:bCs w:val="0"/>
                <w:color w:val="auto"/>
                <w:sz w:val="24"/>
                <w:szCs w:val="24"/>
                <w:highlight w:val="none"/>
                <w:lang w:val="en-US" w:eastAsia="zh-CN"/>
              </w:rPr>
              <w:t>，稳定性较好，矿床工程地质条件较为简单。</w:t>
            </w:r>
          </w:p>
          <w:p w14:paraId="2ADE0261">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B.</w:t>
            </w:r>
            <w:r>
              <w:rPr>
                <w:rFonts w:hint="eastAsia" w:ascii="Times New Roman" w:hAnsi="Times New Roman" w:eastAsia="宋体" w:cs="Times New Roman"/>
                <w:b w:val="0"/>
                <w:bCs w:val="0"/>
                <w:color w:val="auto"/>
                <w:sz w:val="24"/>
                <w:szCs w:val="24"/>
                <w:highlight w:val="none"/>
                <w:lang w:val="en-US" w:eastAsia="zh-CN"/>
              </w:rPr>
              <w:t>松散土体工程地质特征</w:t>
            </w:r>
          </w:p>
          <w:p w14:paraId="7BCBBC79">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为地表腐殖质土及粉土层，主要由砂卵石、砂砾碎石及大量粉土组成，浅</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灰褐色，泥质结构，厚度较小，稍湿</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湿，呈稍密状态，遇水有湿陷性，其承载力较低，力学强度较低，但其厚度小，且表层植被覆盖度高，稳定性较好。</w:t>
            </w:r>
          </w:p>
          <w:p w14:paraId="50CBA97E">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露天采坑边坡稳定性分析</w:t>
            </w:r>
          </w:p>
          <w:p w14:paraId="63D4E53E">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auto"/>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矿区处于山坡之上，山坡坡度较缓，现状条件下边坡无滑动、垮塌迹象，稳定性较好。未来矿山开采矿种为建筑用砂岩，采用露天开采，建议在以后的开采过程中，进行台阶式开采，坡度角控制在</w:t>
            </w:r>
            <w:r>
              <w:rPr>
                <w:rFonts w:hint="default" w:ascii="Times New Roman" w:hAnsi="Times New Roman" w:eastAsia="宋体" w:cs="Times New Roman"/>
                <w:b w:val="0"/>
                <w:bCs w:val="0"/>
                <w:color w:val="auto"/>
                <w:sz w:val="24"/>
                <w:szCs w:val="24"/>
                <w:highlight w:val="none"/>
                <w:lang w:val="en-US" w:eastAsia="zh-CN"/>
              </w:rPr>
              <w:t>60°</w:t>
            </w:r>
            <w:r>
              <w:rPr>
                <w:rFonts w:hint="eastAsia" w:ascii="Times New Roman" w:hAnsi="Times New Roman" w:eastAsia="宋体" w:cs="Times New Roman"/>
                <w:b w:val="0"/>
                <w:bCs w:val="0"/>
                <w:color w:val="auto"/>
                <w:sz w:val="24"/>
                <w:szCs w:val="24"/>
                <w:highlight w:val="none"/>
                <w:lang w:val="en-US" w:eastAsia="zh-CN"/>
              </w:rPr>
              <w:t>以内，使得矿体较为完整，边坡稳定性较好，从而降低整体坡高，防止垮塌的情况发生。矿山在今后的开采过程中，在机械挖掘、大气降水等的作用下，可能产生崩塌、滑坡等情况。在高陡边坡及结构松散的区域，受机械挖掘、雨水冰冻等作用下，发生山体边坡小规模滑坡的可能性较大。另外，节理裂隙和水文地质条件也是影响露天边坡稳定性的因素之一，以上诸多不利因素，矿床开采设计时应引起特别重视。当开采到一定规模后，加上降水的影响，特别是近地表容易分离滑动，使边坡变形，砾石滑落，从而影响安全生产。矿山在以后的开采过程中尤其是雨后应多观察边坡稳定性，严格按开采设计要求，控制露天采坑边坡坡度，对高度大的边坡，坡面形态可以选择多级台阶，采取预警措施，发现疑点及时采取防治措施。综上，简测区工程地质条件是以较坚硬砂岩为主的中等类型。</w:t>
            </w:r>
          </w:p>
          <w:p w14:paraId="2C6C24BB">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（三）环境地质及安全生产条件</w:t>
            </w:r>
            <w:r>
              <w:rPr>
                <w:rFonts w:hint="eastAsia" w:cs="Times New Roman"/>
                <w:b w:val="0"/>
                <w:bCs w:val="0"/>
                <w:color w:val="FF0000"/>
                <w:sz w:val="24"/>
                <w:szCs w:val="24"/>
                <w:highlight w:val="none"/>
                <w:lang w:val="en-US" w:eastAsia="zh-CN"/>
              </w:rPr>
              <w:t>的分析</w:t>
            </w:r>
          </w:p>
          <w:p w14:paraId="024BFB53">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区域稳定性</w:t>
            </w:r>
          </w:p>
          <w:p w14:paraId="6523450E">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同德县在大地构造单元上处于昆仑—秦岭纬向构造带中段，西秦岭印支褶皱带的西段。区域构造主要为西秦岭东西向构造体系，分布一系列近东西向压扭性断裂。矿区内未发现大型褶皱和大的活动性断裂，目前不存在崩塌、滑坡、泥石流等地质灾害和环境污染情况，地震基本烈度为</w:t>
            </w:r>
            <w:r>
              <w:rPr>
                <w:rFonts w:hint="default" w:ascii="Times New Roman" w:hAnsi="Times New Roman" w:eastAsia="宋体" w:cs="Times New Roman"/>
                <w:b w:val="0"/>
                <w:bCs w:val="0"/>
                <w:color w:val="auto"/>
                <w:sz w:val="24"/>
                <w:szCs w:val="24"/>
                <w:highlight w:val="none"/>
                <w:lang w:val="en-US" w:eastAsia="zh-CN"/>
              </w:rPr>
              <w:t>Ⅶ</w:t>
            </w:r>
            <w:r>
              <w:rPr>
                <w:rFonts w:hint="eastAsia" w:ascii="Times New Roman" w:hAnsi="Times New Roman" w:eastAsia="宋体" w:cs="Times New Roman"/>
                <w:b w:val="0"/>
                <w:bCs w:val="0"/>
                <w:color w:val="auto"/>
                <w:sz w:val="24"/>
                <w:szCs w:val="24"/>
                <w:highlight w:val="none"/>
                <w:lang w:val="en-US" w:eastAsia="zh-CN"/>
              </w:rPr>
              <w:t>度，基本地震加速度为</w:t>
            </w:r>
            <w:r>
              <w:rPr>
                <w:rFonts w:hint="default" w:ascii="Times New Roman" w:hAnsi="Times New Roman" w:eastAsia="宋体" w:cs="Times New Roman"/>
                <w:b w:val="0"/>
                <w:bCs w:val="0"/>
                <w:color w:val="auto"/>
                <w:sz w:val="24"/>
                <w:szCs w:val="24"/>
                <w:highlight w:val="none"/>
                <w:lang w:val="en-US" w:eastAsia="zh-CN"/>
              </w:rPr>
              <w:t>0.15g</w:t>
            </w:r>
            <w:r>
              <w:rPr>
                <w:rFonts w:hint="eastAsia" w:ascii="Times New Roman" w:hAnsi="Times New Roman" w:eastAsia="宋体" w:cs="Times New Roman"/>
                <w:b w:val="0"/>
                <w:bCs w:val="0"/>
                <w:color w:val="auto"/>
                <w:sz w:val="24"/>
                <w:szCs w:val="24"/>
                <w:highlight w:val="none"/>
                <w:lang w:val="en-US" w:eastAsia="zh-CN"/>
              </w:rPr>
              <w:t>，地震动反应谱特征周期为</w:t>
            </w:r>
            <w:r>
              <w:rPr>
                <w:rFonts w:hint="default" w:ascii="Times New Roman" w:hAnsi="Times New Roman" w:eastAsia="宋体" w:cs="Times New Roman"/>
                <w:b w:val="0"/>
                <w:bCs w:val="0"/>
                <w:color w:val="auto"/>
                <w:sz w:val="24"/>
                <w:szCs w:val="24"/>
                <w:highlight w:val="none"/>
                <w:lang w:val="en-US" w:eastAsia="zh-CN"/>
              </w:rPr>
              <w:t>0.45s</w:t>
            </w:r>
            <w:r>
              <w:rPr>
                <w:rFonts w:hint="eastAsia" w:ascii="Times New Roman" w:hAnsi="Times New Roman" w:eastAsia="宋体" w:cs="Times New Roman"/>
                <w:b w:val="0"/>
                <w:bCs w:val="0"/>
                <w:color w:val="auto"/>
                <w:sz w:val="24"/>
                <w:szCs w:val="24"/>
                <w:highlight w:val="none"/>
                <w:lang w:val="en-US" w:eastAsia="zh-CN"/>
              </w:rPr>
              <w:t xml:space="preserve">，矿区及附近地区近年来未出现过烈度较强的地震。从目前状况分析，本区稳定性划归为稳定～基本稳定区。 </w:t>
            </w:r>
          </w:p>
          <w:p w14:paraId="14042AA3">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环境地质条件预测</w:t>
            </w:r>
          </w:p>
          <w:p w14:paraId="219ED6DC">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矿山及周边山势坡度一般</w:t>
            </w:r>
            <w:r>
              <w:rPr>
                <w:rFonts w:hint="default" w:ascii="Times New Roman" w:hAnsi="Times New Roman" w:eastAsia="宋体" w:cs="Times New Roman"/>
                <w:b w:val="0"/>
                <w:bCs w:val="0"/>
                <w:color w:val="auto"/>
                <w:sz w:val="24"/>
                <w:szCs w:val="24"/>
                <w:highlight w:val="none"/>
                <w:lang w:val="en-US" w:eastAsia="zh-CN"/>
              </w:rPr>
              <w:t>20-30°</w:t>
            </w:r>
            <w:r>
              <w:rPr>
                <w:rFonts w:hint="eastAsia" w:ascii="Times New Roman" w:hAnsi="Times New Roman" w:eastAsia="宋体" w:cs="Times New Roman"/>
                <w:b w:val="0"/>
                <w:bCs w:val="0"/>
                <w:color w:val="auto"/>
                <w:sz w:val="24"/>
                <w:szCs w:val="24"/>
                <w:highlight w:val="none"/>
                <w:lang w:val="en-US" w:eastAsia="zh-CN"/>
              </w:rPr>
              <w:t xml:space="preserve">，以侵蚀为主，为紫花针茅高山苔草草原植被类型。现状条件下未见崩塌、滑坡、泥石流、地面塌陷等地质灾害现象。根据矿山周围的环境地质条件，发生上述自然地质灾害的可能性较小。 </w:t>
            </w:r>
          </w:p>
          <w:p w14:paraId="1BDB69B7">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未来矿山开采方式为露天开采，势必造成原生自然景观的破坏，导致地表植被挖损或压占，使得区内裸露面积增大、水土流失加重，在未来矿山的生产建设过程中</w:t>
            </w:r>
            <w:r>
              <w:rPr>
                <w:rFonts w:hint="eastAsia" w:cs="Times New Roman"/>
                <w:b w:val="0"/>
                <w:bCs w:val="0"/>
                <w:color w:val="auto"/>
                <w:sz w:val="24"/>
                <w:szCs w:val="24"/>
                <w:highlight w:val="none"/>
                <w:lang w:val="en-US" w:eastAsia="zh-CN"/>
              </w:rPr>
              <w:t>应</w:t>
            </w:r>
            <w:r>
              <w:rPr>
                <w:rFonts w:hint="eastAsia" w:ascii="Times New Roman" w:hAnsi="Times New Roman" w:eastAsia="宋体" w:cs="Times New Roman"/>
                <w:b w:val="0"/>
                <w:bCs w:val="0"/>
                <w:color w:val="auto"/>
                <w:sz w:val="24"/>
                <w:szCs w:val="24"/>
                <w:highlight w:val="none"/>
                <w:lang w:val="en-US" w:eastAsia="zh-CN"/>
              </w:rPr>
              <w:t xml:space="preserve">着重对其进行保护和防范。矿山未来生产建设时势必引起粉尘、噪音等环境问题，但由于矿山距居民区及农田较远，矿山四周为山区，因此矿山生产所造成的粉尘及噪音不会给附近居民的生活造成太大的影响。 </w:t>
            </w:r>
          </w:p>
          <w:p w14:paraId="70C0AD57">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矿山露天开采时剥离的表土、废料等的堆放也将加剧矿区内地表自然景观的损毁，后期开挖建设时</w:t>
            </w:r>
            <w:r>
              <w:rPr>
                <w:rFonts w:hint="eastAsia" w:cs="Times New Roman"/>
                <w:b w:val="0"/>
                <w:bCs w:val="0"/>
                <w:color w:val="auto"/>
                <w:sz w:val="24"/>
                <w:szCs w:val="24"/>
                <w:highlight w:val="none"/>
                <w:lang w:val="en-US" w:eastAsia="zh-CN"/>
              </w:rPr>
              <w:t>应</w:t>
            </w:r>
            <w:r>
              <w:rPr>
                <w:rFonts w:hint="eastAsia" w:ascii="Times New Roman" w:hAnsi="Times New Roman" w:eastAsia="宋体" w:cs="Times New Roman"/>
                <w:b w:val="0"/>
                <w:bCs w:val="0"/>
                <w:color w:val="auto"/>
                <w:sz w:val="24"/>
                <w:szCs w:val="24"/>
                <w:highlight w:val="none"/>
                <w:lang w:val="en-US" w:eastAsia="zh-CN"/>
              </w:rPr>
              <w:t>制定、布设合理的堆放方式及区域，尽可能减少原生地表自然景观的破坏。同时，矿山需遵循边开采边治理的原则，</w:t>
            </w:r>
            <w:r>
              <w:rPr>
                <w:rFonts w:hint="eastAsia" w:cs="Times New Roman"/>
                <w:b w:val="0"/>
                <w:bCs w:val="0"/>
                <w:color w:val="auto"/>
                <w:sz w:val="24"/>
                <w:szCs w:val="24"/>
                <w:highlight w:val="none"/>
                <w:lang w:val="en-US" w:eastAsia="zh-CN"/>
              </w:rPr>
              <w:t>闭矿</w:t>
            </w:r>
            <w:r>
              <w:rPr>
                <w:rFonts w:hint="eastAsia" w:ascii="Times New Roman" w:hAnsi="Times New Roman" w:eastAsia="宋体" w:cs="Times New Roman"/>
                <w:b w:val="0"/>
                <w:bCs w:val="0"/>
                <w:color w:val="auto"/>
                <w:sz w:val="24"/>
                <w:szCs w:val="24"/>
                <w:highlight w:val="none"/>
                <w:lang w:val="en-US" w:eastAsia="zh-CN"/>
              </w:rPr>
              <w:t xml:space="preserve">后及时开展矿山地质环境治理及土地复垦工作，恢复地貌景观及植被。 </w:t>
            </w:r>
          </w:p>
          <w:p w14:paraId="62DA4CED">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矿山在开采中，可能会产生小台阶滑坡，在开采过程中应加强小台阶滑坡的监测。矿山开采中将排弃部分废石，废石可以用于铺填路基，废渣应筑堤堆放，防止暴雨冲刷形成泥石流，对矿区的周边环境造成影响。应修建耕作土堆场对废弃物予以保存，并在排土场前缘修建拦渣坝，防止废石引发泥石流及滑坡。综上所述，除粉尘及噪音外矿山原生地质环境问题不发育，但由于矿山远离居民区，粉尘及噪音对周边居民影响较小，矿区环境地质条件属简单型。 </w:t>
            </w:r>
          </w:p>
          <w:p w14:paraId="328B4DDE">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（四）开采技术</w:t>
            </w:r>
            <w:r>
              <w:rPr>
                <w:rFonts w:hint="eastAsia" w:cs="Times New Roman"/>
                <w:b w:val="0"/>
                <w:bCs w:val="0"/>
                <w:color w:val="FF0000"/>
                <w:sz w:val="24"/>
                <w:szCs w:val="24"/>
                <w:highlight w:val="none"/>
                <w:lang w:val="en-US" w:eastAsia="zh-CN"/>
              </w:rPr>
              <w:t>可行性小结</w:t>
            </w:r>
          </w:p>
          <w:p w14:paraId="0F301167">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矿体赋存标高在</w:t>
            </w:r>
            <w:r>
              <w:rPr>
                <w:rFonts w:hint="default" w:ascii="Times New Roman" w:hAnsi="Times New Roman" w:eastAsia="宋体" w:cs="Times New Roman"/>
                <w:b w:val="0"/>
                <w:bCs w:val="0"/>
                <w:color w:val="auto"/>
                <w:sz w:val="24"/>
                <w:szCs w:val="24"/>
                <w:highlight w:val="none"/>
                <w:lang w:val="en-US" w:eastAsia="zh-CN"/>
              </w:rPr>
              <w:t>+3900m</w:t>
            </w:r>
            <w:r>
              <w:rPr>
                <w:rFonts w:hint="eastAsia" w:ascii="Times New Roman" w:hAnsi="Times New Roman" w:eastAsia="宋体" w:cs="Times New Roman"/>
                <w:b w:val="0"/>
                <w:bCs w:val="0"/>
                <w:color w:val="auto"/>
                <w:sz w:val="24"/>
                <w:szCs w:val="24"/>
                <w:highlight w:val="none"/>
                <w:lang w:val="en-US" w:eastAsia="zh-CN"/>
              </w:rPr>
              <w:t>以上，处在最低侵蚀基准面以上，地面排水通畅，区内无常年地表水；矿区主要含水层为砂岩层及残坡积层；矿山未来采用露天开采方式进行采矿，大气降水对矿山开采影响不大。区内砂岩主要为较坚硬岩体工程地质岩类，矿体稳固性较好。矿床未来开采所引起的工程地质问题主要是露天开采边坡失稳，发现问题应及时采取措施，如修建挡土墙护坡墙等。未来矿山进行露天开采对环境的扰动、改造程度较小，因而造成的危害和影响不大。但为确保安全，矿山在生产过程中要严格按开采方案进行开采，生产中有专门的安检人员对采场及山坡进行监测，一旦有不稳定因素立即组织人员清除隐患，随时清除开采作业中出现的安全隐患，防止崩塌、失稳等安全事故发生。</w:t>
            </w:r>
          </w:p>
          <w:p w14:paraId="0FE7E017">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综上所述，矿山水文地质条件属以基岩裂隙水为主的简单型，工程地质条件属以较坚硬砂岩为主的中等型，环境地质条件属简单型。矿山开采技术条件属以工程地质问题为主的</w:t>
            </w:r>
            <w:r>
              <w:rPr>
                <w:rFonts w:hint="default" w:ascii="Times New Roman" w:hAnsi="Times New Roman" w:eastAsia="宋体" w:cs="Times New Roman"/>
                <w:b w:val="0"/>
                <w:bCs w:val="0"/>
                <w:color w:val="FF0000"/>
                <w:sz w:val="24"/>
                <w:szCs w:val="24"/>
                <w:highlight w:val="none"/>
                <w:lang w:val="en-US" w:eastAsia="zh-CN"/>
              </w:rPr>
              <w:t>II</w:t>
            </w:r>
            <w:r>
              <w:rPr>
                <w:rFonts w:hint="eastAsia" w:ascii="Times New Roman" w:hAnsi="Times New Roman" w:eastAsia="宋体" w:cs="Times New Roman"/>
                <w:b w:val="0"/>
                <w:bCs w:val="0"/>
                <w:color w:val="FF0000"/>
                <w:sz w:val="24"/>
                <w:szCs w:val="24"/>
                <w:highlight w:val="none"/>
                <w:lang w:val="en-US" w:eastAsia="zh-CN"/>
              </w:rPr>
              <w:t>类型</w:t>
            </w:r>
            <w:r>
              <w:rPr>
                <w:rFonts w:hint="eastAsia" w:cs="Times New Roman"/>
                <w:b w:val="0"/>
                <w:bCs w:val="0"/>
                <w:color w:val="FF0000"/>
                <w:sz w:val="24"/>
                <w:szCs w:val="24"/>
                <w:highlight w:val="none"/>
                <w:lang w:val="en-US" w:eastAsia="zh-CN"/>
              </w:rPr>
              <w:t>，开采技术可行。</w:t>
            </w:r>
          </w:p>
          <w:p w14:paraId="4BFB31DF">
            <w:pPr>
              <w:pStyle w:val="4"/>
              <w:keepNext w:val="0"/>
              <w:keepLines w:val="0"/>
              <w:pageBreakBefore w:val="0"/>
              <w:widowControl w:val="0"/>
              <w:kinsoku/>
              <w:wordWrap/>
              <w:overflowPunct/>
              <w:topLinePunct w:val="0"/>
              <w:autoSpaceDE/>
              <w:autoSpaceDN/>
              <w:bidi w:val="0"/>
              <w:rPr>
                <w:rFonts w:hint="eastAsia" w:ascii="Times New Roman" w:hAnsi="Times New Roman" w:eastAsia="宋体" w:cs="Times New Roman"/>
                <w:color w:val="0000FC"/>
                <w:lang w:val="en-US" w:eastAsia="zh-CN"/>
              </w:rPr>
            </w:pPr>
            <w:r>
              <w:rPr>
                <w:rFonts w:hint="eastAsia" w:ascii="Times New Roman" w:hAnsi="Times New Roman" w:eastAsia="宋体" w:cs="Times New Roman"/>
                <w:color w:val="0000FC"/>
                <w:lang w:val="en-US" w:eastAsia="zh-CN"/>
              </w:rPr>
              <w:t>5、公用工程</w:t>
            </w:r>
          </w:p>
          <w:p w14:paraId="35F73705">
            <w:pPr>
              <w:rPr>
                <w:rFonts w:hint="eastAsia" w:cs="Times New Roman"/>
                <w:b w:val="0"/>
                <w:bCs w:val="0"/>
                <w:color w:val="0000FC"/>
                <w:sz w:val="24"/>
                <w:szCs w:val="24"/>
                <w:highlight w:val="none"/>
                <w:lang w:val="en-US" w:eastAsia="zh-CN"/>
              </w:rPr>
            </w:pPr>
            <w:r>
              <w:rPr>
                <w:rFonts w:hint="eastAsia" w:cs="Times New Roman"/>
                <w:b w:val="0"/>
                <w:bCs w:val="0"/>
                <w:color w:val="0000FC"/>
                <w:sz w:val="24"/>
                <w:szCs w:val="24"/>
                <w:highlight w:val="none"/>
                <w:lang w:val="en-US" w:eastAsia="zh-CN"/>
              </w:rPr>
              <w:t>（一）供电</w:t>
            </w:r>
          </w:p>
          <w:p w14:paraId="5286520C">
            <w:pPr>
              <w:keepNext w:val="0"/>
              <w:keepLines w:val="0"/>
              <w:widowControl/>
              <w:suppressLineNumbers w:val="0"/>
              <w:jc w:val="left"/>
              <w:rPr>
                <w:rFonts w:hint="default"/>
                <w:color w:val="0000FC"/>
                <w:lang w:val="en-US"/>
              </w:rPr>
            </w:pPr>
            <w:r>
              <w:rPr>
                <w:rFonts w:hint="eastAsia" w:ascii="宋体" w:hAnsi="宋体" w:eastAsia="宋体" w:cs="宋体"/>
                <w:color w:val="0000FC"/>
                <w:kern w:val="0"/>
                <w:sz w:val="28"/>
                <w:szCs w:val="28"/>
                <w:lang w:val="en-US" w:eastAsia="zh-CN" w:bidi="ar"/>
              </w:rPr>
              <w:t>矿山生</w:t>
            </w:r>
            <w:r>
              <w:rPr>
                <w:rFonts w:hint="eastAsia" w:ascii="Times New Roman" w:hAnsi="Times New Roman" w:eastAsia="宋体" w:cs="Times New Roman"/>
                <w:b w:val="0"/>
                <w:bCs w:val="0"/>
                <w:color w:val="0000FC"/>
                <w:kern w:val="2"/>
                <w:sz w:val="24"/>
                <w:szCs w:val="24"/>
                <w:highlight w:val="none"/>
                <w:lang w:val="en-US" w:eastAsia="zh-CN" w:bidi="ar-SA"/>
              </w:rPr>
              <w:t>产采用外部电源，外接</w:t>
            </w:r>
            <w:r>
              <w:rPr>
                <w:rFonts w:hint="default" w:ascii="Times New Roman" w:hAnsi="Times New Roman" w:eastAsia="宋体" w:cs="Times New Roman"/>
                <w:b w:val="0"/>
                <w:bCs w:val="0"/>
                <w:color w:val="0000FC"/>
                <w:kern w:val="2"/>
                <w:sz w:val="24"/>
                <w:szCs w:val="24"/>
                <w:highlight w:val="none"/>
                <w:lang w:val="en-US" w:eastAsia="zh-CN" w:bidi="ar-SA"/>
              </w:rPr>
              <w:t>10kV</w:t>
            </w:r>
            <w:r>
              <w:rPr>
                <w:rFonts w:hint="eastAsia" w:ascii="Times New Roman" w:hAnsi="Times New Roman" w:eastAsia="宋体" w:cs="Times New Roman"/>
                <w:b w:val="0"/>
                <w:bCs w:val="0"/>
                <w:color w:val="0000FC"/>
                <w:kern w:val="2"/>
                <w:sz w:val="24"/>
                <w:szCs w:val="24"/>
                <w:highlight w:val="none"/>
                <w:lang w:val="en-US" w:eastAsia="zh-CN" w:bidi="ar-SA"/>
              </w:rPr>
              <w:t>输电线路，矿</w:t>
            </w:r>
            <w:r>
              <w:rPr>
                <w:rFonts w:hint="eastAsia" w:ascii="宋体" w:hAnsi="宋体" w:eastAsia="宋体" w:cs="宋体"/>
                <w:color w:val="0000FC"/>
                <w:kern w:val="0"/>
                <w:sz w:val="28"/>
                <w:szCs w:val="28"/>
                <w:lang w:val="en-US" w:eastAsia="zh-CN" w:bidi="ar"/>
              </w:rPr>
              <w:t>区附近有高压线路通过，区内电力充足；无需储备柴油发电机。</w:t>
            </w:r>
          </w:p>
          <w:p w14:paraId="5DBD27D1">
            <w:pPr>
              <w:rPr>
                <w:rFonts w:hint="eastAsia" w:cs="Times New Roman"/>
                <w:b w:val="0"/>
                <w:bCs w:val="0"/>
                <w:color w:val="0000FC"/>
                <w:sz w:val="24"/>
                <w:szCs w:val="24"/>
                <w:highlight w:val="none"/>
                <w:lang w:val="en-US" w:eastAsia="zh-CN"/>
              </w:rPr>
            </w:pPr>
            <w:r>
              <w:rPr>
                <w:rFonts w:hint="eastAsia" w:cs="Times New Roman"/>
                <w:b w:val="0"/>
                <w:bCs w:val="0"/>
                <w:color w:val="0000FC"/>
                <w:sz w:val="24"/>
                <w:szCs w:val="24"/>
                <w:highlight w:val="none"/>
                <w:lang w:val="en-US" w:eastAsia="zh-CN"/>
              </w:rPr>
              <w:t>（二）供水</w:t>
            </w:r>
          </w:p>
          <w:p w14:paraId="45998BBC">
            <w:pPr>
              <w:rPr>
                <w:rFonts w:hint="eastAsia" w:ascii="Times New Roman" w:hAnsi="Times New Roman" w:eastAsia="宋体" w:cs="Times New Roman"/>
                <w:b w:val="0"/>
                <w:bCs/>
                <w:color w:val="0000FC"/>
                <w:sz w:val="24"/>
                <w:szCs w:val="24"/>
                <w:vertAlign w:val="baseline"/>
                <w:lang w:val="en-US" w:eastAsia="zh-CN"/>
              </w:rPr>
            </w:pPr>
            <w:r>
              <w:rPr>
                <w:rFonts w:hint="eastAsia" w:ascii="Times New Roman" w:hAnsi="Times New Roman" w:eastAsia="宋体" w:cs="Times New Roman"/>
                <w:b w:val="0"/>
                <w:bCs/>
                <w:color w:val="0000FC"/>
                <w:sz w:val="24"/>
                <w:szCs w:val="24"/>
                <w:vertAlign w:val="baseline"/>
                <w:lang w:val="en-US" w:eastAsia="zh-CN"/>
              </w:rPr>
              <w:t>修建一小型蓄水池</w:t>
            </w:r>
            <w:r>
              <w:rPr>
                <w:rFonts w:hint="eastAsia" w:cs="Times New Roman"/>
                <w:b w:val="0"/>
                <w:bCs/>
                <w:color w:val="0000FC"/>
                <w:sz w:val="24"/>
                <w:szCs w:val="24"/>
                <w:vertAlign w:val="baseline"/>
                <w:lang w:val="en-US" w:eastAsia="zh-CN"/>
              </w:rPr>
              <w:t>（约50m</w:t>
            </w:r>
            <w:r>
              <w:rPr>
                <w:rFonts w:hint="eastAsia" w:cs="Times New Roman"/>
                <w:b w:val="0"/>
                <w:bCs/>
                <w:color w:val="0000FC"/>
                <w:sz w:val="24"/>
                <w:szCs w:val="24"/>
                <w:vertAlign w:val="superscript"/>
                <w:lang w:val="en-US" w:eastAsia="zh-CN"/>
              </w:rPr>
              <w:t>3</w:t>
            </w:r>
            <w:r>
              <w:rPr>
                <w:rFonts w:hint="eastAsia" w:cs="Times New Roman"/>
                <w:b w:val="0"/>
                <w:bCs/>
                <w:color w:val="0000FC"/>
                <w:sz w:val="24"/>
                <w:szCs w:val="24"/>
                <w:vertAlign w:val="baseline"/>
                <w:lang w:val="en-US" w:eastAsia="zh-CN"/>
              </w:rPr>
              <w:t>）</w:t>
            </w:r>
            <w:r>
              <w:rPr>
                <w:rFonts w:hint="eastAsia" w:ascii="Times New Roman" w:hAnsi="Times New Roman" w:eastAsia="宋体" w:cs="Times New Roman"/>
                <w:b w:val="0"/>
                <w:bCs/>
                <w:color w:val="0000FC"/>
                <w:sz w:val="24"/>
                <w:szCs w:val="24"/>
                <w:vertAlign w:val="baseline"/>
                <w:lang w:val="en-US" w:eastAsia="zh-CN"/>
              </w:rPr>
              <w:t>用于解决生产生活用水，可从矿区</w:t>
            </w:r>
            <w:r>
              <w:rPr>
                <w:rFonts w:hint="eastAsia" w:cs="Times New Roman"/>
                <w:b w:val="0"/>
                <w:bCs/>
                <w:color w:val="0000FC"/>
                <w:sz w:val="24"/>
                <w:szCs w:val="24"/>
                <w:vertAlign w:val="baseline"/>
                <w:lang w:val="en-US" w:eastAsia="zh-CN"/>
              </w:rPr>
              <w:t>下游河北乡赛塘村</w:t>
            </w:r>
            <w:r>
              <w:rPr>
                <w:rFonts w:hint="eastAsia" w:ascii="Times New Roman" w:hAnsi="Times New Roman" w:eastAsia="宋体" w:cs="Times New Roman"/>
                <w:b w:val="0"/>
                <w:bCs/>
                <w:color w:val="0000FC"/>
                <w:sz w:val="24"/>
                <w:szCs w:val="24"/>
                <w:vertAlign w:val="baseline"/>
                <w:lang w:val="en-US" w:eastAsia="zh-CN"/>
              </w:rPr>
              <w:t>拉运解决。</w:t>
            </w:r>
          </w:p>
          <w:p w14:paraId="793A3AE3">
            <w:pPr>
              <w:rPr>
                <w:rFonts w:hint="default" w:ascii="Times New Roman" w:hAnsi="Times New Roman" w:eastAsia="宋体" w:cs="Times New Roman"/>
                <w:b w:val="0"/>
                <w:bCs/>
                <w:color w:val="0000FC"/>
                <w:sz w:val="24"/>
                <w:szCs w:val="24"/>
                <w:vertAlign w:val="baseline"/>
                <w:lang w:val="en-US" w:eastAsia="zh-CN"/>
              </w:rPr>
            </w:pPr>
            <w:r>
              <w:rPr>
                <w:rFonts w:hint="eastAsia" w:ascii="Times New Roman" w:hAnsi="Times New Roman" w:eastAsia="宋体" w:cs="Times New Roman"/>
                <w:b w:val="0"/>
                <w:bCs/>
                <w:color w:val="0000FC"/>
                <w:sz w:val="24"/>
                <w:szCs w:val="24"/>
                <w:vertAlign w:val="baseline"/>
                <w:lang w:val="en-US" w:eastAsia="zh-CN"/>
              </w:rPr>
              <w:t>取水</w:t>
            </w:r>
            <w:r>
              <w:rPr>
                <w:rFonts w:hint="eastAsia" w:cs="Times New Roman"/>
                <w:b w:val="0"/>
                <w:bCs/>
                <w:color w:val="0000FC"/>
                <w:sz w:val="24"/>
                <w:szCs w:val="24"/>
                <w:vertAlign w:val="baseline"/>
                <w:lang w:val="en-US" w:eastAsia="zh-CN"/>
              </w:rPr>
              <w:t>拉运</w:t>
            </w:r>
            <w:r>
              <w:rPr>
                <w:rFonts w:hint="eastAsia" w:ascii="Times New Roman" w:hAnsi="Times New Roman" w:eastAsia="宋体" w:cs="Times New Roman"/>
                <w:b w:val="0"/>
                <w:bCs/>
                <w:color w:val="0000FC"/>
                <w:sz w:val="24"/>
                <w:szCs w:val="24"/>
                <w:vertAlign w:val="baseline"/>
                <w:lang w:val="en-US" w:eastAsia="zh-CN"/>
              </w:rPr>
              <w:t>可行性分析：因本项目周边10公里范围内无集中城镇或村庄，距离最近的村庄为西南侧20公里处的河北乡赛唐村，赛唐村是位于黄河北侧约3000处的一座村镇，西侧为赛琼沟，东侧为赛欠曲，两条河流水量充足最终</w:t>
            </w:r>
            <w:r>
              <w:rPr>
                <w:rFonts w:hint="eastAsia" w:cs="Times New Roman"/>
                <w:b w:val="0"/>
                <w:bCs/>
                <w:color w:val="0000FC"/>
                <w:sz w:val="24"/>
                <w:szCs w:val="24"/>
                <w:vertAlign w:val="baseline"/>
                <w:lang w:val="en-US" w:eastAsia="zh-CN"/>
              </w:rPr>
              <w:t>汇</w:t>
            </w:r>
            <w:r>
              <w:rPr>
                <w:rFonts w:hint="eastAsia" w:ascii="Times New Roman" w:hAnsi="Times New Roman" w:eastAsia="宋体" w:cs="Times New Roman"/>
                <w:b w:val="0"/>
                <w:bCs/>
                <w:color w:val="0000FC"/>
                <w:sz w:val="24"/>
                <w:szCs w:val="24"/>
                <w:vertAlign w:val="baseline"/>
                <w:lang w:val="en-US" w:eastAsia="zh-CN"/>
              </w:rPr>
              <w:t>入黄河，该村镇供水系统已建成。综合考虑，本项目拟在此处设定取水点，与当地村庄协议在村庄供水管网末端取水，定期将清水拉运至矿区，不会对上游村庄用户</w:t>
            </w:r>
            <w:r>
              <w:rPr>
                <w:rFonts w:hint="eastAsia" w:cs="Times New Roman"/>
                <w:b w:val="0"/>
                <w:bCs/>
                <w:color w:val="0000FC"/>
                <w:sz w:val="24"/>
                <w:szCs w:val="24"/>
                <w:vertAlign w:val="baseline"/>
                <w:lang w:val="en-US" w:eastAsia="zh-CN"/>
              </w:rPr>
              <w:t>及下游生态环境</w:t>
            </w:r>
            <w:r>
              <w:rPr>
                <w:rFonts w:hint="eastAsia" w:ascii="Times New Roman" w:hAnsi="Times New Roman" w:eastAsia="宋体" w:cs="Times New Roman"/>
                <w:b w:val="0"/>
                <w:bCs/>
                <w:color w:val="0000FC"/>
                <w:sz w:val="24"/>
                <w:szCs w:val="24"/>
                <w:vertAlign w:val="baseline"/>
                <w:lang w:val="en-US" w:eastAsia="zh-CN"/>
              </w:rPr>
              <w:t>产生影响。本项目用水量为2840.5m</w:t>
            </w:r>
            <w:r>
              <w:rPr>
                <w:rFonts w:hint="eastAsia" w:ascii="Times New Roman" w:hAnsi="Times New Roman" w:eastAsia="宋体" w:cs="Times New Roman"/>
                <w:b w:val="0"/>
                <w:bCs/>
                <w:color w:val="0000FC"/>
                <w:sz w:val="24"/>
                <w:szCs w:val="24"/>
                <w:vertAlign w:val="superscript"/>
                <w:lang w:val="en-US" w:eastAsia="zh-CN"/>
              </w:rPr>
              <w:t>3</w:t>
            </w:r>
            <w:r>
              <w:rPr>
                <w:rFonts w:hint="eastAsia" w:ascii="Times New Roman" w:hAnsi="Times New Roman" w:eastAsia="宋体" w:cs="Times New Roman"/>
                <w:b w:val="0"/>
                <w:bCs/>
                <w:color w:val="0000FC"/>
                <w:sz w:val="24"/>
                <w:szCs w:val="24"/>
                <w:vertAlign w:val="baseline"/>
                <w:lang w:val="en-US" w:eastAsia="zh-CN"/>
              </w:rPr>
              <w:t>/a，不属于高耗水行业，在该地取水不会对周边生态及居民造成较大的影响，因此，本项目取水可行。</w:t>
            </w:r>
          </w:p>
          <w:p w14:paraId="6AC8001E">
            <w:pPr>
              <w:ind w:left="0" w:leftChars="0" w:firstLine="0" w:firstLineChars="0"/>
              <w:rPr>
                <w:rFonts w:hint="eastAsia" w:cs="Times New Roman"/>
                <w:b w:val="0"/>
                <w:bCs w:val="0"/>
                <w:color w:val="FF0000"/>
                <w:sz w:val="24"/>
                <w:szCs w:val="24"/>
                <w:highlight w:val="none"/>
                <w:lang w:val="en-US" w:eastAsia="zh-CN"/>
              </w:rPr>
            </w:pPr>
          </w:p>
          <w:p w14:paraId="3F762880">
            <w:pPr>
              <w:rPr>
                <w:rFonts w:hint="default" w:cs="Times New Roman"/>
                <w:b w:val="0"/>
                <w:bCs w:val="0"/>
                <w:color w:val="FF0000"/>
                <w:sz w:val="24"/>
                <w:szCs w:val="24"/>
                <w:highlight w:val="none"/>
                <w:lang w:val="en-US" w:eastAsia="zh-CN"/>
              </w:rPr>
            </w:pPr>
          </w:p>
        </w:tc>
      </w:tr>
      <w:tr w14:paraId="13F69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14" w:hRule="atLeast"/>
          <w:jc w:val="center"/>
        </w:trPr>
        <w:tc>
          <w:tcPr>
            <w:tcW w:w="548" w:type="dxa"/>
            <w:noWrap w:val="0"/>
            <w:vAlign w:val="center"/>
          </w:tcPr>
          <w:p w14:paraId="0B3AF3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kern w:val="0"/>
                <w:szCs w:val="21"/>
              </w:rPr>
            </w:pPr>
            <w:r>
              <w:rPr>
                <w:rFonts w:hint="eastAsia" w:ascii="宋体" w:hAnsi="宋体" w:cs="宋体"/>
                <w:kern w:val="0"/>
                <w:szCs w:val="21"/>
              </w:rPr>
              <w:t>总平面及现场布置</w:t>
            </w:r>
          </w:p>
        </w:tc>
        <w:tc>
          <w:tcPr>
            <w:tcW w:w="8357" w:type="dxa"/>
            <w:noWrap w:val="0"/>
            <w:vAlign w:val="center"/>
          </w:tcPr>
          <w:p w14:paraId="0DA3D4F2">
            <w:pPr>
              <w:keepNext w:val="0"/>
              <w:keepLines w:val="0"/>
              <w:widowControl/>
              <w:suppressLineNumbers w:val="0"/>
              <w:jc w:val="left"/>
              <w:rPr>
                <w:rFonts w:hint="eastAsia" w:ascii="Times New Roman" w:hAnsi="Times New Roman" w:eastAsia="宋体" w:cs="Times New Roman"/>
                <w:b w:val="0"/>
                <w:bCs w:val="0"/>
                <w:color w:val="0000FC"/>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项目总体布置基于矿石运输、供电、供水、防洪等方面的因素综合考虑，并充分利用山势地形进行合理布置。本项目总平面主要包括：露天采场、生产加工区、成品堆料场、生活办公区、排土场等</w:t>
            </w:r>
            <w:r>
              <w:rPr>
                <w:rFonts w:hint="eastAsia" w:ascii="Times New Roman" w:hAnsi="Times New Roman" w:eastAsia="宋体" w:cs="Times New Roman"/>
                <w:b w:val="0"/>
                <w:bCs w:val="0"/>
                <w:color w:val="0000FC"/>
                <w:sz w:val="24"/>
                <w:szCs w:val="24"/>
                <w:highlight w:val="none"/>
                <w:lang w:val="en-US" w:eastAsia="zh-CN"/>
              </w:rPr>
              <w:t>。本项目总用地面积为</w:t>
            </w:r>
            <w:r>
              <w:rPr>
                <w:rFonts w:hint="default" w:ascii="Times New Roman" w:hAnsi="Times New Roman" w:eastAsia="宋体" w:cs="Times New Roman"/>
                <w:b w:val="0"/>
                <w:bCs w:val="0"/>
                <w:color w:val="0000FC"/>
                <w:sz w:val="24"/>
                <w:szCs w:val="24"/>
                <w:highlight w:val="none"/>
                <w:lang w:val="en-US" w:eastAsia="zh-CN"/>
              </w:rPr>
              <w:t>41.</w:t>
            </w:r>
            <w:r>
              <w:rPr>
                <w:rFonts w:hint="eastAsia" w:ascii="Times New Roman" w:hAnsi="Times New Roman" w:eastAsia="宋体" w:cs="Times New Roman"/>
                <w:b w:val="0"/>
                <w:bCs w:val="0"/>
                <w:color w:val="0000FC"/>
                <w:sz w:val="24"/>
                <w:szCs w:val="24"/>
                <w:highlight w:val="none"/>
                <w:lang w:val="en-US" w:eastAsia="zh-CN"/>
              </w:rPr>
              <w:t>8796</w:t>
            </w:r>
            <w:r>
              <w:rPr>
                <w:rFonts w:hint="default" w:ascii="Times New Roman" w:hAnsi="Times New Roman" w:eastAsia="宋体" w:cs="Times New Roman"/>
                <w:b w:val="0"/>
                <w:bCs w:val="0"/>
                <w:color w:val="0000FC"/>
                <w:sz w:val="24"/>
                <w:szCs w:val="24"/>
                <w:highlight w:val="none"/>
                <w:lang w:val="en-US" w:eastAsia="zh-CN"/>
              </w:rPr>
              <w:t>hm</w:t>
            </w:r>
            <w:r>
              <w:rPr>
                <w:rFonts w:hint="default" w:ascii="Times New Roman" w:hAnsi="Times New Roman" w:eastAsia="宋体" w:cs="Times New Roman"/>
                <w:b w:val="0"/>
                <w:bCs w:val="0"/>
                <w:color w:val="0000FC"/>
                <w:sz w:val="24"/>
                <w:szCs w:val="24"/>
                <w:highlight w:val="none"/>
                <w:vertAlign w:val="superscript"/>
                <w:lang w:val="en-US" w:eastAsia="zh-CN"/>
              </w:rPr>
              <w:t>2</w:t>
            </w:r>
            <w:r>
              <w:rPr>
                <w:rFonts w:hint="eastAsia" w:ascii="Times New Roman" w:hAnsi="Times New Roman" w:eastAsia="宋体" w:cs="Times New Roman"/>
                <w:b w:val="0"/>
                <w:bCs w:val="0"/>
                <w:color w:val="0000FC"/>
                <w:sz w:val="24"/>
                <w:szCs w:val="24"/>
                <w:highlight w:val="none"/>
                <w:lang w:val="en-US" w:eastAsia="zh-CN"/>
              </w:rPr>
              <w:t>（折合</w:t>
            </w:r>
            <w:r>
              <w:rPr>
                <w:rFonts w:hint="default" w:ascii="Times New Roman" w:hAnsi="Times New Roman" w:eastAsia="宋体" w:cs="Times New Roman"/>
                <w:b w:val="0"/>
                <w:bCs w:val="0"/>
                <w:color w:val="0000FC"/>
                <w:sz w:val="24"/>
                <w:szCs w:val="24"/>
                <w:highlight w:val="none"/>
                <w:lang w:val="en-US" w:eastAsia="zh-CN"/>
              </w:rPr>
              <w:t>628.</w:t>
            </w:r>
            <w:r>
              <w:rPr>
                <w:rFonts w:hint="eastAsia" w:ascii="Times New Roman" w:hAnsi="Times New Roman" w:eastAsia="宋体" w:cs="Times New Roman"/>
                <w:b w:val="0"/>
                <w:bCs w:val="0"/>
                <w:color w:val="0000FC"/>
                <w:sz w:val="24"/>
                <w:szCs w:val="24"/>
                <w:highlight w:val="none"/>
                <w:lang w:val="en-US" w:eastAsia="zh-CN"/>
              </w:rPr>
              <w:t>194亩），其中矿区面积31.88</w:t>
            </w:r>
            <w:r>
              <w:rPr>
                <w:rFonts w:hint="default" w:ascii="Times New Roman" w:hAnsi="Times New Roman" w:eastAsia="宋体" w:cs="Times New Roman"/>
                <w:b w:val="0"/>
                <w:bCs w:val="0"/>
                <w:color w:val="0000FC"/>
                <w:sz w:val="24"/>
                <w:szCs w:val="24"/>
                <w:highlight w:val="none"/>
                <w:lang w:val="en-US" w:eastAsia="zh-CN"/>
              </w:rPr>
              <w:t>hm</w:t>
            </w:r>
            <w:r>
              <w:rPr>
                <w:rFonts w:hint="default" w:ascii="Times New Roman" w:hAnsi="Times New Roman" w:eastAsia="宋体" w:cs="Times New Roman"/>
                <w:b w:val="0"/>
                <w:bCs w:val="0"/>
                <w:color w:val="0000FC"/>
                <w:sz w:val="24"/>
                <w:szCs w:val="24"/>
                <w:highlight w:val="none"/>
                <w:vertAlign w:val="superscript"/>
                <w:lang w:val="en-US" w:eastAsia="zh-CN"/>
              </w:rPr>
              <w:t>2</w:t>
            </w:r>
            <w:r>
              <w:rPr>
                <w:rFonts w:hint="eastAsia" w:ascii="Times New Roman" w:hAnsi="Times New Roman" w:eastAsia="宋体" w:cs="Times New Roman"/>
                <w:b w:val="0"/>
                <w:bCs w:val="0"/>
                <w:color w:val="0000FC"/>
                <w:sz w:val="24"/>
                <w:szCs w:val="24"/>
                <w:highlight w:val="none"/>
                <w:lang w:val="en-US" w:eastAsia="zh-CN"/>
              </w:rPr>
              <w:t>（折合</w:t>
            </w:r>
            <w:r>
              <w:rPr>
                <w:rFonts w:hint="default" w:ascii="Times New Roman" w:hAnsi="Times New Roman" w:eastAsia="宋体" w:cs="Times New Roman"/>
                <w:b w:val="0"/>
                <w:bCs w:val="0"/>
                <w:color w:val="0000FC"/>
                <w:sz w:val="24"/>
                <w:szCs w:val="24"/>
                <w:highlight w:val="none"/>
                <w:lang w:val="en-US" w:eastAsia="zh-CN"/>
              </w:rPr>
              <w:t>478.</w:t>
            </w:r>
            <w:r>
              <w:rPr>
                <w:rFonts w:hint="eastAsia" w:ascii="Times New Roman" w:hAnsi="Times New Roman" w:eastAsia="宋体" w:cs="Times New Roman"/>
                <w:b w:val="0"/>
                <w:bCs w:val="0"/>
                <w:color w:val="0000FC"/>
                <w:sz w:val="24"/>
                <w:szCs w:val="24"/>
                <w:highlight w:val="none"/>
                <w:lang w:val="en-US" w:eastAsia="zh-CN"/>
              </w:rPr>
              <w:t>2亩），本次征用的临时用地面积</w:t>
            </w:r>
            <w:r>
              <w:rPr>
                <w:rFonts w:hint="default" w:ascii="Times New Roman" w:hAnsi="Times New Roman" w:eastAsia="宋体" w:cs="Times New Roman"/>
                <w:b w:val="0"/>
                <w:bCs w:val="0"/>
                <w:color w:val="0000FC"/>
                <w:sz w:val="24"/>
                <w:szCs w:val="24"/>
                <w:highlight w:val="none"/>
                <w:lang w:val="en-US" w:eastAsia="zh-CN"/>
              </w:rPr>
              <w:t>9</w:t>
            </w:r>
            <w:r>
              <w:rPr>
                <w:rFonts w:hint="eastAsia" w:ascii="Times New Roman" w:hAnsi="Times New Roman" w:eastAsia="宋体" w:cs="Times New Roman"/>
                <w:b w:val="0"/>
                <w:bCs w:val="0"/>
                <w:color w:val="0000FC"/>
                <w:sz w:val="24"/>
                <w:szCs w:val="24"/>
                <w:highlight w:val="none"/>
                <w:lang w:val="en-US" w:eastAsia="zh-CN"/>
              </w:rPr>
              <w:t>.</w:t>
            </w:r>
            <w:r>
              <w:rPr>
                <w:rFonts w:hint="default" w:ascii="Times New Roman" w:hAnsi="Times New Roman" w:eastAsia="宋体" w:cs="Times New Roman"/>
                <w:b w:val="0"/>
                <w:bCs w:val="0"/>
                <w:color w:val="0000FC"/>
                <w:sz w:val="24"/>
                <w:szCs w:val="24"/>
                <w:highlight w:val="none"/>
                <w:lang w:val="en-US" w:eastAsia="zh-CN"/>
              </w:rPr>
              <w:t>9998hm</w:t>
            </w:r>
            <w:r>
              <w:rPr>
                <w:rFonts w:hint="default" w:ascii="Times New Roman" w:hAnsi="Times New Roman" w:eastAsia="宋体" w:cs="Times New Roman"/>
                <w:b w:val="0"/>
                <w:bCs w:val="0"/>
                <w:color w:val="0000FC"/>
                <w:sz w:val="24"/>
                <w:szCs w:val="24"/>
                <w:highlight w:val="none"/>
                <w:vertAlign w:val="superscript"/>
                <w:lang w:val="en-US" w:eastAsia="zh-CN"/>
              </w:rPr>
              <w:t>2</w:t>
            </w:r>
            <w:r>
              <w:rPr>
                <w:rFonts w:hint="eastAsia" w:ascii="Times New Roman" w:hAnsi="Times New Roman" w:eastAsia="宋体" w:cs="Times New Roman"/>
                <w:b w:val="0"/>
                <w:bCs w:val="0"/>
                <w:color w:val="0000FC"/>
                <w:sz w:val="24"/>
                <w:szCs w:val="24"/>
                <w:highlight w:val="none"/>
                <w:lang w:val="en-US" w:eastAsia="zh-CN"/>
              </w:rPr>
              <w:t>（折合</w:t>
            </w:r>
            <w:r>
              <w:rPr>
                <w:rFonts w:hint="default" w:ascii="Times New Roman" w:hAnsi="Times New Roman" w:eastAsia="宋体" w:cs="Times New Roman"/>
                <w:b w:val="0"/>
                <w:bCs w:val="0"/>
                <w:color w:val="0000FC"/>
                <w:sz w:val="24"/>
                <w:szCs w:val="24"/>
                <w:highlight w:val="none"/>
                <w:lang w:val="en-US" w:eastAsia="zh-CN"/>
              </w:rPr>
              <w:t>150.00</w:t>
            </w:r>
            <w:r>
              <w:rPr>
                <w:rFonts w:hint="eastAsia" w:ascii="Times New Roman" w:hAnsi="Times New Roman" w:eastAsia="宋体" w:cs="Times New Roman"/>
                <w:b w:val="0"/>
                <w:bCs w:val="0"/>
                <w:color w:val="0000FC"/>
                <w:sz w:val="24"/>
                <w:szCs w:val="24"/>
                <w:highlight w:val="none"/>
                <w:lang w:val="en-US" w:eastAsia="zh-CN"/>
              </w:rPr>
              <w:t>亩）。</w:t>
            </w:r>
          </w:p>
          <w:p w14:paraId="3B2916A5">
            <w:pPr>
              <w:keepNext w:val="0"/>
              <w:keepLines w:val="0"/>
              <w:pageBreakBefore w:val="0"/>
              <w:widowControl w:val="0"/>
              <w:suppressLineNumbers w:val="0"/>
              <w:kinsoku/>
              <w:wordWrap/>
              <w:overflowPunct/>
              <w:topLinePunct w:val="0"/>
              <w:autoSpaceDE/>
              <w:autoSpaceDN/>
              <w:bidi w:val="0"/>
              <w:jc w:val="left"/>
              <w:rPr>
                <w:rFonts w:hint="default" w:ascii="Times New Roman" w:hAnsi="Times New Roman" w:eastAsia="宋体" w:cs="Times New Roman"/>
                <w:b w:val="0"/>
                <w:bCs w:val="0"/>
                <w:color w:val="FF0000"/>
                <w:sz w:val="24"/>
                <w:szCs w:val="24"/>
                <w:highlight w:val="none"/>
                <w:lang w:val="en-US" w:eastAsia="zh-CN"/>
              </w:rPr>
            </w:pPr>
            <w:r>
              <w:rPr>
                <w:rFonts w:hint="eastAsia" w:cs="Times New Roman"/>
                <w:b w:val="0"/>
                <w:bCs w:val="0"/>
                <w:color w:val="FF0000"/>
                <w:sz w:val="24"/>
                <w:szCs w:val="24"/>
                <w:highlight w:val="none"/>
                <w:lang w:val="en-US" w:eastAsia="zh-CN"/>
              </w:rPr>
              <w:t>（一）露天采场</w:t>
            </w:r>
          </w:p>
          <w:p w14:paraId="00AB9112">
            <w:pPr>
              <w:keepNext w:val="0"/>
              <w:keepLines w:val="0"/>
              <w:pageBreakBefore w:val="0"/>
              <w:widowControl w:val="0"/>
              <w:suppressLineNumbers w:val="0"/>
              <w:kinsoku/>
              <w:wordWrap/>
              <w:overflowPunct/>
              <w:topLinePunct w:val="0"/>
              <w:autoSpaceDE/>
              <w:autoSpaceDN/>
              <w:bidi w:val="0"/>
              <w:jc w:val="left"/>
              <w:rPr>
                <w:rFonts w:hint="eastAsia"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本矿山矿区面积为</w:t>
            </w:r>
            <w:r>
              <w:rPr>
                <w:rFonts w:hint="default" w:ascii="Times New Roman" w:hAnsi="Times New Roman" w:eastAsia="宋体" w:cs="Times New Roman"/>
                <w:b w:val="0"/>
                <w:bCs w:val="0"/>
                <w:color w:val="FF0000"/>
                <w:sz w:val="24"/>
                <w:szCs w:val="24"/>
                <w:highlight w:val="none"/>
                <w:lang w:val="en-US" w:eastAsia="zh-CN"/>
              </w:rPr>
              <w:t>0.3188km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，实际开采面积（开采境界范围）</w:t>
            </w:r>
            <w:r>
              <w:rPr>
                <w:rFonts w:hint="default" w:ascii="Times New Roman" w:hAnsi="Times New Roman" w:eastAsia="宋体" w:cs="Times New Roman"/>
                <w:b w:val="0"/>
                <w:bCs w:val="0"/>
                <w:color w:val="FF0000"/>
                <w:sz w:val="24"/>
                <w:szCs w:val="24"/>
                <w:highlight w:val="none"/>
                <w:lang w:val="en-US" w:eastAsia="zh-CN"/>
              </w:rPr>
              <w:t>0.2175km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，采区位于矿山北部，现状下为坡地，地势</w:t>
            </w:r>
            <w:r>
              <w:rPr>
                <w:rFonts w:hint="eastAsia" w:cs="Times New Roman"/>
                <w:b w:val="0"/>
                <w:bCs w:val="0"/>
                <w:color w:val="FF0000"/>
                <w:sz w:val="24"/>
                <w:szCs w:val="24"/>
                <w:highlight w:val="none"/>
                <w:lang w:val="en-US" w:eastAsia="zh-CN"/>
              </w:rPr>
              <w:t>北高南低</w:t>
            </w:r>
            <w:r>
              <w:rPr>
                <w:rFonts w:hint="eastAsia" w:ascii="Times New Roman" w:hAnsi="Times New Roman" w:eastAsia="宋体" w:cs="Times New Roman"/>
                <w:b w:val="0"/>
                <w:bCs w:val="0"/>
                <w:color w:val="FF0000"/>
                <w:sz w:val="24"/>
                <w:szCs w:val="24"/>
                <w:highlight w:val="none"/>
                <w:lang w:val="en-US" w:eastAsia="zh-CN"/>
              </w:rPr>
              <w:t>，最高开采标高</w:t>
            </w:r>
            <w:r>
              <w:rPr>
                <w:rFonts w:hint="default" w:ascii="Times New Roman" w:hAnsi="Times New Roman" w:eastAsia="宋体" w:cs="Times New Roman"/>
                <w:b w:val="0"/>
                <w:bCs w:val="0"/>
                <w:color w:val="FF0000"/>
                <w:sz w:val="24"/>
                <w:szCs w:val="24"/>
                <w:highlight w:val="none"/>
                <w:lang w:val="en-US" w:eastAsia="zh-CN"/>
              </w:rPr>
              <w:t>+4049m</w:t>
            </w:r>
            <w:r>
              <w:rPr>
                <w:rFonts w:hint="eastAsia" w:ascii="Times New Roman" w:hAnsi="Times New Roman" w:eastAsia="宋体" w:cs="Times New Roman"/>
                <w:b w:val="0"/>
                <w:bCs w:val="0"/>
                <w:color w:val="FF0000"/>
                <w:sz w:val="24"/>
                <w:szCs w:val="24"/>
                <w:highlight w:val="none"/>
                <w:lang w:val="en-US" w:eastAsia="zh-CN"/>
              </w:rPr>
              <w:t>最低开采标高</w:t>
            </w:r>
            <w:r>
              <w:rPr>
                <w:rFonts w:hint="default" w:ascii="Times New Roman" w:hAnsi="Times New Roman" w:eastAsia="宋体" w:cs="Times New Roman"/>
                <w:b w:val="0"/>
                <w:bCs w:val="0"/>
                <w:color w:val="FF0000"/>
                <w:sz w:val="24"/>
                <w:szCs w:val="24"/>
                <w:highlight w:val="none"/>
                <w:lang w:val="en-US" w:eastAsia="zh-CN"/>
              </w:rPr>
              <w:t>+3900m</w:t>
            </w:r>
            <w:r>
              <w:rPr>
                <w:rFonts w:hint="eastAsia" w:ascii="Times New Roman" w:hAnsi="Times New Roman" w:eastAsia="宋体" w:cs="Times New Roman"/>
                <w:b w:val="0"/>
                <w:bCs w:val="0"/>
                <w:color w:val="FF0000"/>
                <w:sz w:val="24"/>
                <w:szCs w:val="24"/>
                <w:highlight w:val="none"/>
                <w:lang w:val="en-US" w:eastAsia="zh-CN"/>
              </w:rPr>
              <w:t>，最大开采深度</w:t>
            </w:r>
            <w:r>
              <w:rPr>
                <w:rFonts w:hint="default" w:ascii="Times New Roman" w:hAnsi="Times New Roman" w:eastAsia="宋体" w:cs="Times New Roman"/>
                <w:b w:val="0"/>
                <w:bCs w:val="0"/>
                <w:color w:val="FF0000"/>
                <w:sz w:val="24"/>
                <w:szCs w:val="24"/>
                <w:highlight w:val="none"/>
                <w:lang w:val="en-US" w:eastAsia="zh-CN"/>
              </w:rPr>
              <w:t>149m</w:t>
            </w:r>
            <w:r>
              <w:rPr>
                <w:rFonts w:hint="eastAsia" w:ascii="Times New Roman" w:hAnsi="Times New Roman" w:eastAsia="宋体" w:cs="Times New Roman"/>
                <w:b w:val="0"/>
                <w:bCs w:val="0"/>
                <w:color w:val="FF0000"/>
                <w:sz w:val="24"/>
                <w:szCs w:val="24"/>
                <w:highlight w:val="none"/>
                <w:lang w:val="en-US" w:eastAsia="zh-CN"/>
              </w:rPr>
              <w:t>。</w:t>
            </w:r>
          </w:p>
          <w:p w14:paraId="6AC44906">
            <w:pPr>
              <w:keepNext w:val="0"/>
              <w:keepLines w:val="0"/>
              <w:pageBreakBefore w:val="0"/>
              <w:widowControl w:val="0"/>
              <w:suppressLineNumbers w:val="0"/>
              <w:kinsoku/>
              <w:wordWrap/>
              <w:overflowPunct/>
              <w:topLinePunct w:val="0"/>
              <w:autoSpaceDE/>
              <w:autoSpaceDN/>
              <w:bidi w:val="0"/>
              <w:jc w:val="left"/>
              <w:rPr>
                <w:rFonts w:hint="eastAsia"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color w:val="FF0000"/>
                <w:spacing w:val="4"/>
                <w:sz w:val="24"/>
                <w:lang w:val="en-US" w:eastAsia="zh-CN"/>
              </w:rPr>
              <w:t>整个矿区内分为北部及东南部两个采区</w:t>
            </w:r>
            <w:r>
              <w:rPr>
                <w:rFonts w:hint="eastAsia" w:cs="Times New Roman"/>
                <w:color w:val="FF0000"/>
                <w:spacing w:val="4"/>
                <w:sz w:val="24"/>
                <w:lang w:val="en-US" w:eastAsia="zh-CN"/>
              </w:rPr>
              <w:t>同时作业</w:t>
            </w:r>
            <w:r>
              <w:rPr>
                <w:rFonts w:hint="eastAsia" w:ascii="Times New Roman" w:hAnsi="Times New Roman" w:eastAsia="宋体" w:cs="Times New Roman"/>
                <w:color w:val="FF0000"/>
                <w:spacing w:val="4"/>
                <w:sz w:val="24"/>
                <w:lang w:val="en-US" w:eastAsia="zh-CN"/>
              </w:rPr>
              <w:t>，北部采区由</w:t>
            </w:r>
            <w:r>
              <w:rPr>
                <w:rFonts w:hint="default" w:ascii="Times New Roman" w:hAnsi="Times New Roman" w:eastAsia="宋体" w:cs="Times New Roman"/>
                <w:color w:val="FF0000"/>
                <w:spacing w:val="4"/>
                <w:sz w:val="24"/>
                <w:lang w:val="en-US" w:eastAsia="zh-CN"/>
              </w:rPr>
              <w:t>+4035m</w:t>
            </w:r>
            <w:r>
              <w:rPr>
                <w:rFonts w:hint="eastAsia" w:ascii="Times New Roman" w:hAnsi="Times New Roman" w:eastAsia="宋体" w:cs="Times New Roman"/>
                <w:color w:val="FF0000"/>
                <w:spacing w:val="4"/>
                <w:sz w:val="24"/>
                <w:lang w:val="en-US" w:eastAsia="zh-CN"/>
              </w:rPr>
              <w:t>、</w:t>
            </w:r>
            <w:r>
              <w:rPr>
                <w:rFonts w:hint="default" w:ascii="Times New Roman" w:hAnsi="Times New Roman" w:eastAsia="宋体" w:cs="Times New Roman"/>
                <w:color w:val="FF0000"/>
                <w:spacing w:val="4"/>
                <w:sz w:val="24"/>
                <w:lang w:val="en-US" w:eastAsia="zh-CN"/>
              </w:rPr>
              <w:t>+4020m</w:t>
            </w:r>
            <w:r>
              <w:rPr>
                <w:rFonts w:hint="eastAsia" w:ascii="Times New Roman" w:hAnsi="Times New Roman" w:eastAsia="宋体" w:cs="Times New Roman"/>
                <w:color w:val="FF0000"/>
                <w:spacing w:val="4"/>
                <w:sz w:val="24"/>
                <w:lang w:val="en-US" w:eastAsia="zh-CN"/>
              </w:rPr>
              <w:t>、</w:t>
            </w:r>
            <w:r>
              <w:rPr>
                <w:rFonts w:hint="default" w:ascii="Times New Roman" w:hAnsi="Times New Roman" w:eastAsia="宋体" w:cs="Times New Roman"/>
                <w:color w:val="FF0000"/>
                <w:spacing w:val="4"/>
                <w:sz w:val="24"/>
                <w:lang w:val="en-US" w:eastAsia="zh-CN"/>
              </w:rPr>
              <w:t>+4005m</w:t>
            </w:r>
            <w:r>
              <w:rPr>
                <w:rFonts w:hint="eastAsia" w:ascii="Times New Roman" w:hAnsi="Times New Roman" w:eastAsia="宋体" w:cs="Times New Roman"/>
                <w:color w:val="FF0000"/>
                <w:spacing w:val="4"/>
                <w:sz w:val="24"/>
                <w:lang w:val="en-US" w:eastAsia="zh-CN"/>
              </w:rPr>
              <w:t>、</w:t>
            </w:r>
            <w:r>
              <w:rPr>
                <w:rFonts w:hint="default" w:ascii="Times New Roman" w:hAnsi="Times New Roman" w:eastAsia="宋体" w:cs="Times New Roman"/>
                <w:color w:val="FF0000"/>
                <w:spacing w:val="4"/>
                <w:sz w:val="24"/>
                <w:lang w:val="en-US" w:eastAsia="zh-CN"/>
              </w:rPr>
              <w:t>+3990m</w:t>
            </w:r>
            <w:r>
              <w:rPr>
                <w:rFonts w:hint="eastAsia" w:ascii="Times New Roman" w:hAnsi="Times New Roman" w:eastAsia="宋体" w:cs="Times New Roman"/>
                <w:color w:val="FF0000"/>
                <w:spacing w:val="4"/>
                <w:sz w:val="24"/>
                <w:lang w:val="en-US" w:eastAsia="zh-CN"/>
              </w:rPr>
              <w:t>、</w:t>
            </w:r>
            <w:r>
              <w:rPr>
                <w:rFonts w:hint="default" w:ascii="Times New Roman" w:hAnsi="Times New Roman" w:eastAsia="宋体" w:cs="Times New Roman"/>
                <w:color w:val="FF0000"/>
                <w:spacing w:val="4"/>
                <w:sz w:val="24"/>
                <w:lang w:val="en-US" w:eastAsia="zh-CN"/>
              </w:rPr>
              <w:t>+3975m</w:t>
            </w:r>
            <w:r>
              <w:rPr>
                <w:rFonts w:hint="eastAsia" w:ascii="Times New Roman" w:hAnsi="Times New Roman" w:eastAsia="宋体" w:cs="Times New Roman"/>
                <w:color w:val="FF0000"/>
                <w:spacing w:val="4"/>
                <w:sz w:val="24"/>
                <w:lang w:val="en-US" w:eastAsia="zh-CN"/>
              </w:rPr>
              <w:t>、</w:t>
            </w:r>
            <w:r>
              <w:rPr>
                <w:rFonts w:hint="default" w:ascii="Times New Roman" w:hAnsi="Times New Roman" w:eastAsia="宋体" w:cs="Times New Roman"/>
                <w:color w:val="FF0000"/>
                <w:spacing w:val="4"/>
                <w:sz w:val="24"/>
                <w:lang w:val="en-US" w:eastAsia="zh-CN"/>
              </w:rPr>
              <w:t>+3960m</w:t>
            </w:r>
            <w:r>
              <w:rPr>
                <w:rFonts w:hint="eastAsia" w:ascii="Times New Roman" w:hAnsi="Times New Roman" w:eastAsia="宋体" w:cs="Times New Roman"/>
                <w:color w:val="FF0000"/>
                <w:spacing w:val="4"/>
                <w:sz w:val="24"/>
                <w:lang w:val="en-US" w:eastAsia="zh-CN"/>
              </w:rPr>
              <w:t>、</w:t>
            </w:r>
            <w:r>
              <w:rPr>
                <w:rFonts w:hint="default" w:ascii="Times New Roman" w:hAnsi="Times New Roman" w:eastAsia="宋体" w:cs="Times New Roman"/>
                <w:color w:val="FF0000"/>
                <w:spacing w:val="4"/>
                <w:sz w:val="24"/>
                <w:lang w:val="en-US" w:eastAsia="zh-CN"/>
              </w:rPr>
              <w:t>+3945m</w:t>
            </w:r>
            <w:r>
              <w:rPr>
                <w:rFonts w:hint="eastAsia" w:ascii="Times New Roman" w:hAnsi="Times New Roman" w:eastAsia="宋体" w:cs="Times New Roman"/>
                <w:color w:val="FF0000"/>
                <w:spacing w:val="4"/>
                <w:sz w:val="24"/>
                <w:lang w:val="en-US" w:eastAsia="zh-CN"/>
              </w:rPr>
              <w:t>、</w:t>
            </w:r>
            <w:r>
              <w:rPr>
                <w:rFonts w:hint="default" w:ascii="Times New Roman" w:hAnsi="Times New Roman" w:eastAsia="宋体" w:cs="Times New Roman"/>
                <w:color w:val="FF0000"/>
                <w:spacing w:val="4"/>
                <w:sz w:val="24"/>
                <w:lang w:val="en-US" w:eastAsia="zh-CN"/>
              </w:rPr>
              <w:t>+3930m</w:t>
            </w:r>
            <w:r>
              <w:rPr>
                <w:rFonts w:hint="eastAsia" w:ascii="Times New Roman" w:hAnsi="Times New Roman" w:eastAsia="宋体" w:cs="Times New Roman"/>
                <w:color w:val="FF0000"/>
                <w:spacing w:val="4"/>
                <w:sz w:val="24"/>
                <w:lang w:val="en-US" w:eastAsia="zh-CN"/>
              </w:rPr>
              <w:t>、</w:t>
            </w:r>
            <w:r>
              <w:rPr>
                <w:rFonts w:hint="default" w:ascii="Times New Roman" w:hAnsi="Times New Roman" w:eastAsia="宋体" w:cs="Times New Roman"/>
                <w:color w:val="FF0000"/>
                <w:spacing w:val="4"/>
                <w:sz w:val="24"/>
                <w:lang w:val="en-US" w:eastAsia="zh-CN"/>
              </w:rPr>
              <w:t>+3915m</w:t>
            </w:r>
            <w:r>
              <w:rPr>
                <w:rFonts w:hint="eastAsia" w:ascii="Times New Roman" w:hAnsi="Times New Roman" w:eastAsia="宋体" w:cs="Times New Roman"/>
                <w:color w:val="FF0000"/>
                <w:spacing w:val="4"/>
                <w:sz w:val="24"/>
                <w:lang w:val="en-US" w:eastAsia="zh-CN"/>
              </w:rPr>
              <w:t>及</w:t>
            </w:r>
            <w:r>
              <w:rPr>
                <w:rFonts w:hint="default" w:ascii="Times New Roman" w:hAnsi="Times New Roman" w:eastAsia="宋体" w:cs="Times New Roman"/>
                <w:color w:val="FF0000"/>
                <w:spacing w:val="4"/>
                <w:sz w:val="24"/>
                <w:lang w:val="en-US" w:eastAsia="zh-CN"/>
              </w:rPr>
              <w:t>3900m</w:t>
            </w:r>
            <w:r>
              <w:rPr>
                <w:rFonts w:hint="eastAsia" w:ascii="Times New Roman" w:hAnsi="Times New Roman" w:eastAsia="宋体" w:cs="Times New Roman"/>
                <w:color w:val="FF0000"/>
                <w:spacing w:val="4"/>
                <w:sz w:val="24"/>
                <w:lang w:val="en-US" w:eastAsia="zh-CN"/>
              </w:rPr>
              <w:t>水平依次进行开采，东南部采区由</w:t>
            </w:r>
            <w:r>
              <w:rPr>
                <w:rFonts w:hint="default" w:ascii="Times New Roman" w:hAnsi="Times New Roman" w:eastAsia="宋体" w:cs="Times New Roman"/>
                <w:color w:val="FF0000"/>
                <w:spacing w:val="4"/>
                <w:sz w:val="24"/>
                <w:lang w:val="en-US" w:eastAsia="zh-CN"/>
              </w:rPr>
              <w:t>+3945m</w:t>
            </w:r>
            <w:r>
              <w:rPr>
                <w:rFonts w:hint="eastAsia" w:ascii="Times New Roman" w:hAnsi="Times New Roman" w:eastAsia="宋体" w:cs="Times New Roman"/>
                <w:color w:val="FF0000"/>
                <w:spacing w:val="4"/>
                <w:sz w:val="24"/>
                <w:lang w:val="en-US" w:eastAsia="zh-CN"/>
              </w:rPr>
              <w:t>、</w:t>
            </w:r>
            <w:r>
              <w:rPr>
                <w:rFonts w:hint="default" w:ascii="Times New Roman" w:hAnsi="Times New Roman" w:eastAsia="宋体" w:cs="Times New Roman"/>
                <w:color w:val="FF0000"/>
                <w:spacing w:val="4"/>
                <w:sz w:val="24"/>
                <w:lang w:val="en-US" w:eastAsia="zh-CN"/>
              </w:rPr>
              <w:t>+3930m</w:t>
            </w:r>
            <w:r>
              <w:rPr>
                <w:rFonts w:hint="eastAsia" w:ascii="Times New Roman" w:hAnsi="Times New Roman" w:eastAsia="宋体" w:cs="Times New Roman"/>
                <w:color w:val="FF0000"/>
                <w:spacing w:val="4"/>
                <w:sz w:val="24"/>
                <w:lang w:val="en-US" w:eastAsia="zh-CN"/>
              </w:rPr>
              <w:t>、</w:t>
            </w:r>
            <w:r>
              <w:rPr>
                <w:rFonts w:hint="default" w:ascii="Times New Roman" w:hAnsi="Times New Roman" w:eastAsia="宋体" w:cs="Times New Roman"/>
                <w:color w:val="FF0000"/>
                <w:spacing w:val="4"/>
                <w:sz w:val="24"/>
                <w:lang w:val="en-US" w:eastAsia="zh-CN"/>
              </w:rPr>
              <w:t>+3915m</w:t>
            </w:r>
            <w:r>
              <w:rPr>
                <w:rFonts w:hint="eastAsia" w:ascii="Times New Roman" w:hAnsi="Times New Roman" w:eastAsia="宋体" w:cs="Times New Roman"/>
                <w:color w:val="FF0000"/>
                <w:spacing w:val="4"/>
                <w:sz w:val="24"/>
                <w:lang w:val="en-US" w:eastAsia="zh-CN"/>
              </w:rPr>
              <w:t>及</w:t>
            </w:r>
            <w:r>
              <w:rPr>
                <w:rFonts w:hint="default" w:ascii="Times New Roman" w:hAnsi="Times New Roman" w:eastAsia="宋体" w:cs="Times New Roman"/>
                <w:color w:val="FF0000"/>
                <w:spacing w:val="4"/>
                <w:sz w:val="24"/>
                <w:lang w:val="en-US" w:eastAsia="zh-CN"/>
              </w:rPr>
              <w:t>3900m</w:t>
            </w:r>
            <w:r>
              <w:rPr>
                <w:rFonts w:hint="eastAsia" w:ascii="Times New Roman" w:hAnsi="Times New Roman" w:eastAsia="宋体" w:cs="Times New Roman"/>
                <w:color w:val="FF0000"/>
                <w:spacing w:val="4"/>
                <w:sz w:val="24"/>
                <w:lang w:val="en-US" w:eastAsia="zh-CN"/>
              </w:rPr>
              <w:t>水平依次进行开采</w:t>
            </w:r>
            <w:r>
              <w:rPr>
                <w:rFonts w:hint="eastAsia" w:cs="Times New Roman"/>
                <w:color w:val="FF0000"/>
                <w:spacing w:val="4"/>
                <w:sz w:val="24"/>
                <w:lang w:val="en-US" w:eastAsia="zh-CN"/>
              </w:rPr>
              <w:t>，</w:t>
            </w:r>
            <w:r>
              <w:rPr>
                <w:rFonts w:hint="eastAsia" w:ascii="Times New Roman" w:hAnsi="Times New Roman" w:eastAsia="宋体" w:cs="Times New Roman"/>
                <w:color w:val="FF0000"/>
                <w:spacing w:val="4"/>
                <w:sz w:val="24"/>
                <w:lang w:val="en-US" w:eastAsia="zh-CN"/>
              </w:rPr>
              <w:t>确定本矿山工作台阶坡面角为</w:t>
            </w:r>
            <w:r>
              <w:rPr>
                <w:rFonts w:hint="default" w:ascii="Times New Roman" w:hAnsi="Times New Roman" w:eastAsia="宋体" w:cs="Times New Roman"/>
                <w:color w:val="FF0000"/>
                <w:spacing w:val="4"/>
                <w:sz w:val="24"/>
                <w:lang w:val="en-US" w:eastAsia="zh-CN"/>
              </w:rPr>
              <w:t>50°</w:t>
            </w:r>
            <w:r>
              <w:rPr>
                <w:rFonts w:hint="eastAsia" w:ascii="Times New Roman" w:hAnsi="Times New Roman" w:eastAsia="宋体" w:cs="Times New Roman"/>
                <w:color w:val="FF0000"/>
                <w:spacing w:val="4"/>
                <w:sz w:val="24"/>
                <w:lang w:val="en-US" w:eastAsia="zh-CN"/>
              </w:rPr>
              <w:t>，最终帮坡角为</w:t>
            </w:r>
            <w:r>
              <w:rPr>
                <w:rFonts w:hint="default" w:ascii="Times New Roman" w:hAnsi="Times New Roman" w:eastAsia="宋体" w:cs="Times New Roman"/>
                <w:color w:val="FF0000"/>
                <w:spacing w:val="4"/>
                <w:sz w:val="24"/>
                <w:lang w:val="en-US" w:eastAsia="zh-CN"/>
              </w:rPr>
              <w:t>40°</w:t>
            </w:r>
            <w:r>
              <w:rPr>
                <w:rFonts w:hint="eastAsia" w:cs="Times New Roman"/>
                <w:color w:val="FF0000"/>
                <w:spacing w:val="4"/>
                <w:sz w:val="24"/>
                <w:lang w:val="en-US" w:eastAsia="zh-CN"/>
              </w:rPr>
              <w:t>。</w:t>
            </w:r>
          </w:p>
          <w:p w14:paraId="25A9E399">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（二）生产加工区</w:t>
            </w:r>
          </w:p>
          <w:p w14:paraId="1B6AE5B2">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cs="Times New Roman"/>
                <w:b w:val="0"/>
                <w:bCs/>
                <w:color w:val="FF0000"/>
                <w:sz w:val="24"/>
                <w:szCs w:val="24"/>
                <w:highlight w:val="none"/>
                <w:vertAlign w:val="baseline"/>
                <w:lang w:val="en-US" w:eastAsia="zh-CN"/>
              </w:rPr>
            </w:pPr>
            <w:r>
              <w:rPr>
                <w:rFonts w:hint="eastAsia" w:ascii="Times New Roman" w:hAnsi="Times New Roman" w:eastAsia="宋体" w:cs="Times New Roman"/>
                <w:b w:val="0"/>
                <w:bCs w:val="0"/>
                <w:color w:val="FF0000"/>
                <w:sz w:val="24"/>
                <w:szCs w:val="24"/>
                <w:highlight w:val="none"/>
                <w:lang w:val="en-US" w:eastAsia="zh-CN"/>
              </w:rPr>
              <w:t>生产加工区布设于矿区南部平缓地带，总占地面积约</w:t>
            </w:r>
            <w:r>
              <w:rPr>
                <w:rFonts w:hint="default" w:ascii="Times New Roman" w:hAnsi="Times New Roman" w:eastAsia="宋体" w:cs="Times New Roman"/>
                <w:b w:val="0"/>
                <w:bCs w:val="0"/>
                <w:color w:val="FF0000"/>
                <w:sz w:val="24"/>
                <w:szCs w:val="24"/>
                <w:highlight w:val="none"/>
                <w:lang w:val="en-US" w:eastAsia="zh-CN"/>
              </w:rPr>
              <w:t>18691m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w:t>
            </w:r>
            <w:r>
              <w:rPr>
                <w:rFonts w:hint="eastAsia" w:ascii="Times New Roman" w:hAnsi="Times New Roman" w:eastAsia="宋体" w:cs="Times New Roman"/>
                <w:b w:val="0"/>
                <w:bCs/>
                <w:color w:val="FF0000"/>
                <w:sz w:val="24"/>
                <w:szCs w:val="24"/>
                <w:highlight w:val="none"/>
                <w:vertAlign w:val="baseline"/>
                <w:lang w:val="en-US" w:eastAsia="zh-CN"/>
              </w:rPr>
              <w:t>设置</w:t>
            </w:r>
            <w:r>
              <w:rPr>
                <w:rFonts w:hint="eastAsia" w:cs="Times New Roman"/>
                <w:b w:val="0"/>
                <w:bCs/>
                <w:color w:val="FF0000"/>
                <w:sz w:val="24"/>
                <w:szCs w:val="24"/>
                <w:highlight w:val="none"/>
                <w:vertAlign w:val="baseline"/>
                <w:lang w:val="en-US" w:eastAsia="zh-CN"/>
              </w:rPr>
              <w:t>封闭式生产车间建筑面积2460</w:t>
            </w:r>
            <w:r>
              <w:rPr>
                <w:rFonts w:hint="default" w:ascii="Times New Roman" w:hAnsi="Times New Roman" w:eastAsia="宋体" w:cs="Times New Roman"/>
                <w:b w:val="0"/>
                <w:bCs/>
                <w:color w:val="FF0000"/>
                <w:sz w:val="24"/>
                <w:szCs w:val="24"/>
                <w:vertAlign w:val="baseline"/>
                <w:lang w:val="en-US" w:eastAsia="zh-CN"/>
              </w:rPr>
              <w:t>m</w:t>
            </w:r>
            <w:r>
              <w:rPr>
                <w:rFonts w:hint="default" w:ascii="Times New Roman" w:hAnsi="Times New Roman" w:eastAsia="宋体" w:cs="Times New Roman"/>
                <w:b w:val="0"/>
                <w:bCs/>
                <w:color w:val="FF0000"/>
                <w:sz w:val="24"/>
                <w:szCs w:val="24"/>
                <w:vertAlign w:val="superscript"/>
                <w:lang w:val="en-US" w:eastAsia="zh-CN"/>
              </w:rPr>
              <w:t>2</w:t>
            </w:r>
            <w:r>
              <w:rPr>
                <w:rFonts w:hint="eastAsia" w:cs="Times New Roman"/>
                <w:b w:val="0"/>
                <w:bCs/>
                <w:color w:val="FF0000"/>
                <w:sz w:val="24"/>
                <w:szCs w:val="24"/>
                <w:highlight w:val="none"/>
                <w:vertAlign w:val="baseline"/>
                <w:lang w:val="en-US" w:eastAsia="zh-CN"/>
              </w:rPr>
              <w:t>（长宽30m*82m），主要设置装卸原料、给料口、皮带输送等；封闭式破碎车间建筑面积360</w:t>
            </w:r>
            <w:r>
              <w:rPr>
                <w:rFonts w:hint="default" w:ascii="Times New Roman" w:hAnsi="Times New Roman" w:eastAsia="宋体" w:cs="Times New Roman"/>
                <w:b w:val="0"/>
                <w:bCs/>
                <w:color w:val="FF0000"/>
                <w:sz w:val="24"/>
                <w:szCs w:val="24"/>
                <w:vertAlign w:val="baseline"/>
                <w:lang w:val="en-US" w:eastAsia="zh-CN"/>
              </w:rPr>
              <w:t>m</w:t>
            </w:r>
            <w:r>
              <w:rPr>
                <w:rFonts w:hint="default" w:ascii="Times New Roman" w:hAnsi="Times New Roman" w:eastAsia="宋体" w:cs="Times New Roman"/>
                <w:b w:val="0"/>
                <w:bCs/>
                <w:color w:val="FF0000"/>
                <w:sz w:val="24"/>
                <w:szCs w:val="24"/>
                <w:vertAlign w:val="superscript"/>
                <w:lang w:val="en-US" w:eastAsia="zh-CN"/>
              </w:rPr>
              <w:t>2</w:t>
            </w:r>
            <w:r>
              <w:rPr>
                <w:rFonts w:hint="eastAsia" w:cs="Times New Roman"/>
                <w:b w:val="0"/>
                <w:bCs/>
                <w:color w:val="FF0000"/>
                <w:sz w:val="24"/>
                <w:szCs w:val="24"/>
                <w:highlight w:val="none"/>
                <w:vertAlign w:val="baseline"/>
                <w:lang w:val="en-US" w:eastAsia="zh-CN"/>
              </w:rPr>
              <w:t>（长宽15m*24m），安装粗破和细破等设备进行破碎；封闭式筛分车间建筑面积400</w:t>
            </w:r>
            <w:r>
              <w:rPr>
                <w:rFonts w:hint="default" w:ascii="Times New Roman" w:hAnsi="Times New Roman" w:eastAsia="宋体" w:cs="Times New Roman"/>
                <w:b w:val="0"/>
                <w:bCs/>
                <w:color w:val="FF0000"/>
                <w:sz w:val="24"/>
                <w:szCs w:val="24"/>
                <w:vertAlign w:val="baseline"/>
                <w:lang w:val="en-US" w:eastAsia="zh-CN"/>
              </w:rPr>
              <w:t>m</w:t>
            </w:r>
            <w:r>
              <w:rPr>
                <w:rFonts w:hint="default" w:ascii="Times New Roman" w:hAnsi="Times New Roman" w:eastAsia="宋体" w:cs="Times New Roman"/>
                <w:b w:val="0"/>
                <w:bCs/>
                <w:color w:val="FF0000"/>
                <w:sz w:val="24"/>
                <w:szCs w:val="24"/>
                <w:vertAlign w:val="superscript"/>
                <w:lang w:val="en-US" w:eastAsia="zh-CN"/>
              </w:rPr>
              <w:t>2</w:t>
            </w:r>
            <w:r>
              <w:rPr>
                <w:rFonts w:hint="eastAsia" w:cs="Times New Roman"/>
                <w:b w:val="0"/>
                <w:bCs/>
                <w:color w:val="FF0000"/>
                <w:sz w:val="24"/>
                <w:szCs w:val="24"/>
                <w:highlight w:val="none"/>
                <w:vertAlign w:val="baseline"/>
                <w:lang w:val="en-US" w:eastAsia="zh-CN"/>
              </w:rPr>
              <w:t>（长宽20m*20m），又名为中心料仓，筛分各物料后将成品运至成品堆场。</w:t>
            </w:r>
            <w:r>
              <w:rPr>
                <w:rFonts w:hint="eastAsia" w:ascii="Times New Roman" w:hAnsi="Times New Roman" w:eastAsia="宋体" w:cs="Times New Roman"/>
                <w:b w:val="0"/>
                <w:bCs w:val="0"/>
                <w:color w:val="FF0000"/>
                <w:sz w:val="24"/>
                <w:szCs w:val="24"/>
                <w:highlight w:val="none"/>
                <w:lang w:val="en-US" w:eastAsia="zh-CN"/>
              </w:rPr>
              <w:t>车间设置喷淋设施，喷淋降尘</w:t>
            </w:r>
            <w:r>
              <w:rPr>
                <w:rFonts w:hint="eastAsia" w:cs="Times New Roman"/>
                <w:b w:val="0"/>
                <w:bCs w:val="0"/>
                <w:color w:val="FF0000"/>
                <w:sz w:val="24"/>
                <w:szCs w:val="24"/>
                <w:highlight w:val="none"/>
                <w:lang w:val="en-US" w:eastAsia="zh-CN"/>
              </w:rPr>
              <w:t>。</w:t>
            </w:r>
          </w:p>
          <w:p w14:paraId="51761DB1">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（三）成品堆场</w:t>
            </w:r>
          </w:p>
          <w:p w14:paraId="0E240B9D">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成品堆场设于矿区南侧地势平缓处，</w:t>
            </w:r>
            <w:r>
              <w:rPr>
                <w:rFonts w:hint="eastAsia" w:cs="Times New Roman"/>
                <w:b w:val="0"/>
                <w:bCs w:val="0"/>
                <w:color w:val="FF0000"/>
                <w:sz w:val="24"/>
                <w:szCs w:val="24"/>
                <w:highlight w:val="none"/>
                <w:lang w:val="en-US" w:eastAsia="zh-CN"/>
              </w:rPr>
              <w:t>紧邻</w:t>
            </w:r>
            <w:r>
              <w:rPr>
                <w:rFonts w:hint="eastAsia" w:ascii="Times New Roman" w:hAnsi="Times New Roman" w:eastAsia="宋体" w:cs="Times New Roman"/>
                <w:b w:val="0"/>
                <w:bCs w:val="0"/>
                <w:color w:val="FF0000"/>
                <w:sz w:val="24"/>
                <w:szCs w:val="24"/>
                <w:highlight w:val="none"/>
                <w:lang w:val="en-US" w:eastAsia="zh-CN"/>
              </w:rPr>
              <w:t>矿山生产加工区南侧，占地面积约</w:t>
            </w:r>
            <w:r>
              <w:rPr>
                <w:rFonts w:hint="default" w:ascii="Times New Roman" w:hAnsi="Times New Roman" w:eastAsia="宋体" w:cs="Times New Roman"/>
                <w:b w:val="0"/>
                <w:bCs w:val="0"/>
                <w:color w:val="FF0000"/>
                <w:sz w:val="24"/>
                <w:szCs w:val="24"/>
                <w:highlight w:val="none"/>
                <w:lang w:val="en-US" w:eastAsia="zh-CN"/>
              </w:rPr>
              <w:t>21066m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，主要为成品矿石堆放场地。主要为成品矿石堆放场地，设置</w:t>
            </w:r>
            <w:r>
              <w:rPr>
                <w:rFonts w:hint="eastAsia" w:cs="Times New Roman"/>
                <w:b w:val="0"/>
                <w:bCs w:val="0"/>
                <w:color w:val="FF0000"/>
                <w:sz w:val="24"/>
                <w:szCs w:val="24"/>
                <w:highlight w:val="none"/>
                <w:lang w:val="en-US" w:eastAsia="zh-CN"/>
              </w:rPr>
              <w:t>封闭车间</w:t>
            </w:r>
            <w:r>
              <w:rPr>
                <w:rFonts w:hint="eastAsia" w:ascii="Times New Roman" w:hAnsi="Times New Roman" w:eastAsia="宋体" w:cs="Times New Roman"/>
                <w:b w:val="0"/>
                <w:bCs w:val="0"/>
                <w:color w:val="FF0000"/>
                <w:sz w:val="24"/>
                <w:szCs w:val="24"/>
                <w:highlight w:val="none"/>
                <w:lang w:val="en-US" w:eastAsia="zh-CN"/>
              </w:rPr>
              <w:t>，车间建筑面积为（长宽高30m*25m*4m）750m</w:t>
            </w:r>
            <w:r>
              <w:rPr>
                <w:rFonts w:hint="eastAsia"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，车间设置喷淋设施，喷淋降尘</w:t>
            </w:r>
            <w:r>
              <w:rPr>
                <w:rFonts w:hint="eastAsia" w:cs="Times New Roman"/>
                <w:b w:val="0"/>
                <w:bCs w:val="0"/>
                <w:color w:val="FF0000"/>
                <w:sz w:val="24"/>
                <w:szCs w:val="24"/>
                <w:highlight w:val="none"/>
                <w:lang w:val="en-US" w:eastAsia="zh-CN"/>
              </w:rPr>
              <w:t>。</w:t>
            </w:r>
          </w:p>
          <w:p w14:paraId="3E948BCB">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（四）办公生活区</w:t>
            </w:r>
          </w:p>
          <w:p w14:paraId="5F6A1901">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生活办公区设于矿区外围生产加工区北侧地势平缓处，占地面积约</w:t>
            </w:r>
            <w:r>
              <w:rPr>
                <w:rFonts w:hint="default" w:ascii="Times New Roman" w:hAnsi="Times New Roman" w:eastAsia="宋体" w:cs="Times New Roman"/>
                <w:b w:val="0"/>
                <w:bCs w:val="0"/>
                <w:color w:val="FF0000"/>
                <w:sz w:val="24"/>
                <w:szCs w:val="24"/>
                <w:highlight w:val="none"/>
                <w:lang w:val="en-US" w:eastAsia="zh-CN"/>
              </w:rPr>
              <w:t>2171m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，主要为矿山职工食宿、停车与办公场地，同时单独设置一间危险废物贮存库</w:t>
            </w:r>
            <w:r>
              <w:rPr>
                <w:rFonts w:hint="eastAsia" w:cs="Times New Roman"/>
                <w:b w:val="0"/>
                <w:bCs w:val="0"/>
                <w:color w:val="FF0000"/>
                <w:sz w:val="24"/>
                <w:szCs w:val="24"/>
                <w:highlight w:val="none"/>
                <w:lang w:val="en-US" w:eastAsia="zh-CN"/>
              </w:rPr>
              <w:t>（建筑面积约10m</w:t>
            </w:r>
            <w:r>
              <w:rPr>
                <w:rFonts w:hint="eastAsia" w:cs="Times New Roman"/>
                <w:b w:val="0"/>
                <w:bCs w:val="0"/>
                <w:color w:val="FF0000"/>
                <w:sz w:val="24"/>
                <w:szCs w:val="24"/>
                <w:highlight w:val="none"/>
                <w:vertAlign w:val="superscript"/>
                <w:lang w:val="en-US" w:eastAsia="zh-CN"/>
              </w:rPr>
              <w:t>2</w:t>
            </w:r>
            <w:r>
              <w:rPr>
                <w:rFonts w:hint="eastAsia" w:cs="Times New Roman"/>
                <w:b w:val="0"/>
                <w:bCs w:val="0"/>
                <w:color w:val="FF0000"/>
                <w:sz w:val="24"/>
                <w:szCs w:val="24"/>
                <w:highlight w:val="none"/>
                <w:lang w:val="en-US" w:eastAsia="zh-CN"/>
              </w:rPr>
              <w:t>）</w:t>
            </w:r>
            <w:r>
              <w:rPr>
                <w:rFonts w:hint="eastAsia" w:ascii="Times New Roman" w:hAnsi="Times New Roman" w:eastAsia="宋体" w:cs="Times New Roman"/>
                <w:b w:val="0"/>
                <w:bCs w:val="0"/>
                <w:color w:val="FF0000"/>
                <w:sz w:val="24"/>
                <w:szCs w:val="24"/>
                <w:highlight w:val="none"/>
                <w:lang w:val="en-US" w:eastAsia="zh-CN"/>
              </w:rPr>
              <w:t>用于暂存废机油</w:t>
            </w:r>
            <w:r>
              <w:rPr>
                <w:rFonts w:hint="eastAsia" w:cs="Times New Roman"/>
                <w:b w:val="0"/>
                <w:bCs w:val="0"/>
                <w:color w:val="FF0000"/>
                <w:sz w:val="24"/>
                <w:szCs w:val="24"/>
                <w:highlight w:val="none"/>
                <w:lang w:val="en-US" w:eastAsia="zh-CN"/>
              </w:rPr>
              <w:t>等危险废物</w:t>
            </w:r>
            <w:r>
              <w:rPr>
                <w:rFonts w:hint="eastAsia" w:ascii="Times New Roman" w:hAnsi="Times New Roman" w:eastAsia="宋体" w:cs="Times New Roman"/>
                <w:b w:val="0"/>
                <w:bCs w:val="0"/>
                <w:color w:val="FF0000"/>
                <w:sz w:val="24"/>
                <w:szCs w:val="24"/>
                <w:highlight w:val="none"/>
                <w:lang w:val="en-US" w:eastAsia="zh-CN"/>
              </w:rPr>
              <w:t>。</w:t>
            </w:r>
          </w:p>
          <w:p w14:paraId="4C4B527E">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（五）排土场</w:t>
            </w:r>
          </w:p>
          <w:p w14:paraId="193E6170">
            <w:pPr>
              <w:keepNext w:val="0"/>
              <w:keepLines w:val="0"/>
              <w:widowControl/>
              <w:suppressLineNumbers w:val="0"/>
              <w:jc w:val="left"/>
              <w:rPr>
                <w:rFonts w:hint="default" w:ascii="Times New Roman" w:hAnsi="Times New Roman" w:eastAsia="宋体" w:cs="Times New Roman"/>
                <w:b w:val="0"/>
                <w:bCs w:val="0"/>
                <w:color w:val="0000FC"/>
                <w:sz w:val="24"/>
                <w:szCs w:val="24"/>
                <w:highlight w:val="none"/>
                <w:lang w:val="en-US" w:eastAsia="zh-CN"/>
              </w:rPr>
            </w:pPr>
            <w:r>
              <w:rPr>
                <w:rFonts w:hint="eastAsia" w:cs="Times New Roman"/>
                <w:b w:val="0"/>
                <w:bCs w:val="0"/>
                <w:color w:val="0000FC"/>
                <w:sz w:val="24"/>
                <w:szCs w:val="24"/>
                <w:highlight w:val="none"/>
                <w:lang w:val="en-US" w:eastAsia="zh-CN"/>
              </w:rPr>
              <w:t>（1）排土场的选址可行性分析</w:t>
            </w:r>
          </w:p>
          <w:p w14:paraId="2AC0B543">
            <w:pPr>
              <w:keepNext w:val="0"/>
              <w:keepLines w:val="0"/>
              <w:widowControl/>
              <w:suppressLineNumbers w:val="0"/>
              <w:jc w:val="left"/>
              <w:rPr>
                <w:rFonts w:hint="eastAsia" w:cs="Times New Roman"/>
                <w:b w:val="0"/>
                <w:bCs w:val="0"/>
                <w:color w:val="0000FC"/>
                <w:sz w:val="24"/>
                <w:szCs w:val="24"/>
                <w:highlight w:val="none"/>
                <w:lang w:val="en-US" w:eastAsia="zh-CN"/>
              </w:rPr>
            </w:pPr>
            <w:r>
              <w:rPr>
                <w:rFonts w:hint="eastAsia" w:ascii="Times New Roman" w:hAnsi="Times New Roman" w:eastAsia="宋体" w:cs="Times New Roman"/>
                <w:b w:val="0"/>
                <w:bCs w:val="0"/>
                <w:color w:val="0000FC"/>
                <w:sz w:val="24"/>
                <w:szCs w:val="24"/>
                <w:highlight w:val="none"/>
                <w:lang w:val="en-US" w:eastAsia="zh-CN"/>
              </w:rPr>
              <w:t>在矿区西侧及东侧</w:t>
            </w:r>
            <w:r>
              <w:rPr>
                <w:rFonts w:hint="eastAsia" w:cs="Times New Roman"/>
                <w:b w:val="0"/>
                <w:bCs w:val="0"/>
                <w:color w:val="0000FC"/>
                <w:sz w:val="24"/>
                <w:szCs w:val="24"/>
                <w:highlight w:val="none"/>
                <w:lang w:val="en-US" w:eastAsia="zh-CN"/>
              </w:rPr>
              <w:t>山谷处地势低洼处</w:t>
            </w:r>
            <w:r>
              <w:rPr>
                <w:rFonts w:hint="eastAsia" w:ascii="Times New Roman" w:hAnsi="Times New Roman" w:eastAsia="宋体" w:cs="Times New Roman"/>
                <w:b w:val="0"/>
                <w:bCs w:val="0"/>
                <w:color w:val="0000FC"/>
                <w:sz w:val="24"/>
                <w:szCs w:val="24"/>
                <w:highlight w:val="none"/>
                <w:lang w:val="en-US" w:eastAsia="zh-CN"/>
              </w:rPr>
              <w:t>各布设</w:t>
            </w:r>
            <w:r>
              <w:rPr>
                <w:rFonts w:hint="eastAsia" w:cs="Times New Roman"/>
                <w:b w:val="0"/>
                <w:bCs w:val="0"/>
                <w:color w:val="0000FC"/>
                <w:sz w:val="24"/>
                <w:szCs w:val="24"/>
                <w:highlight w:val="none"/>
                <w:lang w:val="en-US" w:eastAsia="zh-CN"/>
              </w:rPr>
              <w:t>一</w:t>
            </w:r>
            <w:r>
              <w:rPr>
                <w:rFonts w:hint="eastAsia" w:ascii="Times New Roman" w:hAnsi="Times New Roman" w:eastAsia="宋体" w:cs="Times New Roman"/>
                <w:b w:val="0"/>
                <w:bCs w:val="0"/>
                <w:color w:val="0000FC"/>
                <w:sz w:val="24"/>
                <w:szCs w:val="24"/>
                <w:highlight w:val="none"/>
                <w:lang w:val="en-US" w:eastAsia="zh-CN"/>
              </w:rPr>
              <w:t>排土场，</w:t>
            </w:r>
            <w:r>
              <w:rPr>
                <w:rFonts w:hint="eastAsia" w:cs="Times New Roman"/>
                <w:b w:val="0"/>
                <w:bCs w:val="0"/>
                <w:color w:val="0000FC"/>
                <w:sz w:val="24"/>
                <w:szCs w:val="24"/>
                <w:highlight w:val="none"/>
                <w:lang w:val="en-US" w:eastAsia="zh-CN"/>
              </w:rPr>
              <w:t>山谷处地势较低，地形平缓，地质条件较好。该西侧排土场西侧季节性沟谷从项目区西北侧1公里处的山脉山脊处汇流而下，汇水面积约为94hm</w:t>
            </w:r>
            <w:r>
              <w:rPr>
                <w:rFonts w:hint="eastAsia" w:cs="Times New Roman"/>
                <w:b w:val="0"/>
                <w:bCs w:val="0"/>
                <w:color w:val="0000FC"/>
                <w:sz w:val="24"/>
                <w:szCs w:val="24"/>
                <w:highlight w:val="none"/>
                <w:vertAlign w:val="superscript"/>
                <w:lang w:val="en-US" w:eastAsia="zh-CN"/>
              </w:rPr>
              <w:t>2</w:t>
            </w:r>
            <w:r>
              <w:rPr>
                <w:rFonts w:hint="eastAsia" w:cs="Times New Roman"/>
                <w:b w:val="0"/>
                <w:bCs w:val="0"/>
                <w:color w:val="0000FC"/>
                <w:sz w:val="24"/>
                <w:szCs w:val="24"/>
                <w:highlight w:val="none"/>
                <w:lang w:val="en-US" w:eastAsia="zh-CN"/>
              </w:rPr>
              <w:t>，可将短期洪流引入此山沟流出区外排土场上部修筑截水沟，将雨水引出场外。东侧排土场东侧季节性沟谷从项目区东北侧2公里处的山脉山脊处汇流而下，汇水面积约为216hm</w:t>
            </w:r>
            <w:r>
              <w:rPr>
                <w:rFonts w:hint="eastAsia" w:cs="Times New Roman"/>
                <w:b w:val="0"/>
                <w:bCs w:val="0"/>
                <w:color w:val="0000FC"/>
                <w:sz w:val="24"/>
                <w:szCs w:val="24"/>
                <w:highlight w:val="none"/>
                <w:vertAlign w:val="superscript"/>
                <w:lang w:val="en-US" w:eastAsia="zh-CN"/>
              </w:rPr>
              <w:t>2</w:t>
            </w:r>
            <w:r>
              <w:rPr>
                <w:rFonts w:hint="eastAsia" w:cs="Times New Roman"/>
                <w:b w:val="0"/>
                <w:bCs w:val="0"/>
                <w:color w:val="0000FC"/>
                <w:sz w:val="24"/>
                <w:szCs w:val="24"/>
                <w:highlight w:val="none"/>
                <w:vertAlign w:val="baseline"/>
                <w:lang w:val="en-US" w:eastAsia="zh-CN"/>
              </w:rPr>
              <w:t>，</w:t>
            </w:r>
            <w:r>
              <w:rPr>
                <w:rFonts w:hint="eastAsia" w:cs="Times New Roman"/>
                <w:b w:val="0"/>
                <w:bCs w:val="0"/>
                <w:color w:val="0000FC"/>
                <w:sz w:val="24"/>
                <w:szCs w:val="24"/>
                <w:highlight w:val="none"/>
                <w:lang w:val="en-US" w:eastAsia="zh-CN"/>
              </w:rPr>
              <w:t>可将短期洪流引入此山沟流出，排土场上部修筑截水沟，将雨水引出场外，避免大量降水汇集，确保排水通畅，预防排土场灾害发生。根据现场调查，矿区西侧</w:t>
            </w:r>
            <w:r>
              <w:rPr>
                <w:rFonts w:hint="eastAsia" w:ascii="Times New Roman" w:hAnsi="Times New Roman" w:eastAsia="宋体" w:cs="Times New Roman"/>
                <w:b w:val="0"/>
                <w:bCs w:val="0"/>
                <w:color w:val="0000FC"/>
                <w:sz w:val="24"/>
                <w:szCs w:val="24"/>
                <w:highlight w:val="none"/>
                <w:lang w:val="en-US" w:eastAsia="zh-CN"/>
              </w:rPr>
              <w:t>表层砂岩风化层</w:t>
            </w:r>
            <w:r>
              <w:rPr>
                <w:rFonts w:hint="eastAsia" w:cs="Times New Roman"/>
                <w:b w:val="0"/>
                <w:bCs w:val="0"/>
                <w:color w:val="0000FC"/>
                <w:sz w:val="24"/>
                <w:szCs w:val="24"/>
                <w:highlight w:val="none"/>
                <w:lang w:val="en-US" w:eastAsia="zh-CN"/>
              </w:rPr>
              <w:t>较多，东侧主要粉土及腐殖质土较多，矿山建设时将产生的表土及废石分区运至各自较近的排土场</w:t>
            </w:r>
            <w:r>
              <w:rPr>
                <w:rFonts w:hint="eastAsia" w:ascii="Times New Roman" w:hAnsi="Times New Roman" w:eastAsia="宋体" w:cs="Times New Roman"/>
                <w:b w:val="0"/>
                <w:bCs w:val="0"/>
                <w:color w:val="0000FC"/>
                <w:sz w:val="24"/>
                <w:szCs w:val="24"/>
                <w:highlight w:val="none"/>
                <w:lang w:val="en-US" w:eastAsia="zh-CN"/>
              </w:rPr>
              <w:t>。</w:t>
            </w:r>
            <w:r>
              <w:rPr>
                <w:rFonts w:hint="eastAsia" w:cs="Times New Roman"/>
                <w:b w:val="0"/>
                <w:bCs w:val="0"/>
                <w:color w:val="0000FC"/>
                <w:sz w:val="24"/>
                <w:szCs w:val="24"/>
                <w:highlight w:val="none"/>
                <w:lang w:val="en-US" w:eastAsia="zh-CN"/>
              </w:rPr>
              <w:t>采取分区堆存的方式，便于后期废石填坑和表土回覆，若采用一个排土场则，排土场面积过大，也不便于废石和表土运输。</w:t>
            </w:r>
            <w:r>
              <w:rPr>
                <w:rFonts w:hint="eastAsia" w:ascii="Times New Roman" w:hAnsi="Times New Roman" w:eastAsia="宋体" w:cs="Times New Roman"/>
                <w:b w:val="0"/>
                <w:bCs w:val="0"/>
                <w:color w:val="0000FC"/>
                <w:sz w:val="24"/>
                <w:szCs w:val="24"/>
                <w:highlight w:val="none"/>
                <w:lang w:val="en-US" w:eastAsia="zh-CN"/>
              </w:rPr>
              <w:t>采场</w:t>
            </w:r>
            <w:r>
              <w:rPr>
                <w:rFonts w:hint="eastAsia" w:cs="Times New Roman"/>
                <w:b w:val="0"/>
                <w:bCs w:val="0"/>
                <w:color w:val="0000FC"/>
                <w:sz w:val="24"/>
                <w:szCs w:val="24"/>
                <w:highlight w:val="none"/>
                <w:lang w:val="en-US" w:eastAsia="zh-CN"/>
              </w:rPr>
              <w:t>外侧</w:t>
            </w:r>
            <w:r>
              <w:rPr>
                <w:rFonts w:hint="eastAsia" w:ascii="Times New Roman" w:hAnsi="Times New Roman" w:eastAsia="宋体" w:cs="Times New Roman"/>
                <w:b w:val="0"/>
                <w:bCs w:val="0"/>
                <w:color w:val="0000FC"/>
                <w:sz w:val="24"/>
                <w:szCs w:val="24"/>
                <w:highlight w:val="none"/>
                <w:lang w:val="en-US" w:eastAsia="zh-CN"/>
              </w:rPr>
              <w:t>与</w:t>
            </w:r>
            <w:r>
              <w:rPr>
                <w:rFonts w:hint="eastAsia" w:cs="Times New Roman"/>
                <w:b w:val="0"/>
                <w:bCs w:val="0"/>
                <w:color w:val="0000FC"/>
                <w:sz w:val="24"/>
                <w:szCs w:val="24"/>
                <w:highlight w:val="none"/>
                <w:lang w:val="en-US" w:eastAsia="zh-CN"/>
              </w:rPr>
              <w:t>两处</w:t>
            </w:r>
            <w:r>
              <w:rPr>
                <w:rFonts w:hint="eastAsia" w:ascii="Times New Roman" w:hAnsi="Times New Roman" w:eastAsia="宋体" w:cs="Times New Roman"/>
                <w:b w:val="0"/>
                <w:bCs w:val="0"/>
                <w:color w:val="0000FC"/>
                <w:sz w:val="24"/>
                <w:szCs w:val="24"/>
                <w:highlight w:val="none"/>
                <w:lang w:val="en-US" w:eastAsia="zh-CN"/>
              </w:rPr>
              <w:t>排土场有</w:t>
            </w:r>
            <w:r>
              <w:rPr>
                <w:rFonts w:hint="eastAsia" w:cs="Times New Roman"/>
                <w:b w:val="0"/>
                <w:bCs w:val="0"/>
                <w:color w:val="0000FC"/>
                <w:sz w:val="24"/>
                <w:szCs w:val="24"/>
                <w:highlight w:val="none"/>
                <w:lang w:val="en-US" w:eastAsia="zh-CN"/>
              </w:rPr>
              <w:t>便道相通，可方便废石和表土的堆存和及时综合利用。综上所述，排土场选址可行。</w:t>
            </w:r>
          </w:p>
          <w:p w14:paraId="5AFD7263">
            <w:pPr>
              <w:keepNext w:val="0"/>
              <w:keepLines w:val="0"/>
              <w:widowControl/>
              <w:suppressLineNumbers w:val="0"/>
              <w:jc w:val="left"/>
              <w:rPr>
                <w:rFonts w:hint="default" w:cs="Times New Roman"/>
                <w:b w:val="0"/>
                <w:bCs w:val="0"/>
                <w:color w:val="0000FC"/>
                <w:sz w:val="24"/>
                <w:szCs w:val="24"/>
                <w:highlight w:val="none"/>
                <w:lang w:val="en-US" w:eastAsia="zh-CN"/>
              </w:rPr>
            </w:pPr>
            <w:r>
              <w:rPr>
                <w:rFonts w:hint="eastAsia" w:cs="Times New Roman"/>
                <w:b w:val="0"/>
                <w:bCs w:val="0"/>
                <w:color w:val="0000FC"/>
                <w:sz w:val="24"/>
                <w:szCs w:val="24"/>
                <w:highlight w:val="none"/>
                <w:lang w:val="en-US" w:eastAsia="zh-CN"/>
              </w:rPr>
              <w:t>（2）排土场边坡稳定性分析</w:t>
            </w:r>
          </w:p>
          <w:p w14:paraId="1436BD2E">
            <w:pPr>
              <w:keepNext w:val="0"/>
              <w:keepLines w:val="0"/>
              <w:widowControl/>
              <w:suppressLineNumbers w:val="0"/>
              <w:jc w:val="left"/>
              <w:rPr>
                <w:rFonts w:hint="default" w:cs="Times New Roman"/>
                <w:b w:val="0"/>
                <w:bCs w:val="0"/>
                <w:color w:val="0000FC"/>
                <w:sz w:val="24"/>
                <w:szCs w:val="24"/>
                <w:highlight w:val="none"/>
                <w:lang w:val="en-US" w:eastAsia="zh-CN"/>
              </w:rPr>
            </w:pPr>
            <w:r>
              <w:rPr>
                <w:rFonts w:hint="eastAsia" w:cs="Times New Roman"/>
                <w:b w:val="0"/>
                <w:bCs w:val="0"/>
                <w:color w:val="0000FC"/>
                <w:sz w:val="24"/>
                <w:szCs w:val="24"/>
                <w:highlight w:val="none"/>
                <w:lang w:val="en-US" w:eastAsia="zh-CN"/>
              </w:rPr>
              <w:t>排土场边坡底部修筑格宾石笼挡墙，并悬挂警示牌；设计格宾石笼挡墙墙高</w:t>
            </w:r>
            <w:r>
              <w:rPr>
                <w:rFonts w:hint="default" w:cs="Times New Roman"/>
                <w:b w:val="0"/>
                <w:bCs w:val="0"/>
                <w:color w:val="0000FC"/>
                <w:sz w:val="24"/>
                <w:szCs w:val="24"/>
                <w:highlight w:val="none"/>
                <w:lang w:val="en-US" w:eastAsia="zh-CN"/>
              </w:rPr>
              <w:t>2m</w:t>
            </w:r>
            <w:r>
              <w:rPr>
                <w:rFonts w:hint="eastAsia" w:cs="Times New Roman"/>
                <w:b w:val="0"/>
                <w:bCs w:val="0"/>
                <w:color w:val="0000FC"/>
                <w:sz w:val="24"/>
                <w:szCs w:val="24"/>
                <w:highlight w:val="none"/>
                <w:lang w:val="en-US" w:eastAsia="zh-CN"/>
              </w:rPr>
              <w:t>，地面以下</w:t>
            </w:r>
            <w:r>
              <w:rPr>
                <w:rFonts w:hint="default" w:cs="Times New Roman"/>
                <w:b w:val="0"/>
                <w:bCs w:val="0"/>
                <w:color w:val="0000FC"/>
                <w:sz w:val="24"/>
                <w:szCs w:val="24"/>
                <w:highlight w:val="none"/>
                <w:lang w:val="en-US" w:eastAsia="zh-CN"/>
              </w:rPr>
              <w:t>0.5m</w:t>
            </w:r>
            <w:r>
              <w:rPr>
                <w:rFonts w:hint="eastAsia" w:cs="Times New Roman"/>
                <w:b w:val="0"/>
                <w:bCs w:val="0"/>
                <w:color w:val="0000FC"/>
                <w:sz w:val="24"/>
                <w:szCs w:val="24"/>
                <w:highlight w:val="none"/>
                <w:lang w:val="en-US" w:eastAsia="zh-CN"/>
              </w:rPr>
              <w:t>，地面以上</w:t>
            </w:r>
            <w:r>
              <w:rPr>
                <w:rFonts w:hint="default" w:cs="Times New Roman"/>
                <w:b w:val="0"/>
                <w:bCs w:val="0"/>
                <w:color w:val="0000FC"/>
                <w:sz w:val="24"/>
                <w:szCs w:val="24"/>
                <w:highlight w:val="none"/>
                <w:lang w:val="en-US" w:eastAsia="zh-CN"/>
              </w:rPr>
              <w:t>1.5m</w:t>
            </w:r>
            <w:r>
              <w:rPr>
                <w:rFonts w:hint="eastAsia" w:cs="Times New Roman"/>
                <w:b w:val="0"/>
                <w:bCs w:val="0"/>
                <w:color w:val="0000FC"/>
                <w:sz w:val="24"/>
                <w:szCs w:val="24"/>
                <w:highlight w:val="none"/>
                <w:lang w:val="en-US" w:eastAsia="zh-CN"/>
              </w:rPr>
              <w:t>，下部宽度为</w:t>
            </w:r>
            <w:r>
              <w:rPr>
                <w:rFonts w:hint="default" w:cs="Times New Roman"/>
                <w:b w:val="0"/>
                <w:bCs w:val="0"/>
                <w:color w:val="0000FC"/>
                <w:sz w:val="24"/>
                <w:szCs w:val="24"/>
                <w:highlight w:val="none"/>
                <w:lang w:val="en-US" w:eastAsia="zh-CN"/>
              </w:rPr>
              <w:t>1.5m</w:t>
            </w:r>
            <w:r>
              <w:rPr>
                <w:rFonts w:hint="eastAsia" w:cs="Times New Roman"/>
                <w:b w:val="0"/>
                <w:bCs w:val="0"/>
                <w:color w:val="0000FC"/>
                <w:sz w:val="24"/>
                <w:szCs w:val="24"/>
                <w:highlight w:val="none"/>
                <w:lang w:val="en-US" w:eastAsia="zh-CN"/>
              </w:rPr>
              <w:t>，上部宽度为</w:t>
            </w:r>
            <w:r>
              <w:rPr>
                <w:rFonts w:hint="default" w:cs="Times New Roman"/>
                <w:b w:val="0"/>
                <w:bCs w:val="0"/>
                <w:color w:val="0000FC"/>
                <w:sz w:val="24"/>
                <w:szCs w:val="24"/>
                <w:highlight w:val="none"/>
                <w:lang w:val="en-US" w:eastAsia="zh-CN"/>
              </w:rPr>
              <w:t>1m</w:t>
            </w:r>
            <w:r>
              <w:rPr>
                <w:rFonts w:hint="eastAsia" w:cs="Times New Roman"/>
                <w:b w:val="0"/>
                <w:bCs w:val="0"/>
                <w:color w:val="0000FC"/>
                <w:sz w:val="24"/>
                <w:szCs w:val="24"/>
                <w:highlight w:val="none"/>
                <w:lang w:val="en-US" w:eastAsia="zh-CN"/>
              </w:rPr>
              <w:t>，排土场设计堆排时分层进行堆排，单层堆排高度不超过</w:t>
            </w:r>
            <w:r>
              <w:rPr>
                <w:rFonts w:hint="default" w:cs="Times New Roman"/>
                <w:b w:val="0"/>
                <w:bCs w:val="0"/>
                <w:color w:val="0000FC"/>
                <w:sz w:val="24"/>
                <w:szCs w:val="24"/>
                <w:highlight w:val="none"/>
                <w:lang w:val="en-US" w:eastAsia="zh-CN"/>
              </w:rPr>
              <w:t>8m</w:t>
            </w:r>
            <w:r>
              <w:rPr>
                <w:rFonts w:hint="eastAsia" w:cs="Times New Roman"/>
                <w:b w:val="0"/>
                <w:bCs w:val="0"/>
                <w:color w:val="0000FC"/>
                <w:sz w:val="24"/>
                <w:szCs w:val="24"/>
                <w:highlight w:val="none"/>
                <w:lang w:val="en-US" w:eastAsia="zh-CN"/>
              </w:rPr>
              <w:t>，最终堆排总高度不超过</w:t>
            </w:r>
            <w:r>
              <w:rPr>
                <w:rFonts w:hint="default" w:cs="Times New Roman"/>
                <w:b w:val="0"/>
                <w:bCs w:val="0"/>
                <w:color w:val="0000FC"/>
                <w:sz w:val="24"/>
                <w:szCs w:val="24"/>
                <w:highlight w:val="none"/>
                <w:lang w:val="en-US" w:eastAsia="zh-CN"/>
              </w:rPr>
              <w:t>30m</w:t>
            </w:r>
            <w:r>
              <w:rPr>
                <w:rFonts w:hint="eastAsia" w:cs="Times New Roman"/>
                <w:b w:val="0"/>
                <w:bCs w:val="0"/>
                <w:color w:val="0000FC"/>
                <w:sz w:val="24"/>
                <w:szCs w:val="24"/>
                <w:highlight w:val="none"/>
                <w:lang w:val="en-US" w:eastAsia="zh-CN"/>
              </w:rPr>
              <w:t>，通过以上措施，排土场可稳定安全堆放。</w:t>
            </w:r>
          </w:p>
          <w:p w14:paraId="722F2C28">
            <w:pPr>
              <w:keepNext w:val="0"/>
              <w:keepLines w:val="0"/>
              <w:widowControl/>
              <w:suppressLineNumbers w:val="0"/>
              <w:jc w:val="left"/>
              <w:rPr>
                <w:rFonts w:hint="default" w:ascii="Times New Roman" w:hAnsi="Times New Roman" w:eastAsia="宋体" w:cs="Times New Roman"/>
                <w:b w:val="0"/>
                <w:bCs w:val="0"/>
                <w:color w:val="FF0000"/>
                <w:sz w:val="24"/>
                <w:szCs w:val="24"/>
                <w:highlight w:val="none"/>
                <w:lang w:val="en-US" w:eastAsia="zh-CN"/>
              </w:rPr>
            </w:pPr>
            <w:r>
              <w:rPr>
                <w:rFonts w:hint="eastAsia" w:cs="Times New Roman"/>
                <w:b w:val="0"/>
                <w:bCs w:val="0"/>
                <w:color w:val="0000FC"/>
                <w:sz w:val="24"/>
                <w:szCs w:val="24"/>
                <w:highlight w:val="none"/>
                <w:lang w:val="en-US" w:eastAsia="zh-CN"/>
              </w:rPr>
              <w:t>（3）排土场的堆存量可行性分析</w:t>
            </w:r>
          </w:p>
          <w:p w14:paraId="3528492D">
            <w:pPr>
              <w:keepNext w:val="0"/>
              <w:keepLines w:val="0"/>
              <w:widowControl/>
              <w:suppressLineNumbers w:val="0"/>
              <w:jc w:val="left"/>
              <w:rPr>
                <w:rFonts w:hint="eastAsia"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西侧排土场占地面积约</w:t>
            </w:r>
            <w:r>
              <w:rPr>
                <w:rFonts w:hint="default" w:ascii="Times New Roman" w:hAnsi="Times New Roman" w:eastAsia="宋体" w:cs="Times New Roman"/>
                <w:b w:val="0"/>
                <w:bCs w:val="0"/>
                <w:color w:val="FF0000"/>
                <w:sz w:val="24"/>
                <w:szCs w:val="24"/>
                <w:highlight w:val="none"/>
                <w:lang w:val="en-US" w:eastAsia="zh-CN"/>
              </w:rPr>
              <w:t>25973m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，东侧排土场占地面积约</w:t>
            </w:r>
            <w:r>
              <w:rPr>
                <w:rFonts w:hint="default" w:ascii="Times New Roman" w:hAnsi="Times New Roman" w:eastAsia="宋体" w:cs="Times New Roman"/>
                <w:b w:val="0"/>
                <w:bCs w:val="0"/>
                <w:color w:val="FF0000"/>
                <w:sz w:val="24"/>
                <w:szCs w:val="24"/>
                <w:highlight w:val="none"/>
                <w:lang w:val="en-US" w:eastAsia="zh-CN"/>
              </w:rPr>
              <w:t>23370m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，共计</w:t>
            </w:r>
            <w:r>
              <w:rPr>
                <w:rFonts w:hint="default" w:ascii="Times New Roman" w:hAnsi="Times New Roman" w:eastAsia="宋体" w:cs="Times New Roman"/>
                <w:b w:val="0"/>
                <w:bCs w:val="0"/>
                <w:color w:val="FF0000"/>
                <w:sz w:val="24"/>
                <w:szCs w:val="24"/>
                <w:highlight w:val="none"/>
                <w:lang w:val="en-US" w:eastAsia="zh-CN"/>
              </w:rPr>
              <w:t>49343m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w:t>
            </w:r>
            <w:r>
              <w:rPr>
                <w:rFonts w:hint="eastAsia" w:cs="Times New Roman"/>
                <w:b w:val="0"/>
                <w:bCs w:val="0"/>
                <w:color w:val="0000FC"/>
                <w:sz w:val="24"/>
                <w:szCs w:val="24"/>
                <w:highlight w:val="none"/>
                <w:lang w:val="en-US" w:eastAsia="zh-CN"/>
              </w:rPr>
              <w:t>矿山表土剥离厚度平均按5m计算，</w:t>
            </w:r>
            <w:r>
              <w:rPr>
                <w:rFonts w:hint="eastAsia" w:ascii="Times New Roman" w:hAnsi="Times New Roman" w:eastAsia="宋体" w:cs="Times New Roman"/>
                <w:b w:val="0"/>
                <w:bCs w:val="0"/>
                <w:color w:val="0000FC"/>
                <w:sz w:val="24"/>
                <w:szCs w:val="24"/>
                <w:highlight w:val="none"/>
                <w:lang w:val="en-US" w:eastAsia="zh-CN"/>
              </w:rPr>
              <w:t>矿山后期剥离量约为</w:t>
            </w:r>
            <w:r>
              <w:rPr>
                <w:rFonts w:hint="default" w:ascii="Times New Roman" w:hAnsi="Times New Roman" w:eastAsia="宋体" w:cs="Times New Roman"/>
                <w:b w:val="0"/>
                <w:bCs w:val="0"/>
                <w:color w:val="0000FC"/>
                <w:sz w:val="24"/>
                <w:szCs w:val="24"/>
                <w:highlight w:val="none"/>
                <w:lang w:val="en-US" w:eastAsia="zh-CN"/>
              </w:rPr>
              <w:t>100.77</w:t>
            </w:r>
            <w:r>
              <w:rPr>
                <w:rFonts w:hint="eastAsia" w:ascii="Times New Roman" w:hAnsi="Times New Roman" w:eastAsia="宋体" w:cs="Times New Roman"/>
                <w:b w:val="0"/>
                <w:bCs w:val="0"/>
                <w:color w:val="0000FC"/>
                <w:sz w:val="24"/>
                <w:szCs w:val="24"/>
                <w:highlight w:val="none"/>
                <w:lang w:val="en-US" w:eastAsia="zh-CN"/>
              </w:rPr>
              <w:t>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cs="Times New Roman"/>
                <w:b w:val="0"/>
                <w:bCs w:val="0"/>
                <w:color w:val="0000FC"/>
                <w:sz w:val="24"/>
                <w:szCs w:val="24"/>
                <w:highlight w:val="none"/>
                <w:vertAlign w:val="baseline"/>
                <w:lang w:val="en-US" w:eastAsia="zh-CN"/>
              </w:rPr>
              <w:t>。矿山道路、办公生活区、加工区、成品堆场等临时用地（占地面积约为99998平方米）建设前也需进行表土剥离，平均剥离表土厚度按约</w:t>
            </w:r>
            <w:r>
              <w:rPr>
                <w:rFonts w:hint="default" w:cs="Times New Roman"/>
                <w:b w:val="0"/>
                <w:bCs w:val="0"/>
                <w:color w:val="0000FC"/>
                <w:sz w:val="24"/>
                <w:szCs w:val="24"/>
                <w:highlight w:val="none"/>
                <w:vertAlign w:val="baseline"/>
                <w:lang w:val="en-US" w:eastAsia="zh-CN"/>
              </w:rPr>
              <w:t>50cm</w:t>
            </w:r>
            <w:r>
              <w:rPr>
                <w:rFonts w:hint="eastAsia" w:cs="Times New Roman"/>
                <w:b w:val="0"/>
                <w:bCs w:val="0"/>
                <w:color w:val="0000FC"/>
                <w:sz w:val="24"/>
                <w:szCs w:val="24"/>
                <w:highlight w:val="none"/>
                <w:vertAlign w:val="baseline"/>
                <w:lang w:val="en-US" w:eastAsia="zh-CN"/>
              </w:rPr>
              <w:t>计算，则临时用地剥离量为4.9999万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ascii="Times New Roman" w:hAnsi="Times New Roman" w:eastAsia="宋体" w:cs="Times New Roman"/>
                <w:b w:val="0"/>
                <w:bCs w:val="0"/>
                <w:color w:val="0000FC"/>
                <w:sz w:val="24"/>
                <w:szCs w:val="24"/>
                <w:highlight w:val="none"/>
                <w:lang w:val="en-US" w:eastAsia="zh-CN"/>
              </w:rPr>
              <w:t>。</w:t>
            </w:r>
            <w:r>
              <w:rPr>
                <w:rFonts w:hint="eastAsia" w:ascii="Times New Roman" w:hAnsi="Times New Roman" w:eastAsia="宋体" w:cs="Times New Roman"/>
                <w:b w:val="0"/>
                <w:bCs w:val="0"/>
                <w:color w:val="FF0000"/>
                <w:sz w:val="24"/>
                <w:szCs w:val="24"/>
                <w:highlight w:val="none"/>
                <w:lang w:val="en-US" w:eastAsia="zh-CN"/>
              </w:rPr>
              <w:t>表土剥离后通过汽车直接运往排土场，再采用推土机展平，设计排土高度</w:t>
            </w:r>
            <w:r>
              <w:rPr>
                <w:rFonts w:hint="default" w:ascii="Times New Roman" w:hAnsi="Times New Roman" w:eastAsia="宋体" w:cs="Times New Roman"/>
                <w:b w:val="0"/>
                <w:bCs w:val="0"/>
                <w:color w:val="FF0000"/>
                <w:sz w:val="24"/>
                <w:szCs w:val="24"/>
                <w:highlight w:val="none"/>
                <w:lang w:val="en-US" w:eastAsia="zh-CN"/>
              </w:rPr>
              <w:t>8m</w:t>
            </w:r>
            <w:r>
              <w:rPr>
                <w:rFonts w:hint="eastAsia" w:ascii="Times New Roman" w:hAnsi="Times New Roman" w:eastAsia="宋体" w:cs="Times New Roman"/>
                <w:b w:val="0"/>
                <w:bCs w:val="0"/>
                <w:color w:val="FF0000"/>
                <w:sz w:val="24"/>
                <w:szCs w:val="24"/>
                <w:highlight w:val="none"/>
                <w:lang w:val="en-US" w:eastAsia="zh-CN"/>
              </w:rPr>
              <w:t>，设计坡度角</w:t>
            </w:r>
            <w:r>
              <w:rPr>
                <w:rFonts w:hint="default" w:ascii="Times New Roman" w:hAnsi="Times New Roman" w:eastAsia="宋体" w:cs="Times New Roman"/>
                <w:b w:val="0"/>
                <w:bCs w:val="0"/>
                <w:color w:val="FF0000"/>
                <w:sz w:val="24"/>
                <w:szCs w:val="24"/>
                <w:highlight w:val="none"/>
                <w:lang w:val="en-US" w:eastAsia="zh-CN"/>
              </w:rPr>
              <w:t>32°</w:t>
            </w:r>
            <w:r>
              <w:rPr>
                <w:rFonts w:hint="eastAsia" w:ascii="Times New Roman" w:hAnsi="Times New Roman" w:eastAsia="宋体" w:cs="Times New Roman"/>
                <w:b w:val="0"/>
                <w:bCs w:val="0"/>
                <w:color w:val="FF0000"/>
                <w:sz w:val="24"/>
                <w:szCs w:val="24"/>
                <w:highlight w:val="none"/>
                <w:lang w:val="en-US" w:eastAsia="zh-CN"/>
              </w:rPr>
              <w:t>，能满足矿山未来排土需</w:t>
            </w:r>
            <w:r>
              <w:rPr>
                <w:rFonts w:hint="eastAsia" w:ascii="Times New Roman" w:hAnsi="Times New Roman" w:cs="Times New Roman"/>
                <w:b w:val="0"/>
                <w:bCs w:val="0"/>
                <w:color w:val="FF0000"/>
                <w:sz w:val="24"/>
                <w:szCs w:val="24"/>
                <w:highlight w:val="none"/>
                <w:lang w:val="en-US" w:eastAsia="zh-CN"/>
              </w:rPr>
              <w:t>要</w:t>
            </w:r>
            <w:r>
              <w:rPr>
                <w:rFonts w:hint="eastAsia" w:ascii="宋体" w:hAnsi="宋体" w:cs="宋体"/>
                <w:color w:val="FF0000"/>
                <w:kern w:val="0"/>
                <w:sz w:val="24"/>
                <w:szCs w:val="24"/>
                <w:lang w:val="en-US" w:eastAsia="zh-CN" w:bidi="ar"/>
              </w:rPr>
              <w:t>。</w:t>
            </w:r>
            <w:r>
              <w:rPr>
                <w:rFonts w:hint="eastAsia" w:ascii="Times New Roman" w:hAnsi="Times New Roman" w:eastAsia="宋体" w:cs="Times New Roman"/>
                <w:b w:val="0"/>
                <w:bCs w:val="0"/>
                <w:color w:val="0000FC"/>
                <w:sz w:val="24"/>
                <w:szCs w:val="24"/>
                <w:highlight w:val="none"/>
                <w:lang w:val="en-US" w:eastAsia="zh-CN"/>
              </w:rPr>
              <w:t>根据</w:t>
            </w:r>
            <w:r>
              <w:rPr>
                <w:rFonts w:hint="eastAsia" w:cs="Times New Roman"/>
                <w:b w:val="0"/>
                <w:bCs w:val="0"/>
                <w:color w:val="0000FC"/>
                <w:sz w:val="24"/>
                <w:szCs w:val="24"/>
                <w:highlight w:val="none"/>
                <w:lang w:val="en-US" w:eastAsia="zh-CN"/>
              </w:rPr>
              <w:t>开发利用方案中</w:t>
            </w:r>
            <w:r>
              <w:rPr>
                <w:rFonts w:hint="eastAsia" w:ascii="Times New Roman" w:hAnsi="Times New Roman" w:eastAsia="宋体" w:cs="Times New Roman"/>
                <w:b w:val="0"/>
                <w:bCs w:val="0"/>
                <w:color w:val="0000FC"/>
                <w:sz w:val="24"/>
                <w:szCs w:val="24"/>
                <w:highlight w:val="none"/>
                <w:lang w:val="en-US" w:eastAsia="zh-CN"/>
              </w:rPr>
              <w:t>估算西侧排土场</w:t>
            </w:r>
            <w:r>
              <w:rPr>
                <w:rFonts w:hint="eastAsia" w:cs="Times New Roman"/>
                <w:b w:val="0"/>
                <w:bCs w:val="0"/>
                <w:color w:val="0000FC"/>
                <w:sz w:val="24"/>
                <w:szCs w:val="24"/>
                <w:highlight w:val="none"/>
                <w:lang w:val="en-US" w:eastAsia="zh-CN"/>
              </w:rPr>
              <w:t>最大堆放量</w:t>
            </w:r>
            <w:r>
              <w:rPr>
                <w:rFonts w:hint="eastAsia" w:ascii="Times New Roman" w:hAnsi="Times New Roman" w:eastAsia="宋体" w:cs="Times New Roman"/>
                <w:b w:val="0"/>
                <w:bCs w:val="0"/>
                <w:color w:val="0000FC"/>
                <w:sz w:val="24"/>
                <w:szCs w:val="24"/>
                <w:highlight w:val="none"/>
                <w:lang w:val="en-US" w:eastAsia="zh-CN"/>
              </w:rPr>
              <w:t>约</w:t>
            </w:r>
            <w:r>
              <w:rPr>
                <w:rFonts w:hint="default" w:ascii="Times New Roman" w:hAnsi="Times New Roman" w:eastAsia="宋体" w:cs="Times New Roman"/>
                <w:b w:val="0"/>
                <w:bCs w:val="0"/>
                <w:color w:val="0000FC"/>
                <w:sz w:val="24"/>
                <w:szCs w:val="24"/>
                <w:highlight w:val="none"/>
                <w:lang w:val="en-US" w:eastAsia="zh-CN"/>
              </w:rPr>
              <w:t>59</w:t>
            </w:r>
            <w:r>
              <w:rPr>
                <w:rFonts w:hint="eastAsia" w:ascii="Times New Roman" w:hAnsi="Times New Roman" w:eastAsia="宋体" w:cs="Times New Roman"/>
                <w:b w:val="0"/>
                <w:bCs w:val="0"/>
                <w:color w:val="0000FC"/>
                <w:sz w:val="24"/>
                <w:szCs w:val="24"/>
                <w:highlight w:val="none"/>
                <w:lang w:val="en-US" w:eastAsia="zh-CN"/>
              </w:rPr>
              <w:t>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ascii="Times New Roman" w:hAnsi="Times New Roman" w:eastAsia="宋体" w:cs="Times New Roman"/>
                <w:b w:val="0"/>
                <w:bCs w:val="0"/>
                <w:color w:val="0000FC"/>
                <w:sz w:val="24"/>
                <w:szCs w:val="24"/>
                <w:highlight w:val="none"/>
                <w:lang w:val="en-US" w:eastAsia="zh-CN"/>
              </w:rPr>
              <w:t>，东侧排土场</w:t>
            </w:r>
            <w:r>
              <w:rPr>
                <w:rFonts w:hint="eastAsia" w:cs="Times New Roman"/>
                <w:b w:val="0"/>
                <w:bCs w:val="0"/>
                <w:color w:val="0000FC"/>
                <w:sz w:val="24"/>
                <w:szCs w:val="24"/>
                <w:highlight w:val="none"/>
                <w:lang w:val="en-US" w:eastAsia="zh-CN"/>
              </w:rPr>
              <w:t>最大堆放量</w:t>
            </w:r>
            <w:r>
              <w:rPr>
                <w:rFonts w:hint="eastAsia" w:ascii="Times New Roman" w:hAnsi="Times New Roman" w:eastAsia="宋体" w:cs="Times New Roman"/>
                <w:b w:val="0"/>
                <w:bCs w:val="0"/>
                <w:color w:val="0000FC"/>
                <w:sz w:val="24"/>
                <w:szCs w:val="24"/>
                <w:highlight w:val="none"/>
                <w:lang w:val="en-US" w:eastAsia="zh-CN"/>
              </w:rPr>
              <w:t>约</w:t>
            </w:r>
            <w:r>
              <w:rPr>
                <w:rFonts w:hint="default" w:ascii="Times New Roman" w:hAnsi="Times New Roman" w:eastAsia="宋体" w:cs="Times New Roman"/>
                <w:b w:val="0"/>
                <w:bCs w:val="0"/>
                <w:color w:val="0000FC"/>
                <w:sz w:val="24"/>
                <w:szCs w:val="24"/>
                <w:highlight w:val="none"/>
                <w:lang w:val="en-US" w:eastAsia="zh-CN"/>
              </w:rPr>
              <w:t>47</w:t>
            </w:r>
            <w:r>
              <w:rPr>
                <w:rFonts w:hint="eastAsia" w:ascii="Times New Roman" w:hAnsi="Times New Roman" w:eastAsia="宋体" w:cs="Times New Roman"/>
                <w:b w:val="0"/>
                <w:bCs w:val="0"/>
                <w:color w:val="0000FC"/>
                <w:sz w:val="24"/>
                <w:szCs w:val="24"/>
                <w:highlight w:val="none"/>
                <w:lang w:val="en-US" w:eastAsia="zh-CN"/>
              </w:rPr>
              <w:t>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ascii="Times New Roman" w:hAnsi="Times New Roman" w:eastAsia="宋体" w:cs="Times New Roman"/>
                <w:b w:val="0"/>
                <w:bCs w:val="0"/>
                <w:color w:val="0000FC"/>
                <w:sz w:val="24"/>
                <w:szCs w:val="24"/>
                <w:highlight w:val="none"/>
                <w:lang w:val="en-US" w:eastAsia="zh-CN"/>
              </w:rPr>
              <w:t>，合计堆存方量为</w:t>
            </w:r>
            <w:r>
              <w:rPr>
                <w:rFonts w:hint="default" w:ascii="Times New Roman" w:hAnsi="Times New Roman" w:eastAsia="宋体" w:cs="Times New Roman"/>
                <w:b w:val="0"/>
                <w:bCs w:val="0"/>
                <w:color w:val="0000FC"/>
                <w:sz w:val="24"/>
                <w:szCs w:val="24"/>
                <w:highlight w:val="none"/>
                <w:lang w:val="en-US" w:eastAsia="zh-CN"/>
              </w:rPr>
              <w:t>106</w:t>
            </w:r>
            <w:r>
              <w:rPr>
                <w:rFonts w:hint="eastAsia" w:ascii="Times New Roman" w:hAnsi="Times New Roman" w:eastAsia="宋体" w:cs="Times New Roman"/>
                <w:b w:val="0"/>
                <w:bCs w:val="0"/>
                <w:color w:val="0000FC"/>
                <w:sz w:val="24"/>
                <w:szCs w:val="24"/>
                <w:highlight w:val="none"/>
                <w:lang w:val="en-US" w:eastAsia="zh-CN"/>
              </w:rPr>
              <w:t>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ascii="Times New Roman" w:hAnsi="Times New Roman" w:eastAsia="宋体" w:cs="Times New Roman"/>
                <w:b w:val="0"/>
                <w:bCs w:val="0"/>
                <w:color w:val="0000FC"/>
                <w:sz w:val="24"/>
                <w:szCs w:val="24"/>
                <w:highlight w:val="none"/>
                <w:lang w:val="en-US" w:eastAsia="zh-CN"/>
              </w:rPr>
              <w:t>，</w:t>
            </w:r>
            <w:r>
              <w:rPr>
                <w:rFonts w:hint="eastAsia" w:cs="Times New Roman"/>
                <w:b w:val="0"/>
                <w:bCs w:val="0"/>
                <w:color w:val="0000FC"/>
                <w:sz w:val="24"/>
                <w:szCs w:val="24"/>
                <w:highlight w:val="none"/>
                <w:lang w:val="en-US" w:eastAsia="zh-CN"/>
              </w:rPr>
              <w:t>本项目最大剥离量为105.7699</w:t>
            </w:r>
            <w:r>
              <w:rPr>
                <w:rFonts w:hint="eastAsia" w:cs="Times New Roman"/>
                <w:b w:val="0"/>
                <w:bCs w:val="0"/>
                <w:color w:val="0000FC"/>
                <w:sz w:val="24"/>
                <w:szCs w:val="24"/>
                <w:highlight w:val="none"/>
                <w:vertAlign w:val="baseline"/>
                <w:lang w:val="en-US" w:eastAsia="zh-CN"/>
              </w:rPr>
              <w:t>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cs="Times New Roman"/>
                <w:b w:val="0"/>
                <w:bCs w:val="0"/>
                <w:color w:val="0000FC"/>
                <w:sz w:val="24"/>
                <w:szCs w:val="24"/>
                <w:highlight w:val="none"/>
                <w:vertAlign w:val="baseline"/>
                <w:lang w:val="en-US" w:eastAsia="zh-CN"/>
              </w:rPr>
              <w:t>，</w:t>
            </w:r>
            <w:r>
              <w:rPr>
                <w:rFonts w:hint="eastAsia" w:cs="Times New Roman"/>
                <w:b w:val="0"/>
                <w:bCs w:val="0"/>
                <w:color w:val="0000FC"/>
                <w:sz w:val="24"/>
                <w:szCs w:val="24"/>
                <w:highlight w:val="none"/>
                <w:lang w:val="en-US" w:eastAsia="zh-CN"/>
              </w:rPr>
              <w:t>综上所述，两个排土场</w:t>
            </w:r>
            <w:r>
              <w:rPr>
                <w:rFonts w:hint="eastAsia" w:ascii="Times New Roman" w:hAnsi="Times New Roman" w:eastAsia="宋体" w:cs="Times New Roman"/>
                <w:b w:val="0"/>
                <w:bCs w:val="0"/>
                <w:color w:val="FF0000"/>
                <w:sz w:val="24"/>
                <w:szCs w:val="24"/>
                <w:highlight w:val="none"/>
                <w:lang w:val="en-US" w:eastAsia="zh-CN"/>
              </w:rPr>
              <w:t>可满足矿山废石及表土堆放。</w:t>
            </w:r>
          </w:p>
          <w:p w14:paraId="10C8CC6B">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（六）运输道路</w:t>
            </w:r>
          </w:p>
          <w:p w14:paraId="515B4EB6">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矿山道路主要依据地形沿原有乡村道路呈“</w:t>
            </w:r>
            <w:r>
              <w:rPr>
                <w:rFonts w:hint="default" w:ascii="Times New Roman" w:hAnsi="Times New Roman" w:eastAsia="宋体" w:cs="Times New Roman"/>
                <w:b w:val="0"/>
                <w:bCs w:val="0"/>
                <w:color w:val="FF0000"/>
                <w:sz w:val="24"/>
                <w:szCs w:val="24"/>
                <w:highlight w:val="none"/>
                <w:lang w:val="en-US" w:eastAsia="zh-CN"/>
              </w:rPr>
              <w:t>S</w:t>
            </w:r>
            <w:r>
              <w:rPr>
                <w:rFonts w:hint="eastAsia" w:ascii="Times New Roman" w:hAnsi="Times New Roman" w:eastAsia="宋体" w:cs="Times New Roman"/>
                <w:b w:val="0"/>
                <w:bCs w:val="0"/>
                <w:color w:val="FF0000"/>
                <w:sz w:val="24"/>
                <w:szCs w:val="24"/>
                <w:highlight w:val="none"/>
                <w:lang w:val="en-US" w:eastAsia="zh-CN"/>
              </w:rPr>
              <w:t>”型布设于矿区西侧及南侧地形较缓处</w:t>
            </w:r>
            <w:r>
              <w:rPr>
                <w:rFonts w:hint="eastAsia" w:cs="Times New Roman"/>
                <w:b w:val="0"/>
                <w:bCs w:val="0"/>
                <w:color w:val="FF0000"/>
                <w:sz w:val="24"/>
                <w:szCs w:val="24"/>
                <w:highlight w:val="none"/>
                <w:lang w:val="en-US" w:eastAsia="zh-CN"/>
              </w:rPr>
              <w:t>，由</w:t>
            </w:r>
            <w:r>
              <w:rPr>
                <w:rFonts w:hint="default" w:ascii="Times New Roman" w:hAnsi="Times New Roman" w:eastAsia="宋体" w:cs="Times New Roman"/>
                <w:b w:val="0"/>
                <w:bCs w:val="0"/>
                <w:color w:val="FF0000"/>
                <w:sz w:val="24"/>
                <w:szCs w:val="24"/>
                <w:highlight w:val="none"/>
                <w:lang w:val="en-US" w:eastAsia="zh-CN"/>
              </w:rPr>
              <w:t>山下折返式修至设计的采场最上部台阶，再由上至下向每一个台阶</w:t>
            </w:r>
            <w:r>
              <w:rPr>
                <w:rFonts w:hint="eastAsia" w:cs="Times New Roman"/>
                <w:b w:val="0"/>
                <w:bCs w:val="0"/>
                <w:color w:val="FF0000"/>
                <w:sz w:val="24"/>
                <w:szCs w:val="24"/>
                <w:highlight w:val="none"/>
                <w:lang w:val="en-US" w:eastAsia="zh-CN"/>
              </w:rPr>
              <w:t>开辟</w:t>
            </w:r>
            <w:r>
              <w:rPr>
                <w:rFonts w:hint="default" w:ascii="Times New Roman" w:hAnsi="Times New Roman" w:eastAsia="宋体" w:cs="Times New Roman"/>
                <w:b w:val="0"/>
                <w:bCs w:val="0"/>
                <w:color w:val="FF0000"/>
                <w:sz w:val="24"/>
                <w:szCs w:val="24"/>
                <w:highlight w:val="none"/>
                <w:lang w:val="en-US" w:eastAsia="zh-CN"/>
              </w:rPr>
              <w:t>支线与</w:t>
            </w:r>
            <w:r>
              <w:rPr>
                <w:rFonts w:hint="eastAsia" w:cs="Times New Roman"/>
                <w:b w:val="0"/>
                <w:bCs w:val="0"/>
                <w:color w:val="FF0000"/>
                <w:sz w:val="24"/>
                <w:szCs w:val="24"/>
                <w:highlight w:val="none"/>
                <w:lang w:val="en-US" w:eastAsia="zh-CN"/>
              </w:rPr>
              <w:t>矿山主体道路</w:t>
            </w:r>
            <w:r>
              <w:rPr>
                <w:rFonts w:hint="default" w:ascii="Times New Roman" w:hAnsi="Times New Roman" w:eastAsia="宋体" w:cs="Times New Roman"/>
                <w:b w:val="0"/>
                <w:bCs w:val="0"/>
                <w:color w:val="FF0000"/>
                <w:sz w:val="24"/>
                <w:szCs w:val="24"/>
                <w:highlight w:val="none"/>
                <w:lang w:val="en-US" w:eastAsia="zh-CN"/>
              </w:rPr>
              <w:t>相连</w:t>
            </w:r>
            <w:r>
              <w:rPr>
                <w:rFonts w:hint="eastAsia" w:ascii="Times New Roman" w:hAnsi="Times New Roman" w:eastAsia="宋体" w:cs="Times New Roman"/>
                <w:b w:val="0"/>
                <w:bCs w:val="0"/>
                <w:color w:val="FF0000"/>
                <w:sz w:val="24"/>
                <w:szCs w:val="24"/>
                <w:highlight w:val="none"/>
                <w:lang w:val="en-US" w:eastAsia="zh-CN"/>
              </w:rPr>
              <w:t>，采用泥浇碎石路面，宽</w:t>
            </w:r>
            <w:r>
              <w:rPr>
                <w:rFonts w:hint="default" w:ascii="Times New Roman" w:hAnsi="Times New Roman" w:eastAsia="宋体" w:cs="Times New Roman"/>
                <w:b w:val="0"/>
                <w:bCs w:val="0"/>
                <w:color w:val="FF0000"/>
                <w:sz w:val="24"/>
                <w:szCs w:val="24"/>
                <w:highlight w:val="none"/>
                <w:lang w:val="en-US" w:eastAsia="zh-CN"/>
              </w:rPr>
              <w:t>6m</w:t>
            </w:r>
            <w:r>
              <w:rPr>
                <w:rFonts w:hint="eastAsia" w:ascii="Times New Roman" w:hAnsi="Times New Roman" w:eastAsia="宋体" w:cs="Times New Roman"/>
                <w:b w:val="0"/>
                <w:bCs w:val="0"/>
                <w:color w:val="FF0000"/>
                <w:sz w:val="24"/>
                <w:szCs w:val="24"/>
                <w:highlight w:val="none"/>
                <w:lang w:val="en-US" w:eastAsia="zh-CN"/>
              </w:rPr>
              <w:t>，路基宽</w:t>
            </w:r>
            <w:r>
              <w:rPr>
                <w:rFonts w:hint="default" w:ascii="Times New Roman" w:hAnsi="Times New Roman" w:eastAsia="宋体" w:cs="Times New Roman"/>
                <w:b w:val="0"/>
                <w:bCs w:val="0"/>
                <w:color w:val="FF0000"/>
                <w:sz w:val="24"/>
                <w:szCs w:val="24"/>
                <w:highlight w:val="none"/>
                <w:lang w:val="en-US" w:eastAsia="zh-CN"/>
              </w:rPr>
              <w:t>7m</w:t>
            </w:r>
            <w:r>
              <w:rPr>
                <w:rFonts w:hint="eastAsia" w:ascii="Times New Roman" w:hAnsi="Times New Roman" w:eastAsia="宋体" w:cs="Times New Roman"/>
                <w:b w:val="0"/>
                <w:bCs w:val="0"/>
                <w:color w:val="FF0000"/>
                <w:sz w:val="24"/>
                <w:szCs w:val="24"/>
                <w:highlight w:val="none"/>
                <w:lang w:val="en-US" w:eastAsia="zh-CN"/>
              </w:rPr>
              <w:t>，路面最大纵坡</w:t>
            </w:r>
            <w:r>
              <w:rPr>
                <w:rFonts w:hint="default" w:ascii="Times New Roman" w:hAnsi="Times New Roman" w:eastAsia="宋体" w:cs="Times New Roman"/>
                <w:b w:val="0"/>
                <w:bCs w:val="0"/>
                <w:color w:val="FF0000"/>
                <w:sz w:val="24"/>
                <w:szCs w:val="24"/>
                <w:highlight w:val="none"/>
                <w:lang w:val="en-US" w:eastAsia="zh-CN"/>
              </w:rPr>
              <w:t>8%</w:t>
            </w:r>
            <w:r>
              <w:rPr>
                <w:rFonts w:hint="eastAsia" w:ascii="Times New Roman" w:hAnsi="Times New Roman" w:eastAsia="宋体" w:cs="Times New Roman"/>
                <w:b w:val="0"/>
                <w:bCs w:val="0"/>
                <w:color w:val="FF0000"/>
                <w:sz w:val="24"/>
                <w:szCs w:val="24"/>
                <w:highlight w:val="none"/>
                <w:lang w:val="en-US" w:eastAsia="zh-CN"/>
              </w:rPr>
              <w:t>，平均坡度小于</w:t>
            </w:r>
            <w:r>
              <w:rPr>
                <w:rFonts w:hint="default" w:ascii="Times New Roman" w:hAnsi="Times New Roman" w:eastAsia="宋体" w:cs="Times New Roman"/>
                <w:b w:val="0"/>
                <w:bCs w:val="0"/>
                <w:color w:val="FF0000"/>
                <w:sz w:val="24"/>
                <w:szCs w:val="24"/>
                <w:highlight w:val="none"/>
                <w:lang w:val="en-US" w:eastAsia="zh-CN"/>
              </w:rPr>
              <w:t>6.5</w:t>
            </w:r>
            <w:r>
              <w:rPr>
                <w:rFonts w:hint="eastAsia" w:ascii="Times New Roman" w:hAnsi="Times New Roman" w:eastAsia="宋体" w:cs="Times New Roman"/>
                <w:b w:val="0"/>
                <w:bCs w:val="0"/>
                <w:color w:val="FF0000"/>
                <w:sz w:val="24"/>
                <w:szCs w:val="24"/>
                <w:highlight w:val="none"/>
                <w:lang w:val="en-US" w:eastAsia="zh-CN"/>
              </w:rPr>
              <w:t>％，最小转弯半径不小于</w:t>
            </w:r>
            <w:r>
              <w:rPr>
                <w:rFonts w:hint="default" w:ascii="Times New Roman" w:hAnsi="Times New Roman" w:eastAsia="宋体" w:cs="Times New Roman"/>
                <w:b w:val="0"/>
                <w:bCs w:val="0"/>
                <w:color w:val="FF0000"/>
                <w:sz w:val="24"/>
                <w:szCs w:val="24"/>
                <w:highlight w:val="none"/>
                <w:lang w:val="en-US" w:eastAsia="zh-CN"/>
              </w:rPr>
              <w:t>15m</w:t>
            </w:r>
            <w:r>
              <w:rPr>
                <w:rFonts w:hint="eastAsia" w:ascii="Times New Roman" w:hAnsi="Times New Roman" w:eastAsia="宋体" w:cs="Times New Roman"/>
                <w:b w:val="0"/>
                <w:bCs w:val="0"/>
                <w:color w:val="FF0000"/>
                <w:sz w:val="24"/>
                <w:szCs w:val="24"/>
                <w:highlight w:val="none"/>
                <w:lang w:val="en-US" w:eastAsia="zh-CN"/>
              </w:rPr>
              <w:t>。为提高生产期运输车辆整体效率，根据地形在道路较陡及转弯半径较小的区域同步布设错车道，错车道宽度设置为</w:t>
            </w:r>
            <w:r>
              <w:rPr>
                <w:rFonts w:hint="default" w:ascii="Times New Roman" w:hAnsi="Times New Roman" w:eastAsia="宋体" w:cs="Times New Roman"/>
                <w:b w:val="0"/>
                <w:bCs w:val="0"/>
                <w:color w:val="FF0000"/>
                <w:sz w:val="24"/>
                <w:szCs w:val="24"/>
                <w:highlight w:val="none"/>
                <w:lang w:val="en-US" w:eastAsia="zh-CN"/>
              </w:rPr>
              <w:t>7m</w:t>
            </w:r>
            <w:r>
              <w:rPr>
                <w:rFonts w:hint="eastAsia" w:ascii="Times New Roman" w:hAnsi="Times New Roman" w:eastAsia="宋体" w:cs="Times New Roman"/>
                <w:b w:val="0"/>
                <w:bCs w:val="0"/>
                <w:color w:val="FF0000"/>
                <w:sz w:val="24"/>
                <w:szCs w:val="24"/>
                <w:highlight w:val="none"/>
                <w:lang w:val="en-US" w:eastAsia="zh-CN"/>
              </w:rPr>
              <w:t>，错车道部分整体路基宽度不小于</w:t>
            </w:r>
            <w:r>
              <w:rPr>
                <w:rFonts w:hint="default" w:ascii="Times New Roman" w:hAnsi="Times New Roman" w:eastAsia="宋体" w:cs="Times New Roman"/>
                <w:b w:val="0"/>
                <w:bCs w:val="0"/>
                <w:color w:val="FF0000"/>
                <w:sz w:val="24"/>
                <w:szCs w:val="24"/>
                <w:highlight w:val="none"/>
                <w:lang w:val="en-US" w:eastAsia="zh-CN"/>
              </w:rPr>
              <w:t>11m</w:t>
            </w:r>
            <w:r>
              <w:rPr>
                <w:rFonts w:hint="eastAsia" w:ascii="Times New Roman" w:hAnsi="Times New Roman" w:eastAsia="宋体" w:cs="Times New Roman"/>
                <w:b w:val="0"/>
                <w:bCs w:val="0"/>
                <w:color w:val="FF0000"/>
                <w:sz w:val="24"/>
                <w:szCs w:val="24"/>
                <w:highlight w:val="none"/>
                <w:lang w:val="en-US" w:eastAsia="zh-CN"/>
              </w:rPr>
              <w:t>，长度依据地形实际进行设计</w:t>
            </w:r>
            <w:r>
              <w:rPr>
                <w:rFonts w:hint="default" w:ascii="Times New Roman" w:hAnsi="Times New Roman" w:eastAsia="宋体" w:cs="Times New Roman"/>
                <w:b w:val="0"/>
                <w:bCs w:val="0"/>
                <w:color w:val="FF0000"/>
                <w:sz w:val="24"/>
                <w:szCs w:val="24"/>
                <w:highlight w:val="none"/>
                <w:lang w:val="en-US" w:eastAsia="zh-CN"/>
              </w:rPr>
              <w:t>8-15m</w:t>
            </w:r>
            <w:r>
              <w:rPr>
                <w:rFonts w:hint="eastAsia" w:cs="Times New Roman"/>
                <w:b w:val="0"/>
                <w:bCs w:val="0"/>
                <w:color w:val="FF0000"/>
                <w:sz w:val="24"/>
                <w:szCs w:val="24"/>
                <w:highlight w:val="none"/>
                <w:lang w:val="en-US" w:eastAsia="zh-CN"/>
              </w:rPr>
              <w:t>不</w:t>
            </w:r>
            <w:r>
              <w:rPr>
                <w:rFonts w:hint="eastAsia" w:ascii="Times New Roman" w:hAnsi="Times New Roman" w:eastAsia="宋体" w:cs="Times New Roman"/>
                <w:b w:val="0"/>
                <w:bCs w:val="0"/>
                <w:color w:val="FF0000"/>
                <w:sz w:val="24"/>
                <w:szCs w:val="24"/>
                <w:highlight w:val="none"/>
                <w:lang w:val="en-US" w:eastAsia="zh-CN"/>
              </w:rPr>
              <w:t>等。同时错车道外缘部分布设水泥护栏。</w:t>
            </w:r>
          </w:p>
          <w:p w14:paraId="36D05616">
            <w:pPr>
              <w:rPr>
                <w:rFonts w:hint="eastAsia"/>
                <w:color w:val="FF0000"/>
                <w:lang w:val="en-US" w:eastAsia="zh-CN"/>
              </w:rPr>
            </w:pPr>
            <w:r>
              <w:rPr>
                <w:rFonts w:hint="eastAsia"/>
                <w:color w:val="FF0000"/>
                <w:lang w:val="en-US" w:eastAsia="zh-CN"/>
              </w:rPr>
              <w:t>项目区外部运输路线：利用南侧现有乡道，汇入G227（西久公路101省道）运往各需求地，线路清晰流畅，交通运输方便便捷。</w:t>
            </w:r>
          </w:p>
          <w:p w14:paraId="73CF451C">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w:t>
            </w:r>
            <w:r>
              <w:rPr>
                <w:rFonts w:hint="eastAsia" w:cs="Times New Roman"/>
                <w:b w:val="0"/>
                <w:bCs w:val="0"/>
                <w:color w:val="FF0000"/>
                <w:sz w:val="24"/>
                <w:szCs w:val="24"/>
                <w:highlight w:val="none"/>
                <w:lang w:val="en-US" w:eastAsia="zh-CN"/>
              </w:rPr>
              <w:t>七</w:t>
            </w:r>
            <w:r>
              <w:rPr>
                <w:rFonts w:hint="eastAsia" w:ascii="Times New Roman" w:hAnsi="Times New Roman" w:eastAsia="宋体" w:cs="Times New Roman"/>
                <w:b w:val="0"/>
                <w:bCs w:val="0"/>
                <w:color w:val="FF0000"/>
                <w:sz w:val="24"/>
                <w:szCs w:val="24"/>
                <w:highlight w:val="none"/>
                <w:lang w:val="en-US" w:eastAsia="zh-CN"/>
              </w:rPr>
              <w:t>）总平面布置小结</w:t>
            </w:r>
          </w:p>
          <w:p w14:paraId="12255B41">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本项目平面布置时充分考虑了地形条件和周边环境状况，</w:t>
            </w:r>
            <w:r>
              <w:rPr>
                <w:rFonts w:hint="eastAsia" w:cs="Times New Roman"/>
                <w:b w:val="0"/>
                <w:bCs w:val="0"/>
                <w:color w:val="FF0000"/>
                <w:sz w:val="24"/>
                <w:szCs w:val="24"/>
                <w:highlight w:val="none"/>
                <w:lang w:val="en-US" w:eastAsia="zh-CN"/>
              </w:rPr>
              <w:t>充分</w:t>
            </w:r>
            <w:r>
              <w:rPr>
                <w:rFonts w:hint="eastAsia" w:ascii="Times New Roman" w:hAnsi="Times New Roman" w:eastAsia="宋体" w:cs="Times New Roman"/>
                <w:b w:val="0"/>
                <w:bCs w:val="0"/>
                <w:color w:val="FF0000"/>
                <w:sz w:val="24"/>
                <w:szCs w:val="24"/>
                <w:highlight w:val="none"/>
                <w:lang w:val="en-US" w:eastAsia="zh-CN"/>
              </w:rPr>
              <w:t>降低生产噪声、粉尘对周围的环境的影响，优化布局，缩短产品在场内的距离。各生产环节间的物料全部采用皮带输送，确保场内物流畅通。项目各功能区布置紧凑，衔接有序，整体协调。项目平面布置合理可行，具体见附图</w:t>
            </w:r>
            <w:r>
              <w:rPr>
                <w:rFonts w:hint="eastAsia" w:cs="Times New Roman"/>
                <w:b w:val="0"/>
                <w:bCs w:val="0"/>
                <w:color w:val="FF0000"/>
                <w:sz w:val="24"/>
                <w:szCs w:val="24"/>
                <w:highlight w:val="none"/>
                <w:lang w:val="en-US" w:eastAsia="zh-CN"/>
              </w:rPr>
              <w:t>（总平面布置图）</w:t>
            </w:r>
            <w:r>
              <w:rPr>
                <w:rFonts w:hint="eastAsia" w:ascii="Times New Roman" w:hAnsi="Times New Roman" w:eastAsia="宋体" w:cs="Times New Roman"/>
                <w:b w:val="0"/>
                <w:bCs w:val="0"/>
                <w:color w:val="FF0000"/>
                <w:sz w:val="24"/>
                <w:szCs w:val="24"/>
                <w:highlight w:val="none"/>
                <w:lang w:val="en-US" w:eastAsia="zh-CN"/>
              </w:rPr>
              <w:t>。</w:t>
            </w:r>
          </w:p>
        </w:tc>
      </w:tr>
      <w:tr w14:paraId="369A3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548" w:type="dxa"/>
            <w:noWrap w:val="0"/>
            <w:vAlign w:val="center"/>
          </w:tcPr>
          <w:p w14:paraId="1AA49D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Cs w:val="21"/>
              </w:rPr>
            </w:pPr>
            <w:r>
              <w:rPr>
                <w:rFonts w:hint="eastAsia" w:ascii="宋体" w:hAnsi="宋体" w:cs="宋体"/>
                <w:kern w:val="0"/>
                <w:szCs w:val="21"/>
              </w:rPr>
              <w:t>施工方案</w:t>
            </w:r>
          </w:p>
        </w:tc>
        <w:tc>
          <w:tcPr>
            <w:tcW w:w="8357" w:type="dxa"/>
            <w:noWrap w:val="0"/>
            <w:vAlign w:val="center"/>
          </w:tcPr>
          <w:p w14:paraId="7A08E00E">
            <w:pPr>
              <w:pStyle w:val="4"/>
              <w:keepNext w:val="0"/>
              <w:keepLines w:val="0"/>
              <w:pageBreakBefore w:val="0"/>
              <w:widowControl w:val="0"/>
              <w:kinsoku/>
              <w:wordWrap/>
              <w:overflowPunct/>
              <w:topLinePunct w:val="0"/>
              <w:autoSpaceDE/>
              <w:autoSpaceDN/>
              <w:bidi w:val="0"/>
              <w:rPr>
                <w:rFonts w:hint="default"/>
                <w:lang w:val="en-US" w:eastAsia="zh-CN"/>
              </w:rPr>
            </w:pPr>
            <w:r>
              <w:rPr>
                <w:rFonts w:hint="eastAsia"/>
                <w:lang w:val="en-US" w:eastAsia="zh-CN"/>
              </w:rPr>
              <w:t>1、施工期施工方案及产污环节</w:t>
            </w:r>
          </w:p>
          <w:p w14:paraId="7F6A2E12">
            <w:pPr>
              <w:rPr>
                <w:rFonts w:hint="default"/>
                <w:lang w:val="en-US" w:eastAsia="zh-CN"/>
              </w:rPr>
            </w:pPr>
            <w:r>
              <w:rPr>
                <w:rFonts w:hint="default"/>
                <w:lang w:val="en-US" w:eastAsia="zh-CN"/>
              </w:rPr>
              <w:t>施工期建设内容主要包括基建水平、矿山道路工程、露天采场防排水设施等。基建方式为公司自营施工，基建时间约需6个月。</w:t>
            </w:r>
          </w:p>
          <w:p w14:paraId="091C0AFF">
            <w:pPr>
              <w:rPr>
                <w:rFonts w:hint="default"/>
                <w:lang w:val="en-US" w:eastAsia="zh-CN"/>
              </w:rPr>
            </w:pPr>
            <w:r>
              <w:rPr>
                <w:rFonts w:hint="eastAsia"/>
                <w:lang w:val="en-US" w:eastAsia="zh-CN"/>
              </w:rPr>
              <w:t>（一）施工方案</w:t>
            </w:r>
            <w:r>
              <w:rPr>
                <w:rFonts w:hint="default"/>
                <w:lang w:val="en-US" w:eastAsia="zh-CN"/>
              </w:rPr>
              <w:t>简述</w:t>
            </w:r>
          </w:p>
          <w:p w14:paraId="7E62AABF">
            <w:pPr>
              <w:rPr>
                <w:rFonts w:hint="default"/>
                <w:color w:val="FF0000"/>
                <w:highlight w:val="none"/>
                <w:lang w:val="en-US" w:eastAsia="zh-CN"/>
              </w:rPr>
            </w:pPr>
            <w:r>
              <w:rPr>
                <w:rFonts w:hint="eastAsia"/>
                <w:color w:val="FF0000"/>
                <w:highlight w:val="none"/>
                <w:lang w:val="en-US" w:eastAsia="zh-CN"/>
              </w:rPr>
              <w:t>（1）基建水平</w:t>
            </w:r>
          </w:p>
          <w:p w14:paraId="4E8BEFEF">
            <w:pPr>
              <w:rPr>
                <w:rFonts w:hint="default"/>
                <w:color w:val="FF0000"/>
                <w:highlight w:val="none"/>
                <w:lang w:val="en-US" w:eastAsia="zh-CN"/>
              </w:rPr>
            </w:pPr>
            <w:r>
              <w:rPr>
                <w:rFonts w:hint="default"/>
                <w:color w:val="FF0000"/>
                <w:highlight w:val="none"/>
                <w:lang w:val="en-US" w:eastAsia="zh-CN"/>
              </w:rPr>
              <w:t>项目在运营前需对露天采场进行地表清理和表土剥离，开辟出工作面</w:t>
            </w:r>
            <w:r>
              <w:rPr>
                <w:rFonts w:hint="eastAsia"/>
                <w:color w:val="FF0000"/>
                <w:highlight w:val="none"/>
                <w:lang w:val="en-US" w:eastAsia="zh-CN"/>
              </w:rPr>
              <w:t>。</w:t>
            </w:r>
            <w:r>
              <w:rPr>
                <w:rFonts w:hint="default"/>
                <w:color w:val="FF0000"/>
                <w:lang w:val="en-US" w:eastAsia="zh-CN"/>
              </w:rPr>
              <w:t>基建水平为+4005m水平和+3945m水平，对+4005m水平和+3945m水平进行拓宽，形成最小工作平台</w:t>
            </w:r>
            <w:r>
              <w:rPr>
                <w:rFonts w:hint="eastAsia"/>
                <w:color w:val="FF0000"/>
                <w:lang w:val="en-US" w:eastAsia="zh-CN"/>
              </w:rPr>
              <w:t>。</w:t>
            </w:r>
          </w:p>
          <w:p w14:paraId="37803CBA">
            <w:pPr>
              <w:rPr>
                <w:rFonts w:hint="default"/>
                <w:color w:val="FF0000"/>
                <w:highlight w:val="none"/>
                <w:lang w:val="en-US" w:eastAsia="zh-CN"/>
              </w:rPr>
            </w:pPr>
            <w:r>
              <w:rPr>
                <w:rFonts w:hint="eastAsia"/>
                <w:color w:val="FF0000"/>
                <w:highlight w:val="none"/>
                <w:lang w:val="en-US" w:eastAsia="zh-CN"/>
              </w:rPr>
              <w:t>（2）露天采场排水设施</w:t>
            </w:r>
          </w:p>
          <w:p w14:paraId="144B40E9">
            <w:pPr>
              <w:rPr>
                <w:rFonts w:hint="default"/>
                <w:color w:val="FF0000"/>
                <w:lang w:val="en-US" w:eastAsia="zh-CN"/>
              </w:rPr>
            </w:pPr>
            <w:r>
              <w:rPr>
                <w:rFonts w:hint="default"/>
                <w:color w:val="FF0000"/>
                <w:lang w:val="en-US" w:eastAsia="zh-CN"/>
              </w:rPr>
              <w:t>排水设施</w:t>
            </w:r>
            <w:r>
              <w:rPr>
                <w:rFonts w:hint="eastAsia"/>
                <w:color w:val="FF0000"/>
                <w:lang w:val="en-US" w:eastAsia="zh-CN"/>
              </w:rPr>
              <w:t>工程主要在</w:t>
            </w:r>
            <w:r>
              <w:rPr>
                <w:rFonts w:hint="default"/>
                <w:color w:val="FF0000"/>
                <w:lang w:val="en-US" w:eastAsia="zh-CN"/>
              </w:rPr>
              <w:t>采场外围</w:t>
            </w:r>
            <w:r>
              <w:rPr>
                <w:rFonts w:hint="eastAsia"/>
                <w:color w:val="FF0000"/>
                <w:lang w:val="en-US" w:eastAsia="zh-CN"/>
              </w:rPr>
              <w:t>、办公生活</w:t>
            </w:r>
            <w:r>
              <w:rPr>
                <w:rFonts w:hint="default"/>
                <w:color w:val="FF0000"/>
                <w:lang w:val="en-US" w:eastAsia="zh-CN"/>
              </w:rPr>
              <w:t>区外围及开采境界外围</w:t>
            </w:r>
            <w:r>
              <w:rPr>
                <w:rFonts w:hint="eastAsia"/>
                <w:color w:val="FF0000"/>
                <w:lang w:val="en-US" w:eastAsia="zh-CN"/>
              </w:rPr>
              <w:t>建筑</w:t>
            </w:r>
            <w:r>
              <w:rPr>
                <w:rFonts w:hint="default"/>
                <w:color w:val="FF0000"/>
                <w:lang w:val="en-US" w:eastAsia="zh-CN"/>
              </w:rPr>
              <w:t>排水沟工程</w:t>
            </w:r>
            <w:r>
              <w:rPr>
                <w:rFonts w:hint="default"/>
                <w:color w:val="FF0000"/>
                <w:highlight w:val="none"/>
                <w:lang w:val="en-US" w:eastAsia="zh-CN"/>
              </w:rPr>
              <w:t>。</w:t>
            </w:r>
            <w:r>
              <w:rPr>
                <w:rFonts w:hint="eastAsia"/>
                <w:color w:val="FF0000"/>
                <w:lang w:val="en-US" w:eastAsia="zh-CN"/>
              </w:rPr>
              <w:t>新建排水沟总长度约长约</w:t>
            </w:r>
            <w:r>
              <w:rPr>
                <w:rFonts w:hint="default"/>
                <w:color w:val="FF0000"/>
                <w:lang w:val="en-US" w:eastAsia="zh-CN"/>
              </w:rPr>
              <w:t>865m</w:t>
            </w:r>
            <w:r>
              <w:rPr>
                <w:rFonts w:hint="eastAsia"/>
                <w:color w:val="FF0000"/>
                <w:lang w:val="en-US" w:eastAsia="zh-CN"/>
              </w:rPr>
              <w:t>，其横截面形状为倒梯形，采用浆砌石结构，顶宽</w:t>
            </w:r>
            <w:r>
              <w:rPr>
                <w:rFonts w:hint="default"/>
                <w:color w:val="FF0000"/>
                <w:lang w:val="en-US" w:eastAsia="zh-CN"/>
              </w:rPr>
              <w:t>0.6m</w:t>
            </w:r>
            <w:r>
              <w:rPr>
                <w:rFonts w:hint="eastAsia"/>
                <w:color w:val="FF0000"/>
                <w:lang w:val="en-US" w:eastAsia="zh-CN"/>
              </w:rPr>
              <w:t>、底宽</w:t>
            </w:r>
            <w:r>
              <w:rPr>
                <w:rFonts w:hint="default"/>
                <w:color w:val="FF0000"/>
                <w:lang w:val="en-US" w:eastAsia="zh-CN"/>
              </w:rPr>
              <w:t>0.4m</w:t>
            </w:r>
            <w:r>
              <w:rPr>
                <w:rFonts w:hint="eastAsia"/>
                <w:color w:val="FF0000"/>
                <w:lang w:val="en-US" w:eastAsia="zh-CN"/>
              </w:rPr>
              <w:t>、深</w:t>
            </w:r>
            <w:r>
              <w:rPr>
                <w:rFonts w:hint="default"/>
                <w:color w:val="FF0000"/>
                <w:lang w:val="en-US" w:eastAsia="zh-CN"/>
              </w:rPr>
              <w:t>0.4m</w:t>
            </w:r>
            <w:r>
              <w:rPr>
                <w:rFonts w:hint="eastAsia"/>
                <w:color w:val="FF0000"/>
                <w:lang w:val="en-US" w:eastAsia="zh-CN"/>
              </w:rPr>
              <w:t>。</w:t>
            </w:r>
          </w:p>
          <w:p w14:paraId="5F5BA6CC">
            <w:pPr>
              <w:rPr>
                <w:rFonts w:hint="default"/>
                <w:color w:val="FF0000"/>
                <w:highlight w:val="none"/>
                <w:lang w:val="en-US" w:eastAsia="zh-CN"/>
              </w:rPr>
            </w:pPr>
            <w:r>
              <w:rPr>
                <w:rFonts w:hint="eastAsia"/>
                <w:color w:val="FF0000"/>
                <w:highlight w:val="none"/>
                <w:lang w:val="en-US" w:eastAsia="zh-CN"/>
              </w:rPr>
              <w:t>（3）</w:t>
            </w:r>
            <w:r>
              <w:rPr>
                <w:rFonts w:hint="default"/>
                <w:color w:val="FF0000"/>
                <w:highlight w:val="none"/>
                <w:lang w:val="en-US" w:eastAsia="zh-CN"/>
              </w:rPr>
              <w:t>矿山道路工程</w:t>
            </w:r>
          </w:p>
          <w:p w14:paraId="69CE1658">
            <w:pPr>
              <w:rPr>
                <w:rFonts w:hint="default"/>
                <w:color w:val="FF0000"/>
                <w:highlight w:val="none"/>
                <w:lang w:val="en-US" w:eastAsia="zh-CN"/>
              </w:rPr>
            </w:pPr>
            <w:r>
              <w:rPr>
                <w:rFonts w:hint="default"/>
                <w:color w:val="FF0000"/>
                <w:highlight w:val="none"/>
                <w:lang w:val="en-US" w:eastAsia="zh-CN"/>
              </w:rPr>
              <w:t>该工程为采矿区内部运输道路的</w:t>
            </w:r>
            <w:r>
              <w:rPr>
                <w:rFonts w:hint="eastAsia"/>
                <w:color w:val="FF0000"/>
                <w:highlight w:val="none"/>
                <w:lang w:val="en-US" w:eastAsia="zh-CN"/>
              </w:rPr>
              <w:t>修建</w:t>
            </w:r>
            <w:r>
              <w:rPr>
                <w:rFonts w:hint="default"/>
                <w:color w:val="FF0000"/>
                <w:highlight w:val="none"/>
                <w:lang w:val="en-US" w:eastAsia="zh-CN"/>
              </w:rPr>
              <w:t>、拓宽及增设工作，矿区外道路直接利用现有道路，矿区内新修道路至各工作平台。</w:t>
            </w:r>
            <w:r>
              <w:rPr>
                <w:rFonts w:hint="eastAsia" w:ascii="Times New Roman" w:hAnsi="Times New Roman" w:eastAsia="宋体" w:cs="Times New Roman"/>
                <w:b w:val="0"/>
                <w:bCs w:val="0"/>
                <w:color w:val="FF0000"/>
                <w:sz w:val="24"/>
                <w:szCs w:val="24"/>
                <w:highlight w:val="none"/>
                <w:lang w:val="en-US" w:eastAsia="zh-CN"/>
              </w:rPr>
              <w:t>矿山道路主要依据地形沿原有乡村道路呈“</w:t>
            </w:r>
            <w:r>
              <w:rPr>
                <w:rFonts w:hint="default" w:ascii="Times New Roman" w:hAnsi="Times New Roman" w:eastAsia="宋体" w:cs="Times New Roman"/>
                <w:b w:val="0"/>
                <w:bCs w:val="0"/>
                <w:color w:val="FF0000"/>
                <w:sz w:val="24"/>
                <w:szCs w:val="24"/>
                <w:highlight w:val="none"/>
                <w:lang w:val="en-US" w:eastAsia="zh-CN"/>
              </w:rPr>
              <w:t>S</w:t>
            </w:r>
            <w:r>
              <w:rPr>
                <w:rFonts w:hint="eastAsia" w:ascii="Times New Roman" w:hAnsi="Times New Roman" w:eastAsia="宋体" w:cs="Times New Roman"/>
                <w:b w:val="0"/>
                <w:bCs w:val="0"/>
                <w:color w:val="FF0000"/>
                <w:sz w:val="24"/>
                <w:szCs w:val="24"/>
                <w:highlight w:val="none"/>
                <w:lang w:val="en-US" w:eastAsia="zh-CN"/>
              </w:rPr>
              <w:t>”型布设于矿区西侧及南侧地形较缓处</w:t>
            </w:r>
            <w:r>
              <w:rPr>
                <w:rFonts w:hint="eastAsia" w:cs="Times New Roman"/>
                <w:b w:val="0"/>
                <w:bCs w:val="0"/>
                <w:color w:val="FF0000"/>
                <w:sz w:val="24"/>
                <w:szCs w:val="24"/>
                <w:highlight w:val="none"/>
                <w:lang w:val="en-US" w:eastAsia="zh-CN"/>
              </w:rPr>
              <w:t>，由</w:t>
            </w:r>
            <w:r>
              <w:rPr>
                <w:rFonts w:hint="default" w:ascii="Times New Roman" w:hAnsi="Times New Roman" w:eastAsia="宋体" w:cs="Times New Roman"/>
                <w:b w:val="0"/>
                <w:bCs w:val="0"/>
                <w:color w:val="FF0000"/>
                <w:sz w:val="24"/>
                <w:szCs w:val="24"/>
                <w:highlight w:val="none"/>
                <w:lang w:val="en-US" w:eastAsia="zh-CN"/>
              </w:rPr>
              <w:t>山下折返式修至设计的采场最上部台阶，再由上至下向每一个台阶</w:t>
            </w:r>
            <w:r>
              <w:rPr>
                <w:rFonts w:hint="eastAsia" w:cs="Times New Roman"/>
                <w:b w:val="0"/>
                <w:bCs w:val="0"/>
                <w:color w:val="FF0000"/>
                <w:sz w:val="24"/>
                <w:szCs w:val="24"/>
                <w:highlight w:val="none"/>
                <w:lang w:val="en-US" w:eastAsia="zh-CN"/>
              </w:rPr>
              <w:t>开辟</w:t>
            </w:r>
            <w:r>
              <w:rPr>
                <w:rFonts w:hint="default" w:ascii="Times New Roman" w:hAnsi="Times New Roman" w:eastAsia="宋体" w:cs="Times New Roman"/>
                <w:b w:val="0"/>
                <w:bCs w:val="0"/>
                <w:color w:val="FF0000"/>
                <w:sz w:val="24"/>
                <w:szCs w:val="24"/>
                <w:highlight w:val="none"/>
                <w:lang w:val="en-US" w:eastAsia="zh-CN"/>
              </w:rPr>
              <w:t>支线与</w:t>
            </w:r>
            <w:r>
              <w:rPr>
                <w:rFonts w:hint="eastAsia" w:cs="Times New Roman"/>
                <w:b w:val="0"/>
                <w:bCs w:val="0"/>
                <w:color w:val="FF0000"/>
                <w:sz w:val="24"/>
                <w:szCs w:val="24"/>
                <w:highlight w:val="none"/>
                <w:lang w:val="en-US" w:eastAsia="zh-CN"/>
              </w:rPr>
              <w:t>矿山主体道路</w:t>
            </w:r>
            <w:r>
              <w:rPr>
                <w:rFonts w:hint="default" w:ascii="Times New Roman" w:hAnsi="Times New Roman" w:eastAsia="宋体" w:cs="Times New Roman"/>
                <w:b w:val="0"/>
                <w:bCs w:val="0"/>
                <w:color w:val="FF0000"/>
                <w:sz w:val="24"/>
                <w:szCs w:val="24"/>
                <w:highlight w:val="none"/>
                <w:lang w:val="en-US" w:eastAsia="zh-CN"/>
              </w:rPr>
              <w:t>相连</w:t>
            </w:r>
            <w:r>
              <w:rPr>
                <w:rFonts w:hint="eastAsia" w:ascii="Times New Roman" w:hAnsi="Times New Roman" w:eastAsia="宋体" w:cs="Times New Roman"/>
                <w:b w:val="0"/>
                <w:bCs w:val="0"/>
                <w:color w:val="FF0000"/>
                <w:sz w:val="24"/>
                <w:szCs w:val="24"/>
                <w:highlight w:val="none"/>
                <w:lang w:val="en-US" w:eastAsia="zh-CN"/>
              </w:rPr>
              <w:t>，采用泥浇碎石路面，宽</w:t>
            </w:r>
            <w:r>
              <w:rPr>
                <w:rFonts w:hint="default" w:ascii="Times New Roman" w:hAnsi="Times New Roman" w:eastAsia="宋体" w:cs="Times New Roman"/>
                <w:b w:val="0"/>
                <w:bCs w:val="0"/>
                <w:color w:val="FF0000"/>
                <w:sz w:val="24"/>
                <w:szCs w:val="24"/>
                <w:highlight w:val="none"/>
                <w:lang w:val="en-US" w:eastAsia="zh-CN"/>
              </w:rPr>
              <w:t>6m</w:t>
            </w:r>
            <w:r>
              <w:rPr>
                <w:rFonts w:hint="eastAsia" w:ascii="Times New Roman" w:hAnsi="Times New Roman" w:eastAsia="宋体" w:cs="Times New Roman"/>
                <w:b w:val="0"/>
                <w:bCs w:val="0"/>
                <w:color w:val="FF0000"/>
                <w:sz w:val="24"/>
                <w:szCs w:val="24"/>
                <w:highlight w:val="none"/>
                <w:lang w:val="en-US" w:eastAsia="zh-CN"/>
              </w:rPr>
              <w:t>，路基宽</w:t>
            </w:r>
            <w:r>
              <w:rPr>
                <w:rFonts w:hint="default" w:ascii="Times New Roman" w:hAnsi="Times New Roman" w:eastAsia="宋体" w:cs="Times New Roman"/>
                <w:b w:val="0"/>
                <w:bCs w:val="0"/>
                <w:color w:val="FF0000"/>
                <w:sz w:val="24"/>
                <w:szCs w:val="24"/>
                <w:highlight w:val="none"/>
                <w:lang w:val="en-US" w:eastAsia="zh-CN"/>
              </w:rPr>
              <w:t>7m</w:t>
            </w:r>
            <w:r>
              <w:rPr>
                <w:rFonts w:hint="eastAsia" w:ascii="Times New Roman" w:hAnsi="Times New Roman" w:eastAsia="宋体" w:cs="Times New Roman"/>
                <w:b w:val="0"/>
                <w:bCs w:val="0"/>
                <w:color w:val="FF0000"/>
                <w:sz w:val="24"/>
                <w:szCs w:val="24"/>
                <w:highlight w:val="none"/>
                <w:lang w:val="en-US" w:eastAsia="zh-CN"/>
              </w:rPr>
              <w:t>，路面最大纵坡</w:t>
            </w:r>
            <w:r>
              <w:rPr>
                <w:rFonts w:hint="default" w:ascii="Times New Roman" w:hAnsi="Times New Roman" w:eastAsia="宋体" w:cs="Times New Roman"/>
                <w:b w:val="0"/>
                <w:bCs w:val="0"/>
                <w:color w:val="FF0000"/>
                <w:sz w:val="24"/>
                <w:szCs w:val="24"/>
                <w:highlight w:val="none"/>
                <w:lang w:val="en-US" w:eastAsia="zh-CN"/>
              </w:rPr>
              <w:t>8%</w:t>
            </w:r>
            <w:r>
              <w:rPr>
                <w:rFonts w:hint="eastAsia" w:ascii="Times New Roman" w:hAnsi="Times New Roman" w:eastAsia="宋体" w:cs="Times New Roman"/>
                <w:b w:val="0"/>
                <w:bCs w:val="0"/>
                <w:color w:val="FF0000"/>
                <w:sz w:val="24"/>
                <w:szCs w:val="24"/>
                <w:highlight w:val="none"/>
                <w:lang w:val="en-US" w:eastAsia="zh-CN"/>
              </w:rPr>
              <w:t>，平均坡度小于</w:t>
            </w:r>
            <w:r>
              <w:rPr>
                <w:rFonts w:hint="default" w:ascii="Times New Roman" w:hAnsi="Times New Roman" w:eastAsia="宋体" w:cs="Times New Roman"/>
                <w:b w:val="0"/>
                <w:bCs w:val="0"/>
                <w:color w:val="FF0000"/>
                <w:sz w:val="24"/>
                <w:szCs w:val="24"/>
                <w:highlight w:val="none"/>
                <w:lang w:val="en-US" w:eastAsia="zh-CN"/>
              </w:rPr>
              <w:t>6.5</w:t>
            </w:r>
            <w:r>
              <w:rPr>
                <w:rFonts w:hint="eastAsia" w:ascii="Times New Roman" w:hAnsi="Times New Roman" w:eastAsia="宋体" w:cs="Times New Roman"/>
                <w:b w:val="0"/>
                <w:bCs w:val="0"/>
                <w:color w:val="FF0000"/>
                <w:sz w:val="24"/>
                <w:szCs w:val="24"/>
                <w:highlight w:val="none"/>
                <w:lang w:val="en-US" w:eastAsia="zh-CN"/>
              </w:rPr>
              <w:t>％，最小转弯半径不小于</w:t>
            </w:r>
            <w:r>
              <w:rPr>
                <w:rFonts w:hint="default" w:ascii="Times New Roman" w:hAnsi="Times New Roman" w:eastAsia="宋体" w:cs="Times New Roman"/>
                <w:b w:val="0"/>
                <w:bCs w:val="0"/>
                <w:color w:val="FF0000"/>
                <w:sz w:val="24"/>
                <w:szCs w:val="24"/>
                <w:highlight w:val="none"/>
                <w:lang w:val="en-US" w:eastAsia="zh-CN"/>
              </w:rPr>
              <w:t>15m</w:t>
            </w:r>
            <w:r>
              <w:rPr>
                <w:rFonts w:hint="eastAsia" w:ascii="Times New Roman" w:hAnsi="Times New Roman" w:eastAsia="宋体" w:cs="Times New Roman"/>
                <w:b w:val="0"/>
                <w:bCs w:val="0"/>
                <w:color w:val="FF0000"/>
                <w:sz w:val="24"/>
                <w:szCs w:val="24"/>
                <w:highlight w:val="none"/>
                <w:lang w:val="en-US" w:eastAsia="zh-CN"/>
              </w:rPr>
              <w:t>。</w:t>
            </w:r>
          </w:p>
          <w:p w14:paraId="52016D36">
            <w:pPr>
              <w:rPr>
                <w:rFonts w:hint="default"/>
                <w:color w:val="FF0000"/>
                <w:highlight w:val="none"/>
                <w:lang w:val="en-US" w:eastAsia="zh-CN"/>
              </w:rPr>
            </w:pPr>
            <w:r>
              <w:rPr>
                <w:rFonts w:hint="eastAsia"/>
                <w:color w:val="FF0000"/>
                <w:highlight w:val="none"/>
                <w:lang w:val="en-US" w:eastAsia="zh-CN"/>
              </w:rPr>
              <w:t>（4）</w:t>
            </w:r>
            <w:r>
              <w:rPr>
                <w:rFonts w:hint="default"/>
                <w:color w:val="FF0000"/>
                <w:highlight w:val="none"/>
                <w:lang w:val="en-US" w:eastAsia="zh-CN"/>
              </w:rPr>
              <w:t>配套设施搭建</w:t>
            </w:r>
          </w:p>
          <w:p w14:paraId="534A1991">
            <w:pPr>
              <w:rPr>
                <w:rFonts w:hint="default"/>
                <w:color w:val="FF0000"/>
                <w:highlight w:val="none"/>
                <w:lang w:val="en-US" w:eastAsia="zh-CN"/>
              </w:rPr>
            </w:pPr>
            <w:r>
              <w:rPr>
                <w:rFonts w:hint="eastAsia"/>
                <w:color w:val="FF0000"/>
                <w:lang w:val="en-US" w:eastAsia="zh-CN"/>
              </w:rPr>
              <w:t>露天采场的配套设施搭建；修筑加工区车间、成品堆场车间、办公生活区住房等</w:t>
            </w:r>
            <w:r>
              <w:rPr>
                <w:rFonts w:hint="eastAsia"/>
                <w:color w:val="FF0000"/>
                <w:highlight w:val="none"/>
                <w:lang w:val="en-US" w:eastAsia="zh-CN"/>
              </w:rPr>
              <w:t>，以及</w:t>
            </w:r>
            <w:r>
              <w:rPr>
                <w:rFonts w:hint="default"/>
                <w:color w:val="FF0000"/>
                <w:highlight w:val="none"/>
                <w:lang w:val="en-US" w:eastAsia="zh-CN"/>
              </w:rPr>
              <w:t>设备安装搭建。</w:t>
            </w:r>
          </w:p>
          <w:p w14:paraId="0488FB56">
            <w:pPr>
              <w:adjustRightInd w:val="0"/>
              <w:snapToGrid w:val="0"/>
              <w:spacing w:line="360" w:lineRule="auto"/>
              <w:ind w:firstLine="480" w:firstLineChars="200"/>
              <w:jc w:val="left"/>
              <w:rPr>
                <w:rFonts w:hint="default"/>
                <w:lang w:val="en-US" w:eastAsia="zh-CN"/>
              </w:rPr>
            </w:pPr>
            <w:r>
              <w:rPr>
                <w:rFonts w:hint="eastAsia"/>
                <w:lang w:val="en-US" w:eastAsia="zh-CN"/>
              </w:rPr>
              <w:t>（二）施工期主要产污环节及污染物</w:t>
            </w:r>
          </w:p>
          <w:p w14:paraId="4431A6C5">
            <w:pPr>
              <w:adjustRightInd w:val="0"/>
              <w:snapToGrid w:val="0"/>
              <w:spacing w:line="360" w:lineRule="auto"/>
              <w:ind w:firstLine="480" w:firstLineChars="200"/>
              <w:jc w:val="left"/>
              <w:rPr>
                <w:rFonts w:hint="eastAsia" w:eastAsia="宋体"/>
                <w:color w:val="000000"/>
                <w:sz w:val="24"/>
                <w:lang w:eastAsia="zh-CN"/>
              </w:rPr>
            </w:pPr>
            <w:r>
              <w:rPr>
                <w:rFonts w:hint="eastAsia"/>
                <w:color w:val="000000"/>
                <w:sz w:val="24"/>
                <w:lang w:eastAsia="zh-CN"/>
              </w:rPr>
              <w:t>（</w:t>
            </w:r>
            <w:r>
              <w:rPr>
                <w:rFonts w:hint="eastAsia"/>
                <w:color w:val="000000"/>
                <w:sz w:val="24"/>
                <w:lang w:val="en-US" w:eastAsia="zh-CN"/>
              </w:rPr>
              <w:t>1</w:t>
            </w:r>
            <w:r>
              <w:rPr>
                <w:rFonts w:hint="eastAsia"/>
                <w:color w:val="000000"/>
                <w:sz w:val="24"/>
                <w:lang w:eastAsia="zh-CN"/>
              </w:rPr>
              <w:t>）</w:t>
            </w:r>
            <w:r>
              <w:rPr>
                <w:rFonts w:hint="eastAsia"/>
                <w:color w:val="000000"/>
                <w:sz w:val="24"/>
                <w:lang w:val="en-US" w:eastAsia="zh-CN"/>
              </w:rPr>
              <w:t>废气：</w:t>
            </w:r>
            <w:r>
              <w:rPr>
                <w:color w:val="000000"/>
                <w:sz w:val="24"/>
              </w:rPr>
              <w:t>本项目施工期废气有施工扬尘及施工机械、车辆燃油废气</w:t>
            </w:r>
            <w:r>
              <w:rPr>
                <w:rFonts w:hint="eastAsia"/>
                <w:color w:val="000000"/>
                <w:sz w:val="24"/>
                <w:lang w:eastAsia="zh-CN"/>
              </w:rPr>
              <w:t>。</w:t>
            </w:r>
          </w:p>
          <w:p w14:paraId="77C2755D">
            <w:pPr>
              <w:pStyle w:val="10"/>
              <w:adjustRightInd w:val="0"/>
              <w:snapToGrid w:val="0"/>
              <w:spacing w:after="0" w:line="360" w:lineRule="auto"/>
              <w:ind w:left="0" w:leftChars="0" w:firstLine="480" w:firstLineChars="200"/>
              <w:rPr>
                <w:color w:val="000000"/>
                <w:sz w:val="24"/>
              </w:rPr>
            </w:pPr>
            <w:r>
              <w:rPr>
                <w:rFonts w:hint="eastAsia"/>
                <w:color w:val="000000"/>
                <w:sz w:val="24"/>
                <w:lang w:eastAsia="zh-CN"/>
              </w:rPr>
              <w:t>（</w:t>
            </w:r>
            <w:r>
              <w:rPr>
                <w:rFonts w:hint="eastAsia"/>
                <w:color w:val="000000"/>
                <w:sz w:val="24"/>
                <w:lang w:val="en-US" w:eastAsia="zh-CN"/>
              </w:rPr>
              <w:t>2</w:t>
            </w:r>
            <w:r>
              <w:rPr>
                <w:rFonts w:hint="eastAsia"/>
                <w:color w:val="000000"/>
                <w:sz w:val="24"/>
                <w:lang w:eastAsia="zh-CN"/>
              </w:rPr>
              <w:t>）</w:t>
            </w:r>
            <w:r>
              <w:rPr>
                <w:rFonts w:hint="eastAsia"/>
                <w:color w:val="000000"/>
                <w:sz w:val="24"/>
                <w:lang w:val="en-US" w:eastAsia="zh-CN"/>
              </w:rPr>
              <w:t>废水：</w:t>
            </w:r>
            <w:r>
              <w:rPr>
                <w:color w:val="000000"/>
                <w:sz w:val="24"/>
              </w:rPr>
              <w:t>施工期废水主要为施工废水和施工人员生活污水。</w:t>
            </w:r>
          </w:p>
          <w:p w14:paraId="04BEFDE9">
            <w:pPr>
              <w:pStyle w:val="53"/>
              <w:adjustRightInd/>
              <w:spacing w:line="360" w:lineRule="auto"/>
              <w:ind w:firstLine="480" w:firstLineChars="200"/>
              <w:rPr>
                <w:rFonts w:ascii="Times New Roman" w:cs="Times New Roman"/>
                <w:kern w:val="2"/>
              </w:rPr>
            </w:pPr>
            <w:r>
              <w:rPr>
                <w:rFonts w:hint="eastAsia"/>
                <w:color w:val="000000"/>
                <w:sz w:val="24"/>
                <w:lang w:eastAsia="zh-CN"/>
              </w:rPr>
              <w:t>（</w:t>
            </w:r>
            <w:r>
              <w:rPr>
                <w:rFonts w:hint="eastAsia"/>
                <w:color w:val="000000"/>
                <w:sz w:val="24"/>
                <w:lang w:val="en-US" w:eastAsia="zh-CN"/>
              </w:rPr>
              <w:t>3</w:t>
            </w:r>
            <w:r>
              <w:rPr>
                <w:rFonts w:hint="eastAsia"/>
                <w:color w:val="000000"/>
                <w:sz w:val="24"/>
                <w:lang w:eastAsia="zh-CN"/>
              </w:rPr>
              <w:t>）</w:t>
            </w:r>
            <w:r>
              <w:rPr>
                <w:rFonts w:hint="eastAsia"/>
                <w:color w:val="000000"/>
                <w:sz w:val="24"/>
                <w:lang w:val="en-US" w:eastAsia="zh-CN"/>
              </w:rPr>
              <w:t>噪声：</w:t>
            </w:r>
            <w:r>
              <w:rPr>
                <w:color w:val="000000"/>
                <w:sz w:val="24"/>
              </w:rPr>
              <w:t>施工期噪声主要为施工机械产生噪声。施工期噪声包括各建筑机械和运输车辆噪声，声级值一般在85～100dB（A）。</w:t>
            </w:r>
          </w:p>
          <w:p w14:paraId="4DBB595A">
            <w:pPr>
              <w:pStyle w:val="53"/>
              <w:adjustRightInd/>
              <w:spacing w:line="360" w:lineRule="auto"/>
              <w:ind w:firstLine="480" w:firstLineChars="200"/>
              <w:rPr>
                <w:rFonts w:hint="default"/>
                <w:color w:val="000000"/>
                <w:sz w:val="24"/>
                <w:lang w:val="en-US" w:eastAsia="zh-CN"/>
              </w:rPr>
            </w:pPr>
            <w:r>
              <w:rPr>
                <w:rFonts w:hint="eastAsia"/>
                <w:color w:val="000000"/>
                <w:sz w:val="24"/>
                <w:lang w:eastAsia="zh-CN"/>
              </w:rPr>
              <w:t>（</w:t>
            </w:r>
            <w:r>
              <w:rPr>
                <w:rFonts w:hint="eastAsia"/>
                <w:color w:val="000000"/>
                <w:sz w:val="24"/>
                <w:lang w:val="en-US" w:eastAsia="zh-CN"/>
              </w:rPr>
              <w:t>4</w:t>
            </w:r>
            <w:r>
              <w:rPr>
                <w:rFonts w:hint="eastAsia"/>
                <w:color w:val="000000"/>
                <w:sz w:val="24"/>
                <w:lang w:eastAsia="zh-CN"/>
              </w:rPr>
              <w:t>）</w:t>
            </w:r>
            <w:r>
              <w:rPr>
                <w:rFonts w:hint="eastAsia"/>
                <w:color w:val="000000"/>
                <w:sz w:val="24"/>
                <w:lang w:val="en-US" w:eastAsia="zh-CN"/>
              </w:rPr>
              <w:t>固体废弃物：</w:t>
            </w:r>
            <w:r>
              <w:rPr>
                <w:rFonts w:hint="eastAsia"/>
                <w:color w:val="000000"/>
                <w:sz w:val="24"/>
                <w:lang w:eastAsia="zh-CN"/>
              </w:rPr>
              <w:t>根据本工程的建设内容及施工特点，工程施工过程中产生的固体废物主要为</w:t>
            </w:r>
            <w:r>
              <w:rPr>
                <w:rFonts w:hint="eastAsia"/>
                <w:color w:val="000000"/>
                <w:sz w:val="24"/>
                <w:lang w:val="en-US" w:eastAsia="zh-CN"/>
              </w:rPr>
              <w:t>剥离表土</w:t>
            </w:r>
            <w:r>
              <w:rPr>
                <w:rFonts w:hint="eastAsia"/>
                <w:color w:val="000000"/>
                <w:sz w:val="24"/>
                <w:lang w:eastAsia="zh-CN"/>
              </w:rPr>
              <w:t>、建筑垃圾和施工人员产生的生活垃圾。</w:t>
            </w:r>
          </w:p>
          <w:p w14:paraId="15BC23F8">
            <w:pPr>
              <w:pStyle w:val="4"/>
              <w:keepNext w:val="0"/>
              <w:keepLines w:val="0"/>
              <w:pageBreakBefore w:val="0"/>
              <w:widowControl w:val="0"/>
              <w:kinsoku/>
              <w:wordWrap/>
              <w:overflowPunct/>
              <w:topLinePunct w:val="0"/>
              <w:autoSpaceDE/>
              <w:autoSpaceDN/>
              <w:bidi w:val="0"/>
              <w:ind w:left="0" w:leftChars="0" w:firstLine="723" w:firstLineChars="300"/>
              <w:rPr>
                <w:rFonts w:hint="default"/>
                <w:b/>
                <w:bCs/>
                <w:kern w:val="0"/>
                <w:highlight w:val="yellow"/>
                <w:lang w:val="en-US" w:eastAsia="zh-CN"/>
              </w:rPr>
            </w:pPr>
            <w:r>
              <w:rPr>
                <w:rFonts w:hint="eastAsia"/>
                <w:lang w:val="en-US" w:eastAsia="zh-CN"/>
              </w:rPr>
              <w:t>2、运营期工艺流程：</w:t>
            </w:r>
          </w:p>
          <w:p w14:paraId="66F1FAF4">
            <w:pPr>
              <w:keepNext w:val="0"/>
              <w:keepLines w:val="0"/>
              <w:pageBreakBefore w:val="0"/>
              <w:widowControl w:val="0"/>
              <w:kinsoku/>
              <w:wordWrap/>
              <w:overflowPunct/>
              <w:topLinePunct w:val="0"/>
              <w:autoSpaceDE/>
              <w:autoSpaceDN/>
              <w:bidi w:val="0"/>
              <w:snapToGrid w:val="0"/>
              <w:spacing w:before="120" w:beforeLines="50" w:after="120" w:afterLines="50"/>
              <w:ind w:left="0" w:leftChars="0" w:right="120" w:rightChars="50" w:firstLine="0" w:firstLineChars="0"/>
              <w:jc w:val="center"/>
              <w:rPr>
                <w:rFonts w:hint="default"/>
                <w:b/>
                <w:bCs/>
                <w:kern w:val="0"/>
                <w:sz w:val="24"/>
                <w:lang w:val="en-US" w:eastAsia="zh-CN"/>
              </w:rPr>
            </w:pPr>
            <w:r>
              <w:rPr>
                <w:rFonts w:hint="default"/>
                <w:b/>
                <w:bCs/>
                <w:kern w:val="0"/>
                <w:sz w:val="24"/>
                <w:lang w:val="en-US" w:eastAsia="zh-CN"/>
              </w:rPr>
              <w:drawing>
                <wp:inline distT="0" distB="0" distL="114300" distR="114300">
                  <wp:extent cx="5064125" cy="7888605"/>
                  <wp:effectExtent l="0" t="0" r="3175" b="17145"/>
                  <wp:docPr id="1" name="图片 29"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工艺流程图"/>
                          <pic:cNvPicPr>
                            <a:picLocks noChangeAspect="1"/>
                          </pic:cNvPicPr>
                        </pic:nvPicPr>
                        <pic:blipFill>
                          <a:blip r:embed="rId10"/>
                          <a:stretch>
                            <a:fillRect/>
                          </a:stretch>
                        </pic:blipFill>
                        <pic:spPr>
                          <a:xfrm>
                            <a:off x="0" y="0"/>
                            <a:ext cx="5064125" cy="7888605"/>
                          </a:xfrm>
                          <a:prstGeom prst="rect">
                            <a:avLst/>
                          </a:prstGeom>
                          <a:noFill/>
                          <a:ln>
                            <a:noFill/>
                          </a:ln>
                        </pic:spPr>
                      </pic:pic>
                    </a:graphicData>
                  </a:graphic>
                </wp:inline>
              </w:drawing>
            </w:r>
          </w:p>
          <w:p w14:paraId="0DFBFBB4">
            <w:pPr>
              <w:pStyle w:val="5"/>
              <w:keepNext w:val="0"/>
              <w:keepLines w:val="0"/>
              <w:pageBreakBefore w:val="0"/>
              <w:widowControl w:val="0"/>
              <w:kinsoku/>
              <w:wordWrap/>
              <w:overflowPunct/>
              <w:topLinePunct w:val="0"/>
              <w:autoSpaceDE/>
              <w:autoSpaceDN/>
              <w:bidi w:val="0"/>
              <w:rPr>
                <w:rFonts w:hint="default"/>
                <w:lang w:val="en-US" w:eastAsia="zh-CN"/>
              </w:rPr>
            </w:pPr>
            <w:r>
              <w:rPr>
                <w:rFonts w:hint="eastAsia"/>
                <w:lang w:val="en-US" w:eastAsia="zh-CN"/>
              </w:rPr>
              <w:t>图2-1  项目工艺流程图</w:t>
            </w:r>
          </w:p>
          <w:p w14:paraId="04B0BEE6">
            <w:pPr>
              <w:pStyle w:val="4"/>
              <w:keepNext w:val="0"/>
              <w:keepLines w:val="0"/>
              <w:pageBreakBefore w:val="0"/>
              <w:widowControl w:val="0"/>
              <w:kinsoku/>
              <w:wordWrap/>
              <w:overflowPunct/>
              <w:topLinePunct w:val="0"/>
              <w:autoSpaceDE/>
              <w:autoSpaceDN/>
              <w:bidi w:val="0"/>
              <w:rPr>
                <w:rFonts w:hint="eastAsia"/>
              </w:rPr>
            </w:pPr>
            <w:r>
              <w:rPr>
                <w:rFonts w:hint="eastAsia"/>
                <w:lang w:val="en-US" w:eastAsia="zh-CN"/>
              </w:rPr>
              <w:t>3、运营期</w:t>
            </w:r>
            <w:r>
              <w:rPr>
                <w:rFonts w:hint="eastAsia"/>
              </w:rPr>
              <w:t>工艺流程简述：</w:t>
            </w:r>
          </w:p>
          <w:p w14:paraId="637092FC">
            <w:pPr>
              <w:pStyle w:val="4"/>
              <w:keepNext w:val="0"/>
              <w:keepLines w:val="0"/>
              <w:pageBreakBefore w:val="0"/>
              <w:widowControl w:val="0"/>
              <w:kinsoku/>
              <w:wordWrap/>
              <w:overflowPunct/>
              <w:topLinePunct w:val="0"/>
              <w:autoSpaceDE/>
              <w:autoSpaceDN/>
              <w:bidi w:val="0"/>
              <w:rPr>
                <w:rFonts w:hint="eastAsia" w:cs="Times New Roman"/>
                <w:b w:val="0"/>
                <w:bCs w:val="0"/>
                <w:color w:val="0000FC"/>
                <w:kern w:val="0"/>
                <w:sz w:val="24"/>
                <w:szCs w:val="24"/>
                <w:lang w:val="en-US" w:eastAsia="zh-CN" w:bidi="ar"/>
              </w:rPr>
            </w:pPr>
            <w:r>
              <w:rPr>
                <w:rFonts w:hint="eastAsia"/>
                <w:b w:val="0"/>
                <w:bCs w:val="0"/>
                <w:color w:val="0000FC"/>
                <w:sz w:val="24"/>
                <w:highlight w:val="none"/>
                <w:lang w:val="en-US" w:eastAsia="zh-CN"/>
              </w:rPr>
              <w:t>根据矿山开采方式及开发时序，通过开采终了剖面图可知，项目在山顶从上而下进行开采，第一平台高度为15m，由于最终台阶坡面角为50</w:t>
            </w:r>
            <w:r>
              <w:rPr>
                <w:rFonts w:hint="default" w:ascii="Times New Roman" w:hAnsi="Times New Roman" w:eastAsia="宋体" w:cs="Times New Roman"/>
                <w:b w:val="0"/>
                <w:bCs w:val="0"/>
                <w:color w:val="0000FC"/>
                <w:kern w:val="0"/>
                <w:sz w:val="24"/>
                <w:szCs w:val="24"/>
                <w:lang w:val="en-US" w:eastAsia="zh-CN" w:bidi="ar"/>
              </w:rPr>
              <w:t>°</w:t>
            </w:r>
            <w:r>
              <w:rPr>
                <w:rFonts w:hint="eastAsia" w:cs="Times New Roman"/>
                <w:b w:val="0"/>
                <w:bCs w:val="0"/>
                <w:color w:val="0000FC"/>
                <w:kern w:val="0"/>
                <w:sz w:val="24"/>
                <w:szCs w:val="24"/>
                <w:lang w:val="en-US" w:eastAsia="zh-CN" w:bidi="ar"/>
              </w:rPr>
              <w:t>，根据数学计算，第一平台矿石储量约为2486m</w:t>
            </w:r>
            <w:r>
              <w:rPr>
                <w:rFonts w:hint="eastAsia" w:cs="Times New Roman"/>
                <w:b w:val="0"/>
                <w:bCs w:val="0"/>
                <w:color w:val="0000FC"/>
                <w:kern w:val="0"/>
                <w:sz w:val="24"/>
                <w:szCs w:val="24"/>
                <w:vertAlign w:val="superscript"/>
                <w:lang w:val="en-US" w:eastAsia="zh-CN" w:bidi="ar"/>
              </w:rPr>
              <w:t>3</w:t>
            </w:r>
            <w:r>
              <w:rPr>
                <w:rFonts w:hint="eastAsia" w:cs="Times New Roman"/>
                <w:b w:val="0"/>
                <w:bCs w:val="0"/>
                <w:color w:val="0000FC"/>
                <w:kern w:val="0"/>
                <w:sz w:val="24"/>
                <w:szCs w:val="24"/>
                <w:lang w:val="en-US" w:eastAsia="zh-CN" w:bidi="ar"/>
              </w:rPr>
              <w:t>，由于年开采量为100万m</w:t>
            </w:r>
            <w:r>
              <w:rPr>
                <w:rFonts w:hint="eastAsia" w:cs="Times New Roman"/>
                <w:b w:val="0"/>
                <w:bCs w:val="0"/>
                <w:color w:val="0000FC"/>
                <w:kern w:val="0"/>
                <w:sz w:val="24"/>
                <w:szCs w:val="24"/>
                <w:vertAlign w:val="superscript"/>
                <w:lang w:val="en-US" w:eastAsia="zh-CN" w:bidi="ar"/>
              </w:rPr>
              <w:t>3</w:t>
            </w:r>
            <w:r>
              <w:rPr>
                <w:rFonts w:hint="eastAsia" w:cs="Times New Roman"/>
                <w:b w:val="0"/>
                <w:bCs w:val="0"/>
                <w:color w:val="0000FC"/>
                <w:kern w:val="0"/>
                <w:sz w:val="24"/>
                <w:szCs w:val="24"/>
                <w:lang w:val="en-US" w:eastAsia="zh-CN" w:bidi="ar"/>
              </w:rPr>
              <w:t>，年工作天数为250天，则每日开采量为4000m</w:t>
            </w:r>
            <w:r>
              <w:rPr>
                <w:rFonts w:hint="eastAsia" w:cs="Times New Roman"/>
                <w:b w:val="0"/>
                <w:bCs w:val="0"/>
                <w:color w:val="0000FC"/>
                <w:kern w:val="0"/>
                <w:sz w:val="24"/>
                <w:szCs w:val="24"/>
                <w:vertAlign w:val="superscript"/>
                <w:lang w:val="en-US" w:eastAsia="zh-CN" w:bidi="ar"/>
              </w:rPr>
              <w:t>3</w:t>
            </w:r>
            <w:r>
              <w:rPr>
                <w:rFonts w:hint="eastAsia" w:cs="Times New Roman"/>
                <w:b w:val="0"/>
                <w:bCs w:val="0"/>
                <w:color w:val="0000FC"/>
                <w:kern w:val="0"/>
                <w:sz w:val="24"/>
                <w:szCs w:val="24"/>
                <w:lang w:val="en-US" w:eastAsia="zh-CN" w:bidi="ar"/>
              </w:rPr>
              <w:t>，则第一平台开采所需时间为5h。</w:t>
            </w:r>
          </w:p>
          <w:p w14:paraId="17E48AF6">
            <w:pPr>
              <w:keepNext w:val="0"/>
              <w:keepLines w:val="0"/>
              <w:widowControl/>
              <w:suppressLineNumbers w:val="0"/>
              <w:jc w:val="left"/>
              <w:rPr>
                <w:rFonts w:hint="eastAsia" w:cs="Times New Roman"/>
                <w:b w:val="0"/>
                <w:bCs w:val="0"/>
                <w:color w:val="0000FC"/>
                <w:kern w:val="0"/>
                <w:sz w:val="24"/>
                <w:szCs w:val="24"/>
                <w:lang w:val="en-US" w:eastAsia="zh-CN" w:bidi="ar"/>
              </w:rPr>
            </w:pPr>
            <w:r>
              <w:rPr>
                <w:rFonts w:hint="eastAsia" w:cs="Times New Roman"/>
                <w:b w:val="0"/>
                <w:bCs w:val="0"/>
                <w:color w:val="0000FC"/>
                <w:kern w:val="0"/>
                <w:sz w:val="24"/>
                <w:szCs w:val="24"/>
                <w:lang w:val="en-US" w:eastAsia="zh-CN" w:bidi="ar"/>
              </w:rPr>
              <w:t>项目开采前需进行表土剥离，剥离表</w:t>
            </w:r>
            <w:r>
              <w:rPr>
                <w:rFonts w:hint="eastAsia" w:ascii="Times New Roman" w:hAnsi="Times New Roman" w:eastAsia="宋体" w:cs="Times New Roman"/>
                <w:b w:val="0"/>
                <w:bCs w:val="0"/>
                <w:color w:val="0000FC"/>
                <w:kern w:val="0"/>
                <w:sz w:val="24"/>
                <w:szCs w:val="24"/>
                <w:lang w:val="en-US" w:eastAsia="zh-CN" w:bidi="ar"/>
              </w:rPr>
              <w:t>土平均厚度按</w:t>
            </w:r>
            <w:r>
              <w:rPr>
                <w:rFonts w:hint="default" w:ascii="Times New Roman" w:hAnsi="Times New Roman" w:eastAsia="宋体" w:cs="Times New Roman"/>
                <w:b w:val="0"/>
                <w:bCs w:val="0"/>
                <w:color w:val="0000FC"/>
                <w:kern w:val="0"/>
                <w:sz w:val="24"/>
                <w:szCs w:val="24"/>
                <w:lang w:val="en-US" w:eastAsia="zh-CN" w:bidi="ar"/>
              </w:rPr>
              <w:t>5m</w:t>
            </w:r>
            <w:r>
              <w:rPr>
                <w:rFonts w:hint="eastAsia" w:ascii="Times New Roman" w:hAnsi="Times New Roman" w:eastAsia="宋体" w:cs="Times New Roman"/>
                <w:b w:val="0"/>
                <w:bCs w:val="0"/>
                <w:color w:val="0000FC"/>
                <w:kern w:val="0"/>
                <w:sz w:val="24"/>
                <w:szCs w:val="24"/>
                <w:lang w:val="en-US" w:eastAsia="zh-CN" w:bidi="ar"/>
              </w:rPr>
              <w:t>考虑进行计算，剥离量为497.2</w:t>
            </w:r>
            <w:r>
              <w:rPr>
                <w:rFonts w:hint="default" w:ascii="Times New Roman" w:hAnsi="Times New Roman" w:eastAsia="宋体" w:cs="Times New Roman"/>
                <w:b w:val="0"/>
                <w:bCs w:val="0"/>
                <w:color w:val="0000FC"/>
                <w:kern w:val="0"/>
                <w:sz w:val="24"/>
                <w:szCs w:val="24"/>
                <w:lang w:val="en-US" w:eastAsia="zh-CN" w:bidi="ar"/>
              </w:rPr>
              <w:t>m</w:t>
            </w:r>
            <w:r>
              <w:rPr>
                <w:rFonts w:hint="default" w:ascii="Times New Roman" w:hAnsi="Times New Roman" w:eastAsia="宋体" w:cs="Times New Roman"/>
                <w:b w:val="0"/>
                <w:bCs w:val="0"/>
                <w:color w:val="0000FC"/>
                <w:kern w:val="0"/>
                <w:sz w:val="24"/>
                <w:szCs w:val="24"/>
                <w:vertAlign w:val="superscript"/>
                <w:lang w:val="en-US" w:eastAsia="zh-CN" w:bidi="ar"/>
              </w:rPr>
              <w:t>3</w:t>
            </w:r>
            <w:r>
              <w:rPr>
                <w:rFonts w:hint="eastAsia" w:ascii="Times New Roman" w:hAnsi="Times New Roman" w:eastAsia="宋体" w:cs="Times New Roman"/>
                <w:b w:val="0"/>
                <w:bCs w:val="0"/>
                <w:color w:val="0000FC"/>
                <w:kern w:val="0"/>
                <w:sz w:val="24"/>
                <w:szCs w:val="24"/>
                <w:lang w:val="en-US" w:eastAsia="zh-CN" w:bidi="ar"/>
              </w:rPr>
              <w:t>，剥采比为</w:t>
            </w:r>
            <w:r>
              <w:rPr>
                <w:rFonts w:hint="default" w:ascii="Times New Roman" w:hAnsi="Times New Roman" w:eastAsia="宋体" w:cs="Times New Roman"/>
                <w:b w:val="0"/>
                <w:bCs w:val="0"/>
                <w:color w:val="0000FC"/>
                <w:kern w:val="0"/>
                <w:sz w:val="24"/>
                <w:szCs w:val="24"/>
                <w:lang w:val="en-US" w:eastAsia="zh-CN" w:bidi="ar"/>
              </w:rPr>
              <w:t>0.2</w:t>
            </w:r>
            <w:r>
              <w:rPr>
                <w:rFonts w:hint="eastAsia" w:ascii="Times New Roman" w:hAnsi="Times New Roman" w:eastAsia="宋体" w:cs="Times New Roman"/>
                <w:b w:val="0"/>
                <w:bCs w:val="0"/>
                <w:color w:val="0000FC"/>
                <w:kern w:val="0"/>
                <w:sz w:val="24"/>
                <w:szCs w:val="24"/>
                <w:lang w:val="en-US" w:eastAsia="zh-CN" w:bidi="ar"/>
              </w:rPr>
              <w:t>∶</w:t>
            </w:r>
            <w:r>
              <w:rPr>
                <w:rFonts w:hint="default" w:ascii="Times New Roman" w:hAnsi="Times New Roman" w:eastAsia="宋体" w:cs="Times New Roman"/>
                <w:b w:val="0"/>
                <w:bCs w:val="0"/>
                <w:color w:val="0000FC"/>
                <w:kern w:val="0"/>
                <w:sz w:val="24"/>
                <w:szCs w:val="24"/>
                <w:lang w:val="en-US" w:eastAsia="zh-CN" w:bidi="ar"/>
              </w:rPr>
              <w:t>1</w:t>
            </w:r>
            <w:r>
              <w:rPr>
                <w:rFonts w:hint="eastAsia" w:ascii="Times New Roman" w:hAnsi="Times New Roman" w:eastAsia="宋体" w:cs="Times New Roman"/>
                <w:b w:val="0"/>
                <w:bCs w:val="0"/>
                <w:color w:val="0000FC"/>
                <w:kern w:val="0"/>
                <w:sz w:val="24"/>
                <w:szCs w:val="24"/>
                <w:lang w:val="en-US" w:eastAsia="zh-CN" w:bidi="ar"/>
              </w:rPr>
              <w:t>（</w:t>
            </w:r>
            <w:r>
              <w:rPr>
                <w:rFonts w:hint="default" w:ascii="Times New Roman" w:hAnsi="Times New Roman" w:eastAsia="宋体" w:cs="Times New Roman"/>
                <w:b w:val="0"/>
                <w:bCs w:val="0"/>
                <w:color w:val="0000FC"/>
                <w:kern w:val="0"/>
                <w:sz w:val="24"/>
                <w:szCs w:val="24"/>
                <w:lang w:val="en-US" w:eastAsia="zh-CN" w:bidi="ar"/>
              </w:rPr>
              <w:t>m</w:t>
            </w:r>
            <w:r>
              <w:rPr>
                <w:rFonts w:hint="default" w:ascii="Times New Roman" w:hAnsi="Times New Roman" w:eastAsia="宋体" w:cs="Times New Roman"/>
                <w:b w:val="0"/>
                <w:bCs w:val="0"/>
                <w:color w:val="0000FC"/>
                <w:kern w:val="0"/>
                <w:sz w:val="24"/>
                <w:szCs w:val="24"/>
                <w:vertAlign w:val="superscript"/>
                <w:lang w:val="en-US" w:eastAsia="zh-CN" w:bidi="ar"/>
              </w:rPr>
              <w:t>3</w:t>
            </w:r>
            <w:r>
              <w:rPr>
                <w:rFonts w:hint="default" w:ascii="Times New Roman" w:hAnsi="Times New Roman" w:eastAsia="宋体" w:cs="Times New Roman"/>
                <w:b w:val="0"/>
                <w:bCs w:val="0"/>
                <w:color w:val="0000FC"/>
                <w:kern w:val="0"/>
                <w:sz w:val="24"/>
                <w:szCs w:val="24"/>
                <w:lang w:val="en-US" w:eastAsia="zh-CN" w:bidi="ar"/>
              </w:rPr>
              <w:t>/m</w:t>
            </w:r>
            <w:r>
              <w:rPr>
                <w:rFonts w:hint="default" w:ascii="Times New Roman" w:hAnsi="Times New Roman" w:eastAsia="宋体" w:cs="Times New Roman"/>
                <w:b w:val="0"/>
                <w:bCs w:val="0"/>
                <w:color w:val="0000FC"/>
                <w:kern w:val="0"/>
                <w:sz w:val="24"/>
                <w:szCs w:val="24"/>
                <w:vertAlign w:val="superscript"/>
                <w:lang w:val="en-US" w:eastAsia="zh-CN" w:bidi="ar"/>
              </w:rPr>
              <w:t>3</w:t>
            </w:r>
            <w:r>
              <w:rPr>
                <w:rFonts w:hint="eastAsia" w:ascii="Times New Roman" w:hAnsi="Times New Roman" w:eastAsia="宋体" w:cs="Times New Roman"/>
                <w:b w:val="0"/>
                <w:bCs w:val="0"/>
                <w:color w:val="0000FC"/>
                <w:kern w:val="0"/>
                <w:sz w:val="24"/>
                <w:szCs w:val="24"/>
                <w:lang w:val="en-US" w:eastAsia="zh-CN" w:bidi="ar"/>
              </w:rPr>
              <w:t>），</w:t>
            </w:r>
            <w:r>
              <w:rPr>
                <w:rFonts w:hint="eastAsia" w:cs="Times New Roman"/>
                <w:b w:val="0"/>
                <w:bCs w:val="0"/>
                <w:color w:val="0000FC"/>
                <w:kern w:val="0"/>
                <w:sz w:val="24"/>
                <w:szCs w:val="24"/>
                <w:lang w:val="en-US" w:eastAsia="zh-CN" w:bidi="ar"/>
              </w:rPr>
              <w:t>将剥离的表土堆放至东侧排土场，第一平台开采结束后进行第二平台的开采，第二平台开采前也需进行表土剥离，将第二平台剥离的表土及时回覆至第一平台，并及时对已终了平台进行植被恢复，将回覆后剩余的表土堆存至东侧排土场。第二平台开采时产生的废石及时堆存至西侧排土场，并用于后期的生态恢复。</w:t>
            </w:r>
          </w:p>
          <w:p w14:paraId="4E3061F5">
            <w:pPr>
              <w:pStyle w:val="4"/>
              <w:keepNext w:val="0"/>
              <w:keepLines w:val="0"/>
              <w:pageBreakBefore w:val="0"/>
              <w:widowControl w:val="0"/>
              <w:kinsoku/>
              <w:wordWrap/>
              <w:overflowPunct/>
              <w:topLinePunct w:val="0"/>
              <w:autoSpaceDE/>
              <w:autoSpaceDN/>
              <w:bidi w:val="0"/>
              <w:rPr>
                <w:rFonts w:hint="eastAsia" w:ascii="宋体" w:hAnsi="宋体" w:eastAsia="宋体" w:cs="宋体"/>
                <w:b w:val="0"/>
                <w:bCs w:val="0"/>
                <w:color w:val="0000FC"/>
                <w:kern w:val="0"/>
                <w:sz w:val="24"/>
                <w:szCs w:val="24"/>
                <w:lang w:val="en-US" w:eastAsia="zh-CN" w:bidi="ar"/>
              </w:rPr>
            </w:pPr>
            <w:r>
              <w:rPr>
                <w:rFonts w:hint="eastAsia" w:cs="Times New Roman"/>
                <w:b w:val="0"/>
                <w:bCs w:val="0"/>
                <w:color w:val="0000FC"/>
                <w:kern w:val="0"/>
                <w:sz w:val="24"/>
                <w:szCs w:val="24"/>
                <w:lang w:val="en-US" w:eastAsia="zh-CN" w:bidi="ar"/>
              </w:rPr>
              <w:t>后续平台开采方式及恢复措施如上一致，</w:t>
            </w:r>
            <w:r>
              <w:rPr>
                <w:rFonts w:hint="eastAsia" w:ascii="宋体" w:hAnsi="宋体" w:eastAsia="宋体" w:cs="宋体"/>
                <w:b w:val="0"/>
                <w:bCs w:val="0"/>
                <w:color w:val="0000FC"/>
                <w:kern w:val="0"/>
                <w:sz w:val="24"/>
                <w:szCs w:val="24"/>
                <w:lang w:val="en-US" w:eastAsia="zh-CN" w:bidi="ar"/>
              </w:rPr>
              <w:t>采取“边开采、边恢复”的措施，对已终了平台及时复垦、绿化，下一台阶剥离表土用于上一台阶的植被恢复覆土，仅少量剩余表土堆放于排土场；矿山</w:t>
            </w:r>
            <w:r>
              <w:rPr>
                <w:rFonts w:hint="eastAsia" w:ascii="宋体" w:hAnsi="宋体" w:cs="宋体"/>
                <w:b w:val="0"/>
                <w:bCs w:val="0"/>
                <w:color w:val="0000FC"/>
                <w:kern w:val="0"/>
                <w:sz w:val="24"/>
                <w:szCs w:val="24"/>
                <w:lang w:val="en-US" w:eastAsia="zh-CN" w:bidi="ar"/>
              </w:rPr>
              <w:t>闭矿</w:t>
            </w:r>
            <w:r>
              <w:rPr>
                <w:rFonts w:hint="eastAsia" w:ascii="宋体" w:hAnsi="宋体" w:eastAsia="宋体" w:cs="宋体"/>
                <w:b w:val="0"/>
                <w:bCs w:val="0"/>
                <w:color w:val="0000FC"/>
                <w:kern w:val="0"/>
                <w:sz w:val="24"/>
                <w:szCs w:val="24"/>
                <w:lang w:val="en-US" w:eastAsia="zh-CN" w:bidi="ar"/>
              </w:rPr>
              <w:t>后及时进行土地复垦、植被恢复。</w:t>
            </w:r>
          </w:p>
          <w:p w14:paraId="5202C3A8">
            <w:pPr>
              <w:pStyle w:val="4"/>
              <w:keepNext w:val="0"/>
              <w:keepLines w:val="0"/>
              <w:pageBreakBefore w:val="0"/>
              <w:widowControl w:val="0"/>
              <w:kinsoku/>
              <w:wordWrap/>
              <w:overflowPunct/>
              <w:topLinePunct w:val="0"/>
              <w:autoSpaceDE/>
              <w:autoSpaceDN/>
              <w:bidi w:val="0"/>
              <w:rPr>
                <w:rFonts w:hint="eastAsia"/>
                <w:b w:val="0"/>
                <w:bCs w:val="0"/>
                <w:lang w:val="en-US" w:eastAsia="zh-CN"/>
              </w:rPr>
            </w:pPr>
            <w:r>
              <w:rPr>
                <w:rFonts w:hint="eastAsia" w:ascii="宋体" w:hAnsi="宋体" w:cs="宋体"/>
                <w:b w:val="0"/>
                <w:bCs w:val="0"/>
                <w:color w:val="0000FC"/>
                <w:kern w:val="0"/>
                <w:sz w:val="24"/>
                <w:szCs w:val="24"/>
                <w:lang w:val="en-US" w:eastAsia="zh-CN" w:bidi="ar"/>
              </w:rPr>
              <w:t>开采工艺主要为表土剥离、采矿穿孔、爆破、二次破碎，加工工艺主要为粗破、细破、筛分等。项目具体工艺流程如下所示。</w:t>
            </w:r>
          </w:p>
          <w:p w14:paraId="4E5A9F65">
            <w:pPr>
              <w:pStyle w:val="4"/>
              <w:keepNext w:val="0"/>
              <w:keepLines w:val="0"/>
              <w:pageBreakBefore w:val="0"/>
              <w:widowControl w:val="0"/>
              <w:kinsoku/>
              <w:wordWrap/>
              <w:overflowPunct/>
              <w:topLinePunct w:val="0"/>
              <w:autoSpaceDE/>
              <w:autoSpaceDN/>
              <w:bidi w:val="0"/>
              <w:rPr>
                <w:rFonts w:hint="default"/>
                <w:lang w:val="en-US" w:eastAsia="zh-CN"/>
              </w:rPr>
            </w:pPr>
            <w:r>
              <w:rPr>
                <w:rFonts w:hint="eastAsia"/>
                <w:lang w:val="en-US" w:eastAsia="zh-CN"/>
              </w:rPr>
              <w:t>3.1采矿工艺流程</w:t>
            </w:r>
          </w:p>
          <w:p w14:paraId="492C39B3">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（一）表土剥离 </w:t>
            </w:r>
          </w:p>
          <w:p w14:paraId="6187B3EB">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本项目先行剥离后采矿，表土剥离采用挖掘机直接采挖</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装载</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运输，拉运至矿区东西两侧排土场进行堆放。其工艺除穿爆外与下述采矿相同。</w:t>
            </w:r>
          </w:p>
          <w:p w14:paraId="346D3F71">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（二）采矿</w:t>
            </w:r>
          </w:p>
          <w:p w14:paraId="45B3C335">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（1）穿孔</w:t>
            </w:r>
          </w:p>
          <w:p w14:paraId="625E203B">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按</w:t>
            </w:r>
            <w:r>
              <w:rPr>
                <w:rFonts w:hint="default" w:ascii="Times New Roman" w:hAnsi="Times New Roman" w:eastAsia="宋体" w:cs="Times New Roman"/>
                <w:b w:val="0"/>
                <w:bCs w:val="0"/>
                <w:color w:val="auto"/>
                <w:sz w:val="24"/>
                <w:szCs w:val="24"/>
                <w:highlight w:val="none"/>
                <w:lang w:val="en-US" w:eastAsia="zh-CN"/>
              </w:rPr>
              <w:t>103.09</w:t>
            </w:r>
            <w:r>
              <w:rPr>
                <w:rFonts w:hint="eastAsia" w:ascii="Times New Roman" w:hAnsi="Times New Roman" w:eastAsia="宋体" w:cs="Times New Roman"/>
                <w:b w:val="0"/>
                <w:bCs w:val="0"/>
                <w:color w:val="auto"/>
                <w:sz w:val="24"/>
                <w:szCs w:val="24"/>
                <w:highlight w:val="none"/>
                <w:lang w:val="en-US" w:eastAsia="zh-CN"/>
              </w:rPr>
              <w:t>万</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的矿山年采总量计算，米孔爆破矿岩量为</w:t>
            </w:r>
            <w:r>
              <w:rPr>
                <w:rFonts w:hint="default" w:ascii="Times New Roman" w:hAnsi="Times New Roman" w:eastAsia="宋体" w:cs="Times New Roman"/>
                <w:b w:val="0"/>
                <w:bCs w:val="0"/>
                <w:color w:val="auto"/>
                <w:sz w:val="24"/>
                <w:szCs w:val="24"/>
                <w:highlight w:val="none"/>
                <w:lang w:val="en-US" w:eastAsia="zh-CN"/>
              </w:rPr>
              <w:t>25m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，年需穿孔总量约</w:t>
            </w:r>
            <w:r>
              <w:rPr>
                <w:rFonts w:hint="default" w:ascii="Times New Roman" w:hAnsi="Times New Roman" w:eastAsia="宋体" w:cs="Times New Roman"/>
                <w:b w:val="0"/>
                <w:bCs w:val="0"/>
                <w:color w:val="auto"/>
                <w:sz w:val="24"/>
                <w:szCs w:val="24"/>
                <w:highlight w:val="none"/>
                <w:lang w:val="en-US" w:eastAsia="zh-CN"/>
              </w:rPr>
              <w:t>41236m</w:t>
            </w:r>
            <w:r>
              <w:rPr>
                <w:rFonts w:hint="eastAsia" w:ascii="Times New Roman" w:hAnsi="Times New Roman" w:eastAsia="宋体" w:cs="Times New Roman"/>
                <w:b w:val="0"/>
                <w:bCs w:val="0"/>
                <w:color w:val="auto"/>
                <w:sz w:val="24"/>
                <w:szCs w:val="24"/>
                <w:highlight w:val="none"/>
                <w:lang w:val="en-US" w:eastAsia="zh-CN"/>
              </w:rPr>
              <w:t>。设计利用</w:t>
            </w:r>
            <w:r>
              <w:rPr>
                <w:rFonts w:hint="default" w:ascii="Times New Roman" w:hAnsi="Times New Roman" w:eastAsia="宋体" w:cs="Times New Roman"/>
                <w:b w:val="0"/>
                <w:bCs w:val="0"/>
                <w:color w:val="auto"/>
                <w:sz w:val="24"/>
                <w:szCs w:val="24"/>
                <w:highlight w:val="none"/>
                <w:lang w:val="en-US" w:eastAsia="zh-CN"/>
              </w:rPr>
              <w:t>ROCD55</w:t>
            </w:r>
            <w:r>
              <w:rPr>
                <w:rFonts w:hint="eastAsia" w:ascii="Times New Roman" w:hAnsi="Times New Roman" w:eastAsia="宋体" w:cs="Times New Roman"/>
                <w:b w:val="0"/>
                <w:bCs w:val="0"/>
                <w:color w:val="auto"/>
                <w:sz w:val="24"/>
                <w:szCs w:val="24"/>
                <w:highlight w:val="none"/>
                <w:lang w:val="en-US" w:eastAsia="zh-CN"/>
              </w:rPr>
              <w:t>型（自带空压机）露天潜孔钻车，钻孔直径</w:t>
            </w:r>
            <w:r>
              <w:rPr>
                <w:rFonts w:hint="default" w:ascii="Times New Roman" w:hAnsi="Times New Roman" w:eastAsia="宋体" w:cs="Times New Roman"/>
                <w:b w:val="0"/>
                <w:bCs w:val="0"/>
                <w:color w:val="auto"/>
                <w:sz w:val="24"/>
                <w:szCs w:val="24"/>
                <w:highlight w:val="none"/>
                <w:lang w:val="en-US" w:eastAsia="zh-CN"/>
              </w:rPr>
              <w:t>152mm</w:t>
            </w:r>
            <w:r>
              <w:rPr>
                <w:rFonts w:hint="eastAsia" w:ascii="Times New Roman" w:hAnsi="Times New Roman" w:eastAsia="宋体" w:cs="Times New Roman"/>
                <w:b w:val="0"/>
                <w:bCs w:val="0"/>
                <w:color w:val="auto"/>
                <w:sz w:val="24"/>
                <w:szCs w:val="24"/>
                <w:highlight w:val="none"/>
                <w:lang w:val="en-US" w:eastAsia="zh-CN"/>
              </w:rPr>
              <w:t>，台班穿孔效率（已考虑</w:t>
            </w:r>
            <w:r>
              <w:rPr>
                <w:rFonts w:hint="default" w:ascii="Times New Roman" w:hAnsi="Times New Roman" w:eastAsia="宋体" w:cs="Times New Roman"/>
                <w:b w:val="0"/>
                <w:bCs w:val="0"/>
                <w:color w:val="auto"/>
                <w:sz w:val="24"/>
                <w:szCs w:val="24"/>
                <w:highlight w:val="none"/>
                <w:lang w:val="en-US" w:eastAsia="zh-CN"/>
              </w:rPr>
              <w:t>0.8</w:t>
            </w:r>
            <w:r>
              <w:rPr>
                <w:rFonts w:hint="eastAsia" w:ascii="Times New Roman" w:hAnsi="Times New Roman" w:eastAsia="宋体" w:cs="Times New Roman"/>
                <w:b w:val="0"/>
                <w:bCs w:val="0"/>
                <w:color w:val="auto"/>
                <w:sz w:val="24"/>
                <w:szCs w:val="24"/>
                <w:highlight w:val="none"/>
                <w:lang w:val="en-US" w:eastAsia="zh-CN"/>
              </w:rPr>
              <w:t>的高原工作系数）为</w:t>
            </w:r>
            <w:r>
              <w:rPr>
                <w:rFonts w:hint="default" w:ascii="Times New Roman" w:hAnsi="Times New Roman" w:eastAsia="宋体" w:cs="Times New Roman"/>
                <w:b w:val="0"/>
                <w:bCs w:val="0"/>
                <w:color w:val="auto"/>
                <w:sz w:val="24"/>
                <w:szCs w:val="24"/>
                <w:highlight w:val="none"/>
                <w:lang w:val="en-US" w:eastAsia="zh-CN"/>
              </w:rPr>
              <w:t>50m/</w:t>
            </w:r>
            <w:r>
              <w:rPr>
                <w:rFonts w:hint="eastAsia" w:ascii="Times New Roman" w:hAnsi="Times New Roman" w:eastAsia="宋体" w:cs="Times New Roman"/>
                <w:b w:val="0"/>
                <w:bCs w:val="0"/>
                <w:color w:val="auto"/>
                <w:sz w:val="24"/>
                <w:szCs w:val="24"/>
                <w:highlight w:val="none"/>
                <w:lang w:val="en-US" w:eastAsia="zh-CN"/>
              </w:rPr>
              <w:t>台班，台年穿孔能力为</w:t>
            </w:r>
            <w:r>
              <w:rPr>
                <w:rFonts w:hint="default" w:ascii="Times New Roman" w:hAnsi="Times New Roman" w:eastAsia="宋体" w:cs="Times New Roman"/>
                <w:b w:val="0"/>
                <w:bCs w:val="0"/>
                <w:color w:val="auto"/>
                <w:sz w:val="24"/>
                <w:szCs w:val="24"/>
                <w:highlight w:val="none"/>
                <w:lang w:val="en-US" w:eastAsia="zh-CN"/>
              </w:rPr>
              <w:t>1.3</w:t>
            </w:r>
            <w:r>
              <w:rPr>
                <w:rFonts w:hint="eastAsia" w:ascii="Times New Roman" w:hAnsi="Times New Roman" w:eastAsia="宋体" w:cs="Times New Roman"/>
                <w:b w:val="0"/>
                <w:bCs w:val="0"/>
                <w:color w:val="auto"/>
                <w:sz w:val="24"/>
                <w:szCs w:val="24"/>
                <w:highlight w:val="none"/>
                <w:lang w:val="en-US" w:eastAsia="zh-CN"/>
              </w:rPr>
              <w:t>万</w:t>
            </w:r>
            <w:r>
              <w:rPr>
                <w:rFonts w:hint="default" w:ascii="Times New Roman" w:hAnsi="Times New Roman" w:eastAsia="宋体" w:cs="Times New Roman"/>
                <w:b w:val="0"/>
                <w:bCs w:val="0"/>
                <w:color w:val="auto"/>
                <w:sz w:val="24"/>
                <w:szCs w:val="24"/>
                <w:highlight w:val="none"/>
                <w:lang w:val="en-US" w:eastAsia="zh-CN"/>
              </w:rPr>
              <w:t>m</w:t>
            </w:r>
            <w:r>
              <w:rPr>
                <w:rFonts w:hint="eastAsia" w:ascii="Times New Roman" w:hAnsi="Times New Roman" w:eastAsia="宋体" w:cs="Times New Roman"/>
                <w:b w:val="0"/>
                <w:bCs w:val="0"/>
                <w:color w:val="auto"/>
                <w:sz w:val="24"/>
                <w:szCs w:val="24"/>
                <w:highlight w:val="none"/>
                <w:lang w:val="en-US" w:eastAsia="zh-CN"/>
              </w:rPr>
              <w:t>。设计选用</w:t>
            </w:r>
            <w:r>
              <w:rPr>
                <w:rFonts w:hint="default" w:ascii="Times New Roman" w:hAnsi="Times New Roman" w:eastAsia="宋体" w:cs="Times New Roman"/>
                <w:b w:val="0"/>
                <w:bCs w:val="0"/>
                <w:color w:val="auto"/>
                <w:sz w:val="24"/>
                <w:szCs w:val="24"/>
                <w:highlight w:val="none"/>
                <w:lang w:val="en-US" w:eastAsia="zh-CN"/>
              </w:rPr>
              <w:t>4</w:t>
            </w:r>
            <w:r>
              <w:rPr>
                <w:rFonts w:hint="eastAsia" w:ascii="Times New Roman" w:hAnsi="Times New Roman" w:eastAsia="宋体" w:cs="Times New Roman"/>
                <w:b w:val="0"/>
                <w:bCs w:val="0"/>
                <w:color w:val="auto"/>
                <w:sz w:val="24"/>
                <w:szCs w:val="24"/>
                <w:highlight w:val="none"/>
                <w:lang w:val="en-US" w:eastAsia="zh-CN"/>
              </w:rPr>
              <w:t>台</w:t>
            </w:r>
            <w:r>
              <w:rPr>
                <w:rFonts w:hint="default" w:ascii="Times New Roman" w:hAnsi="Times New Roman" w:eastAsia="宋体" w:cs="Times New Roman"/>
                <w:b w:val="0"/>
                <w:bCs w:val="0"/>
                <w:color w:val="auto"/>
                <w:sz w:val="24"/>
                <w:szCs w:val="24"/>
                <w:highlight w:val="none"/>
                <w:lang w:val="en-US" w:eastAsia="zh-CN"/>
              </w:rPr>
              <w:t>ROCD55</w:t>
            </w:r>
            <w:r>
              <w:rPr>
                <w:rFonts w:hint="eastAsia" w:ascii="Times New Roman" w:hAnsi="Times New Roman" w:eastAsia="宋体" w:cs="Times New Roman"/>
                <w:b w:val="0"/>
                <w:bCs w:val="0"/>
                <w:color w:val="auto"/>
                <w:sz w:val="24"/>
                <w:szCs w:val="24"/>
                <w:highlight w:val="none"/>
                <w:lang w:val="en-US" w:eastAsia="zh-CN"/>
              </w:rPr>
              <w:t>型露天潜孔钻车，能够满足生产需求。本矿岩属中硬，坚固，其硬度系数在</w:t>
            </w:r>
            <w:r>
              <w:rPr>
                <w:rFonts w:hint="default" w:ascii="Times New Roman" w:hAnsi="Times New Roman" w:eastAsia="宋体" w:cs="Times New Roman"/>
                <w:b w:val="0"/>
                <w:bCs w:val="0"/>
                <w:color w:val="auto"/>
                <w:sz w:val="24"/>
                <w:szCs w:val="24"/>
                <w:highlight w:val="none"/>
                <w:lang w:val="en-US" w:eastAsia="zh-CN"/>
              </w:rPr>
              <w:t>8</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12</w:t>
            </w:r>
            <w:r>
              <w:rPr>
                <w:rFonts w:hint="eastAsia" w:ascii="Times New Roman" w:hAnsi="Times New Roman" w:eastAsia="宋体" w:cs="Times New Roman"/>
                <w:b w:val="0"/>
                <w:bCs w:val="0"/>
                <w:color w:val="auto"/>
                <w:sz w:val="24"/>
                <w:szCs w:val="24"/>
                <w:highlight w:val="none"/>
                <w:lang w:val="en-US" w:eastAsia="zh-CN"/>
              </w:rPr>
              <w:t>左右，钻孔斜深为</w:t>
            </w:r>
            <w:r>
              <w:rPr>
                <w:rFonts w:hint="default" w:ascii="Times New Roman" w:hAnsi="Times New Roman" w:eastAsia="宋体" w:cs="Times New Roman"/>
                <w:b w:val="0"/>
                <w:bCs w:val="0"/>
                <w:color w:val="auto"/>
                <w:sz w:val="24"/>
                <w:szCs w:val="24"/>
                <w:highlight w:val="none"/>
                <w:lang w:val="en-US" w:eastAsia="zh-CN"/>
              </w:rPr>
              <w:t>11.54m</w:t>
            </w:r>
            <w:r>
              <w:rPr>
                <w:rFonts w:hint="eastAsia" w:ascii="Times New Roman" w:hAnsi="Times New Roman" w:eastAsia="宋体" w:cs="Times New Roman"/>
                <w:b w:val="0"/>
                <w:bCs w:val="0"/>
                <w:color w:val="auto"/>
                <w:sz w:val="24"/>
                <w:szCs w:val="24"/>
                <w:highlight w:val="none"/>
                <w:lang w:val="en-US" w:eastAsia="zh-CN"/>
              </w:rPr>
              <w:t>，钻孔倾角</w:t>
            </w:r>
            <w:r>
              <w:rPr>
                <w:rFonts w:hint="default" w:ascii="Times New Roman" w:hAnsi="Times New Roman" w:eastAsia="宋体" w:cs="Times New Roman"/>
                <w:b w:val="0"/>
                <w:bCs w:val="0"/>
                <w:color w:val="auto"/>
                <w:sz w:val="24"/>
                <w:szCs w:val="24"/>
                <w:highlight w:val="none"/>
                <w:lang w:val="en-US" w:eastAsia="zh-CN"/>
              </w:rPr>
              <w:t>60°</w:t>
            </w:r>
            <w:r>
              <w:rPr>
                <w:rFonts w:hint="eastAsia" w:ascii="Times New Roman" w:hAnsi="Times New Roman" w:eastAsia="宋体" w:cs="Times New Roman"/>
                <w:b w:val="0"/>
                <w:bCs w:val="0"/>
                <w:color w:val="auto"/>
                <w:sz w:val="24"/>
                <w:szCs w:val="24"/>
                <w:highlight w:val="none"/>
                <w:lang w:val="en-US" w:eastAsia="zh-CN"/>
              </w:rPr>
              <w:t>。</w:t>
            </w:r>
          </w:p>
          <w:p w14:paraId="43E928D1">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（2）爆破</w:t>
            </w:r>
          </w:p>
          <w:p w14:paraId="2C94B7DC">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0000FC"/>
                <w:sz w:val="24"/>
                <w:szCs w:val="24"/>
                <w:highlight w:val="none"/>
                <w:lang w:val="en-US" w:eastAsia="zh-CN"/>
              </w:rPr>
              <w:t>矿山不设置炸药库，所有爆破工作均委托专业的第三方爆破公司进行。</w:t>
            </w:r>
            <w:r>
              <w:rPr>
                <w:rFonts w:hint="eastAsia" w:ascii="Times New Roman" w:hAnsi="Times New Roman" w:eastAsia="宋体" w:cs="Times New Roman"/>
                <w:b w:val="0"/>
                <w:bCs w:val="0"/>
                <w:color w:val="auto"/>
                <w:sz w:val="24"/>
                <w:szCs w:val="24"/>
                <w:highlight w:val="none"/>
                <w:lang w:val="en-US" w:eastAsia="zh-CN"/>
              </w:rPr>
              <w:t>爆破时采用深孔、宽孔距、小抵抗线、多排孔微差爆破方法，起爆方式为非电导爆管起爆。采用</w:t>
            </w:r>
            <w:r>
              <w:rPr>
                <w:rFonts w:hint="default" w:ascii="Times New Roman" w:hAnsi="Times New Roman" w:eastAsia="宋体"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岩石炸药爆破。</w:t>
            </w:r>
          </w:p>
          <w:p w14:paraId="2AF154C0">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据《爆破安全规程》要求，个别飞散物对人员的安全距离不得小于</w:t>
            </w:r>
            <w:r>
              <w:rPr>
                <w:rFonts w:hint="default" w:ascii="Times New Roman" w:hAnsi="Times New Roman" w:eastAsia="宋体" w:cs="Times New Roman"/>
                <w:b w:val="0"/>
                <w:bCs w:val="0"/>
                <w:color w:val="auto"/>
                <w:sz w:val="24"/>
                <w:szCs w:val="24"/>
                <w:highlight w:val="none"/>
                <w:lang w:val="en-US" w:eastAsia="zh-CN"/>
              </w:rPr>
              <w:t>200m</w:t>
            </w:r>
            <w:r>
              <w:rPr>
                <w:rFonts w:hint="eastAsia" w:ascii="Times New Roman" w:hAnsi="Times New Roman" w:eastAsia="宋体" w:cs="Times New Roman"/>
                <w:b w:val="0"/>
                <w:bCs w:val="0"/>
                <w:color w:val="auto"/>
                <w:sz w:val="24"/>
                <w:szCs w:val="24"/>
                <w:highlight w:val="none"/>
                <w:lang w:val="en-US" w:eastAsia="zh-CN"/>
              </w:rPr>
              <w:t>。本矿山为山坡露天矿，开采过程中采取控制爆破等安全防范措施，根据同类矿山的经验及爆破安全规程，设计爆破安全距离确定为</w:t>
            </w:r>
            <w:r>
              <w:rPr>
                <w:rFonts w:hint="default" w:ascii="Times New Roman" w:hAnsi="Times New Roman" w:eastAsia="宋体" w:cs="Times New Roman"/>
                <w:b w:val="0"/>
                <w:bCs w:val="0"/>
                <w:color w:val="auto"/>
                <w:sz w:val="24"/>
                <w:szCs w:val="24"/>
                <w:highlight w:val="none"/>
                <w:lang w:val="en-US" w:eastAsia="zh-CN"/>
              </w:rPr>
              <w:t>200m</w:t>
            </w:r>
            <w:r>
              <w:rPr>
                <w:rFonts w:hint="eastAsia" w:ascii="Times New Roman" w:hAnsi="Times New Roman" w:eastAsia="宋体" w:cs="Times New Roman"/>
                <w:b w:val="0"/>
                <w:bCs w:val="0"/>
                <w:color w:val="auto"/>
                <w:sz w:val="24"/>
                <w:szCs w:val="24"/>
                <w:highlight w:val="none"/>
                <w:lang w:val="en-US" w:eastAsia="zh-CN"/>
              </w:rPr>
              <w:t>，若为下坡方向，其爆破安全距离确定为</w:t>
            </w:r>
            <w:r>
              <w:rPr>
                <w:rFonts w:hint="default" w:ascii="Times New Roman" w:hAnsi="Times New Roman" w:eastAsia="宋体" w:cs="Times New Roman"/>
                <w:b w:val="0"/>
                <w:bCs w:val="0"/>
                <w:color w:val="auto"/>
                <w:sz w:val="24"/>
                <w:szCs w:val="24"/>
                <w:highlight w:val="none"/>
                <w:lang w:val="en-US" w:eastAsia="zh-CN"/>
              </w:rPr>
              <w:t>300m</w:t>
            </w:r>
            <w:r>
              <w:rPr>
                <w:rFonts w:hint="eastAsia" w:ascii="Times New Roman" w:hAnsi="Times New Roman" w:eastAsia="宋体" w:cs="Times New Roman"/>
                <w:b w:val="0"/>
                <w:bCs w:val="0"/>
                <w:color w:val="auto"/>
                <w:sz w:val="24"/>
                <w:szCs w:val="24"/>
                <w:highlight w:val="none"/>
                <w:lang w:val="en-US" w:eastAsia="zh-CN"/>
              </w:rPr>
              <w:t>。若小于该安全距离，危险地带应采取隔挡墙、爆破面覆盖、改变爆破方向等保护措施，减少石块的飞行距离。本矿山生活办公区处于爆破安全距离以外，200m范围内无居民等敏感点。</w:t>
            </w:r>
          </w:p>
          <w:p w14:paraId="5FD0976A">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（3）二次破碎</w:t>
            </w:r>
          </w:p>
          <w:p w14:paraId="448DC064">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由于采用微差爆破，爆破后的大块率较少，出现的个别大块（</w:t>
            </w:r>
            <w:r>
              <w:rPr>
                <w:rFonts w:hint="default" w:ascii="Times New Roman" w:hAnsi="Times New Roman" w:eastAsia="宋体" w:cs="Times New Roman"/>
                <w:b w:val="0"/>
                <w:bCs w:val="0"/>
                <w:color w:val="auto"/>
                <w:sz w:val="24"/>
                <w:szCs w:val="24"/>
                <w:highlight w:val="none"/>
                <w:lang w:val="en-US" w:eastAsia="zh-CN"/>
              </w:rPr>
              <w:t>Φ≥500mm</w:t>
            </w:r>
            <w:r>
              <w:rPr>
                <w:rFonts w:hint="eastAsia" w:ascii="Times New Roman" w:hAnsi="Times New Roman" w:eastAsia="宋体" w:cs="Times New Roman"/>
                <w:b w:val="0"/>
                <w:bCs w:val="0"/>
                <w:color w:val="auto"/>
                <w:sz w:val="24"/>
                <w:szCs w:val="24"/>
                <w:highlight w:val="none"/>
                <w:lang w:val="en-US" w:eastAsia="zh-CN"/>
              </w:rPr>
              <w:t>）采用液压破碎锤进行二次破碎，以满足装运、破碎的要求。设计利用挖掘机配</w:t>
            </w:r>
            <w:r>
              <w:rPr>
                <w:rFonts w:hint="default" w:ascii="Times New Roman" w:hAnsi="Times New Roman" w:eastAsia="宋体" w:cs="Times New Roman"/>
                <w:b w:val="0"/>
                <w:bCs w:val="0"/>
                <w:color w:val="auto"/>
                <w:sz w:val="24"/>
                <w:szCs w:val="24"/>
                <w:highlight w:val="none"/>
                <w:lang w:val="en-US" w:eastAsia="zh-CN"/>
              </w:rPr>
              <w:t>KCB</w:t>
            </w:r>
            <w:r>
              <w:rPr>
                <w:rFonts w:hint="eastAsia" w:ascii="Times New Roman" w:hAnsi="Times New Roman" w:eastAsia="宋体" w:cs="Times New Roman"/>
                <w:b w:val="0"/>
                <w:bCs w:val="0"/>
                <w:color w:val="auto"/>
                <w:sz w:val="24"/>
                <w:szCs w:val="24"/>
                <w:highlight w:val="none"/>
                <w:lang w:val="en-US" w:eastAsia="zh-CN"/>
              </w:rPr>
              <w:t>破碎锤负责矿石的二次破碎工作，破碎锤破碎为粒度</w:t>
            </w:r>
            <w:r>
              <w:rPr>
                <w:rFonts w:hint="default" w:ascii="Times New Roman" w:hAnsi="Times New Roman" w:eastAsia="宋体" w:cs="Times New Roman"/>
                <w:b w:val="0"/>
                <w:bCs w:val="0"/>
                <w:color w:val="auto"/>
                <w:sz w:val="24"/>
                <w:szCs w:val="24"/>
                <w:highlight w:val="none"/>
                <w:lang w:val="en-US" w:eastAsia="zh-CN"/>
              </w:rPr>
              <w:t>≤500mm</w:t>
            </w:r>
            <w:r>
              <w:rPr>
                <w:rFonts w:hint="eastAsia" w:ascii="Times New Roman" w:hAnsi="Times New Roman" w:eastAsia="宋体" w:cs="Times New Roman"/>
                <w:b w:val="0"/>
                <w:bCs w:val="0"/>
                <w:color w:val="auto"/>
                <w:sz w:val="24"/>
                <w:szCs w:val="24"/>
                <w:highlight w:val="none"/>
                <w:lang w:val="en-US" w:eastAsia="zh-CN"/>
              </w:rPr>
              <w:t>。</w:t>
            </w:r>
          </w:p>
          <w:p w14:paraId="04FF2F50">
            <w:pPr>
              <w:pStyle w:val="4"/>
              <w:keepNext w:val="0"/>
              <w:keepLines w:val="0"/>
              <w:pageBreakBefore w:val="0"/>
              <w:widowControl w:val="0"/>
              <w:kinsoku/>
              <w:wordWrap/>
              <w:overflowPunct/>
              <w:topLinePunct w:val="0"/>
              <w:autoSpaceDE/>
              <w:autoSpaceDN/>
              <w:bidi w:val="0"/>
              <w:rPr>
                <w:rFonts w:hint="eastAsia"/>
                <w:lang w:val="en-US" w:eastAsia="zh-CN"/>
              </w:rPr>
            </w:pPr>
            <w:r>
              <w:rPr>
                <w:rFonts w:hint="eastAsia"/>
                <w:lang w:val="en-US" w:eastAsia="zh-CN"/>
              </w:rPr>
              <w:t>3.2加工工艺流程</w:t>
            </w:r>
          </w:p>
          <w:p w14:paraId="1969ACC3">
            <w:pPr>
              <w:pStyle w:val="6"/>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采石面爆破后下落的块石，经破碎锤破碎为粒度</w:t>
            </w:r>
            <w:r>
              <w:rPr>
                <w:rFonts w:hint="default" w:ascii="Times New Roman" w:hAnsi="Times New Roman" w:eastAsia="宋体" w:cs="Times New Roman"/>
                <w:b w:val="0"/>
                <w:bCs w:val="0"/>
                <w:color w:val="FF0000"/>
                <w:sz w:val="24"/>
                <w:szCs w:val="24"/>
                <w:highlight w:val="none"/>
                <w:lang w:val="en-US" w:eastAsia="zh-CN"/>
              </w:rPr>
              <w:t>≤500mm</w:t>
            </w:r>
            <w:r>
              <w:rPr>
                <w:rFonts w:hint="eastAsia" w:ascii="Times New Roman" w:hAnsi="Times New Roman" w:eastAsia="宋体" w:cs="Times New Roman"/>
                <w:b w:val="0"/>
                <w:bCs w:val="0"/>
                <w:color w:val="FF0000"/>
                <w:sz w:val="24"/>
                <w:szCs w:val="24"/>
                <w:highlight w:val="none"/>
                <w:lang w:val="en-US" w:eastAsia="zh-CN"/>
              </w:rPr>
              <w:t>，</w:t>
            </w:r>
            <w:r>
              <w:rPr>
                <w:rFonts w:hint="eastAsia" w:cs="Times New Roman"/>
                <w:b w:val="0"/>
                <w:bCs w:val="0"/>
                <w:color w:val="0000FF"/>
                <w:sz w:val="24"/>
                <w:szCs w:val="24"/>
                <w:highlight w:val="none"/>
                <w:lang w:val="en-US" w:eastAsia="zh-CN"/>
              </w:rPr>
              <w:t>原料</w:t>
            </w:r>
            <w:r>
              <w:rPr>
                <w:rFonts w:hint="eastAsia" w:ascii="Times New Roman" w:hAnsi="Times New Roman" w:eastAsia="宋体" w:cs="Times New Roman"/>
                <w:b w:val="0"/>
                <w:bCs w:val="0"/>
                <w:color w:val="0000FF"/>
                <w:sz w:val="24"/>
                <w:szCs w:val="24"/>
                <w:highlight w:val="none"/>
                <w:lang w:val="en-US" w:eastAsia="zh-CN"/>
              </w:rPr>
              <w:t>由挖掘机装车，用</w:t>
            </w:r>
            <w:r>
              <w:rPr>
                <w:rFonts w:hint="eastAsia" w:cs="Times New Roman"/>
                <w:b w:val="0"/>
                <w:bCs w:val="0"/>
                <w:color w:val="0000FF"/>
                <w:sz w:val="24"/>
                <w:szCs w:val="24"/>
                <w:highlight w:val="none"/>
                <w:lang w:val="en-US" w:eastAsia="zh-CN"/>
              </w:rPr>
              <w:t>自卸</w:t>
            </w:r>
            <w:r>
              <w:rPr>
                <w:rFonts w:hint="eastAsia" w:ascii="Times New Roman" w:hAnsi="Times New Roman" w:eastAsia="宋体" w:cs="Times New Roman"/>
                <w:b w:val="0"/>
                <w:bCs w:val="0"/>
                <w:color w:val="0000FF"/>
                <w:sz w:val="24"/>
                <w:szCs w:val="24"/>
                <w:highlight w:val="none"/>
                <w:lang w:val="en-US" w:eastAsia="zh-CN"/>
              </w:rPr>
              <w:t>汽车</w:t>
            </w:r>
            <w:r>
              <w:rPr>
                <w:rFonts w:hint="eastAsia" w:cs="Times New Roman"/>
                <w:b w:val="0"/>
                <w:bCs w:val="0"/>
                <w:color w:val="0000FF"/>
                <w:sz w:val="24"/>
                <w:szCs w:val="24"/>
                <w:highlight w:val="none"/>
                <w:lang w:val="en-US" w:eastAsia="zh-CN"/>
              </w:rPr>
              <w:t>经矿山道路</w:t>
            </w:r>
            <w:r>
              <w:rPr>
                <w:rFonts w:hint="eastAsia" w:ascii="Times New Roman" w:hAnsi="Times New Roman" w:eastAsia="宋体" w:cs="Times New Roman"/>
                <w:b w:val="0"/>
                <w:bCs w:val="0"/>
                <w:color w:val="0000FF"/>
                <w:sz w:val="24"/>
                <w:szCs w:val="24"/>
                <w:highlight w:val="none"/>
                <w:lang w:val="en-US" w:eastAsia="zh-CN"/>
              </w:rPr>
              <w:t>运至加工区</w:t>
            </w:r>
            <w:r>
              <w:rPr>
                <w:rFonts w:hint="eastAsia" w:cs="Times New Roman"/>
                <w:b w:val="0"/>
                <w:bCs w:val="0"/>
                <w:color w:val="0000FF"/>
                <w:sz w:val="24"/>
                <w:szCs w:val="24"/>
                <w:highlight w:val="none"/>
                <w:lang w:val="en-US" w:eastAsia="zh-CN"/>
              </w:rPr>
              <w:t>封闭式生产车间</w:t>
            </w:r>
            <w:r>
              <w:rPr>
                <w:rFonts w:hint="eastAsia" w:ascii="Times New Roman" w:hAnsi="Times New Roman" w:eastAsia="宋体" w:cs="Times New Roman"/>
                <w:b w:val="0"/>
                <w:bCs w:val="0"/>
                <w:color w:val="FF0000"/>
                <w:sz w:val="24"/>
                <w:szCs w:val="24"/>
                <w:highlight w:val="none"/>
                <w:lang w:val="en-US" w:eastAsia="zh-CN"/>
              </w:rPr>
              <w:t>，经给料口</w:t>
            </w:r>
            <w:r>
              <w:rPr>
                <w:rFonts w:hint="eastAsia" w:cs="Times New Roman"/>
                <w:b w:val="0"/>
                <w:bCs w:val="0"/>
                <w:color w:val="FF0000"/>
                <w:sz w:val="24"/>
                <w:szCs w:val="24"/>
                <w:highlight w:val="none"/>
                <w:lang w:val="en-US" w:eastAsia="zh-CN"/>
              </w:rPr>
              <w:t>后由皮带输送</w:t>
            </w:r>
            <w:r>
              <w:rPr>
                <w:rFonts w:hint="eastAsia" w:ascii="Times New Roman" w:hAnsi="Times New Roman" w:eastAsia="宋体" w:cs="Times New Roman"/>
                <w:b w:val="0"/>
                <w:bCs w:val="0"/>
                <w:color w:val="FF0000"/>
                <w:sz w:val="24"/>
                <w:szCs w:val="24"/>
                <w:highlight w:val="none"/>
                <w:lang w:val="en-US" w:eastAsia="zh-CN"/>
              </w:rPr>
              <w:t>进入</w:t>
            </w:r>
            <w:r>
              <w:rPr>
                <w:rFonts w:hint="eastAsia" w:cs="Times New Roman"/>
                <w:b w:val="0"/>
                <w:bCs w:val="0"/>
                <w:color w:val="FF0000"/>
                <w:sz w:val="24"/>
                <w:szCs w:val="24"/>
                <w:highlight w:val="none"/>
                <w:lang w:val="en-US" w:eastAsia="zh-CN"/>
              </w:rPr>
              <w:t>封闭式破碎车间的</w:t>
            </w:r>
            <w:r>
              <w:rPr>
                <w:rFonts w:hint="eastAsia" w:ascii="Times New Roman" w:hAnsi="Times New Roman" w:eastAsia="宋体" w:cs="Times New Roman"/>
                <w:b w:val="0"/>
                <w:bCs w:val="0"/>
                <w:color w:val="FF0000"/>
                <w:sz w:val="24"/>
                <w:szCs w:val="24"/>
                <w:highlight w:val="none"/>
                <w:lang w:val="en-US" w:eastAsia="zh-CN"/>
              </w:rPr>
              <w:t>破碎机</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FF0000"/>
                <w:sz w:val="24"/>
                <w:szCs w:val="24"/>
                <w:highlight w:val="none"/>
                <w:lang w:val="en-US" w:eastAsia="zh-CN"/>
              </w:rPr>
              <w:t>原矿石经粗碎、细碎，再</w:t>
            </w:r>
            <w:r>
              <w:rPr>
                <w:rFonts w:hint="eastAsia" w:cs="Times New Roman"/>
                <w:b w:val="0"/>
                <w:bCs w:val="0"/>
                <w:color w:val="FF0000"/>
                <w:sz w:val="24"/>
                <w:szCs w:val="24"/>
                <w:highlight w:val="none"/>
                <w:lang w:val="en-US" w:eastAsia="zh-CN"/>
              </w:rPr>
              <w:t>经皮带输送至封闭式筛分车间</w:t>
            </w:r>
            <w:r>
              <w:rPr>
                <w:rFonts w:hint="eastAsia" w:ascii="Times New Roman" w:hAnsi="Times New Roman" w:eastAsia="宋体" w:cs="Times New Roman"/>
                <w:b w:val="0"/>
                <w:bCs w:val="0"/>
                <w:color w:val="FF0000"/>
                <w:sz w:val="24"/>
                <w:szCs w:val="24"/>
                <w:highlight w:val="none"/>
                <w:lang w:val="en-US" w:eastAsia="zh-CN"/>
              </w:rPr>
              <w:t>进行筛分</w:t>
            </w:r>
            <w:r>
              <w:rPr>
                <w:rFonts w:hint="eastAsia" w:ascii="Times New Roman" w:hAnsi="Times New Roman" w:eastAsia="宋体" w:cs="Times New Roman"/>
                <w:b w:val="0"/>
                <w:bCs w:val="0"/>
                <w:color w:val="auto"/>
                <w:sz w:val="24"/>
                <w:szCs w:val="24"/>
                <w:highlight w:val="none"/>
                <w:lang w:val="en-US" w:eastAsia="zh-CN"/>
              </w:rPr>
              <w:t>，矿石主要为四种产品，分别为</w:t>
            </w:r>
            <w:r>
              <w:rPr>
                <w:rFonts w:hint="default" w:ascii="Times New Roman" w:hAnsi="Times New Roman" w:eastAsia="宋体" w:cs="Times New Roman"/>
                <w:b w:val="0"/>
                <w:bCs w:val="0"/>
                <w:color w:val="auto"/>
                <w:sz w:val="24"/>
                <w:szCs w:val="24"/>
                <w:highlight w:val="none"/>
                <w:lang w:val="en-US" w:eastAsia="zh-CN"/>
              </w:rPr>
              <w:t>0.075-4.75mm</w:t>
            </w:r>
            <w:r>
              <w:rPr>
                <w:rFonts w:hint="eastAsia" w:ascii="Times New Roman" w:hAnsi="Times New Roman" w:eastAsia="宋体" w:cs="Times New Roman"/>
                <w:b w:val="0"/>
                <w:bCs w:val="0"/>
                <w:color w:val="auto"/>
                <w:sz w:val="24"/>
                <w:szCs w:val="24"/>
                <w:highlight w:val="none"/>
                <w:lang w:val="en-US" w:eastAsia="zh-CN"/>
              </w:rPr>
              <w:t>石粉、</w:t>
            </w:r>
            <w:r>
              <w:rPr>
                <w:rFonts w:hint="default" w:ascii="Times New Roman" w:hAnsi="Times New Roman" w:eastAsia="宋体" w:cs="Times New Roman"/>
                <w:b w:val="0"/>
                <w:bCs w:val="0"/>
                <w:color w:val="auto"/>
                <w:sz w:val="24"/>
                <w:szCs w:val="24"/>
                <w:highlight w:val="none"/>
                <w:lang w:val="en-US" w:eastAsia="zh-CN"/>
              </w:rPr>
              <w:t>4.75-9.50mm</w:t>
            </w:r>
            <w:r>
              <w:rPr>
                <w:rFonts w:hint="eastAsia" w:ascii="Times New Roman" w:hAnsi="Times New Roman" w:eastAsia="宋体" w:cs="Times New Roman"/>
                <w:b w:val="0"/>
                <w:bCs w:val="0"/>
                <w:color w:val="auto"/>
                <w:sz w:val="24"/>
                <w:szCs w:val="24"/>
                <w:highlight w:val="none"/>
                <w:lang w:val="en-US" w:eastAsia="zh-CN"/>
              </w:rPr>
              <w:t>米石、</w:t>
            </w:r>
            <w:r>
              <w:rPr>
                <w:rFonts w:hint="default" w:ascii="Times New Roman" w:hAnsi="Times New Roman" w:eastAsia="宋体" w:cs="Times New Roman"/>
                <w:b w:val="0"/>
                <w:bCs w:val="0"/>
                <w:color w:val="auto"/>
                <w:sz w:val="24"/>
                <w:szCs w:val="24"/>
                <w:highlight w:val="none"/>
                <w:lang w:val="en-US" w:eastAsia="zh-CN"/>
              </w:rPr>
              <w:t>9.50-19.50mm</w:t>
            </w:r>
            <w:r>
              <w:rPr>
                <w:rFonts w:hint="eastAsia" w:ascii="Times New Roman" w:hAnsi="Times New Roman" w:eastAsia="宋体" w:cs="Times New Roman"/>
                <w:b w:val="0"/>
                <w:bCs w:val="0"/>
                <w:color w:val="auto"/>
                <w:sz w:val="24"/>
                <w:szCs w:val="24"/>
                <w:highlight w:val="none"/>
                <w:lang w:val="en-US" w:eastAsia="zh-CN"/>
              </w:rPr>
              <w:t>骨料、</w:t>
            </w:r>
            <w:r>
              <w:rPr>
                <w:rFonts w:hint="default" w:ascii="Times New Roman" w:hAnsi="Times New Roman" w:eastAsia="宋体" w:cs="Times New Roman"/>
                <w:b w:val="0"/>
                <w:bCs w:val="0"/>
                <w:color w:val="auto"/>
                <w:sz w:val="24"/>
                <w:szCs w:val="24"/>
                <w:highlight w:val="none"/>
                <w:lang w:val="en-US" w:eastAsia="zh-CN"/>
              </w:rPr>
              <w:t>19.50-31.50mm</w:t>
            </w:r>
            <w:r>
              <w:rPr>
                <w:rFonts w:hint="eastAsia" w:ascii="Times New Roman" w:hAnsi="Times New Roman" w:eastAsia="宋体" w:cs="Times New Roman"/>
                <w:b w:val="0"/>
                <w:bCs w:val="0"/>
                <w:color w:val="auto"/>
                <w:sz w:val="24"/>
                <w:szCs w:val="24"/>
                <w:highlight w:val="none"/>
                <w:lang w:val="en-US" w:eastAsia="zh-CN"/>
              </w:rPr>
              <w:t>骨料。矿石加工技术性能良好</w:t>
            </w:r>
            <w:r>
              <w:rPr>
                <w:rFonts w:hint="eastAsia" w:ascii="Times New Roman" w:hAnsi="Times New Roman" w:eastAsia="宋体" w:cs="Times New Roman"/>
                <w:b w:val="0"/>
                <w:bCs w:val="0"/>
                <w:color w:val="FF0000"/>
                <w:sz w:val="24"/>
                <w:szCs w:val="24"/>
                <w:highlight w:val="none"/>
                <w:lang w:val="en-US" w:eastAsia="zh-CN"/>
              </w:rPr>
              <w:t>。破碎生产线为单段破碎闭合生产工艺流程。</w:t>
            </w:r>
          </w:p>
          <w:p w14:paraId="7C1B8A1A">
            <w:pPr>
              <w:pStyle w:val="4"/>
              <w:keepNext w:val="0"/>
              <w:keepLines w:val="0"/>
              <w:pageBreakBefore w:val="0"/>
              <w:widowControl w:val="0"/>
              <w:kinsoku/>
              <w:wordWrap/>
              <w:overflowPunct/>
              <w:topLinePunct w:val="0"/>
              <w:autoSpaceDE/>
              <w:autoSpaceDN/>
              <w:bidi w:val="0"/>
              <w:rPr>
                <w:rFonts w:hint="eastAsia"/>
                <w:lang w:val="en-US" w:eastAsia="zh-CN"/>
              </w:rPr>
            </w:pPr>
            <w:r>
              <w:rPr>
                <w:rFonts w:hint="eastAsia"/>
                <w:lang w:val="en-US" w:eastAsia="zh-CN"/>
              </w:rPr>
              <w:t>4、产污环节</w:t>
            </w:r>
          </w:p>
          <w:p w14:paraId="3DE71AA8">
            <w:pPr>
              <w:pStyle w:val="5"/>
              <w:keepNext w:val="0"/>
              <w:keepLines w:val="0"/>
              <w:pageBreakBefore w:val="0"/>
              <w:widowControl w:val="0"/>
              <w:kinsoku/>
              <w:wordWrap/>
              <w:overflowPunct/>
              <w:topLinePunct w:val="0"/>
              <w:autoSpaceDE/>
              <w:autoSpaceDN/>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表2-5  项目工艺流程产污节点情况表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303"/>
              <w:gridCol w:w="1523"/>
              <w:gridCol w:w="3694"/>
              <w:gridCol w:w="852"/>
            </w:tblGrid>
            <w:tr w14:paraId="303D2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tcBorders>
                    <w:tl2br w:val="nil"/>
                    <w:tr2bl w:val="nil"/>
                  </w:tcBorders>
                  <w:noWrap w:val="0"/>
                  <w:vAlign w:val="center"/>
                </w:tcPr>
                <w:p w14:paraId="5867DB1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类别</w:t>
                  </w:r>
                </w:p>
              </w:tc>
              <w:tc>
                <w:tcPr>
                  <w:tcW w:w="800" w:type="pct"/>
                  <w:tcBorders>
                    <w:tl2br w:val="nil"/>
                    <w:tr2bl w:val="nil"/>
                  </w:tcBorders>
                  <w:noWrap w:val="0"/>
                  <w:vAlign w:val="center"/>
                </w:tcPr>
                <w:p w14:paraId="1565F60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污染源</w:t>
                  </w:r>
                </w:p>
              </w:tc>
              <w:tc>
                <w:tcPr>
                  <w:tcW w:w="935" w:type="pct"/>
                  <w:tcBorders>
                    <w:tl2br w:val="nil"/>
                    <w:tr2bl w:val="nil"/>
                  </w:tcBorders>
                  <w:noWrap w:val="0"/>
                  <w:vAlign w:val="center"/>
                </w:tcPr>
                <w:p w14:paraId="46B3497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污染物</w:t>
                  </w:r>
                </w:p>
              </w:tc>
              <w:tc>
                <w:tcPr>
                  <w:tcW w:w="2269" w:type="pct"/>
                  <w:tcBorders>
                    <w:tl2br w:val="nil"/>
                    <w:tr2bl w:val="nil"/>
                  </w:tcBorders>
                  <w:noWrap w:val="0"/>
                  <w:vAlign w:val="center"/>
                </w:tcPr>
                <w:p w14:paraId="04916F4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防治措施</w:t>
                  </w:r>
                </w:p>
              </w:tc>
              <w:tc>
                <w:tcPr>
                  <w:tcW w:w="523" w:type="pct"/>
                  <w:tcBorders>
                    <w:tl2br w:val="nil"/>
                    <w:tr2bl w:val="nil"/>
                  </w:tcBorders>
                  <w:noWrap w:val="0"/>
                  <w:vAlign w:val="center"/>
                </w:tcPr>
                <w:p w14:paraId="681A345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备注</w:t>
                  </w:r>
                </w:p>
              </w:tc>
            </w:tr>
            <w:tr w14:paraId="2FED0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tcBorders>
                    <w:tl2br w:val="nil"/>
                    <w:tr2bl w:val="nil"/>
                  </w:tcBorders>
                  <w:noWrap w:val="0"/>
                  <w:vAlign w:val="center"/>
                </w:tcPr>
                <w:p w14:paraId="5C47E97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无组织废气</w:t>
                  </w:r>
                </w:p>
              </w:tc>
              <w:tc>
                <w:tcPr>
                  <w:tcW w:w="800" w:type="pct"/>
                  <w:tcBorders>
                    <w:tl2br w:val="nil"/>
                    <w:tr2bl w:val="nil"/>
                  </w:tcBorders>
                  <w:noWrap w:val="0"/>
                  <w:vAlign w:val="center"/>
                </w:tcPr>
                <w:p w14:paraId="795EB53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表土剥离</w:t>
                  </w:r>
                </w:p>
              </w:tc>
              <w:tc>
                <w:tcPr>
                  <w:tcW w:w="935" w:type="pct"/>
                  <w:tcBorders>
                    <w:tl2br w:val="nil"/>
                    <w:tr2bl w:val="nil"/>
                  </w:tcBorders>
                  <w:noWrap w:val="0"/>
                  <w:vAlign w:val="center"/>
                </w:tcPr>
                <w:p w14:paraId="65D9CF8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采剥粉尘</w:t>
                  </w:r>
                </w:p>
              </w:tc>
              <w:tc>
                <w:tcPr>
                  <w:tcW w:w="2269" w:type="pct"/>
                  <w:tcBorders>
                    <w:tl2br w:val="nil"/>
                    <w:tr2bl w:val="nil"/>
                  </w:tcBorders>
                  <w:noWrap w:val="0"/>
                  <w:vAlign w:val="center"/>
                </w:tcPr>
                <w:p w14:paraId="16298AF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lang w:val="en-US" w:eastAsia="zh-CN"/>
                    </w:rPr>
                  </w:pPr>
                  <w:r>
                    <w:rPr>
                      <w:rFonts w:hint="eastAsia" w:cs="Times New Roman"/>
                      <w:b w:val="0"/>
                      <w:bCs w:val="0"/>
                      <w:color w:val="FF0000"/>
                      <w:kern w:val="0"/>
                      <w:sz w:val="21"/>
                      <w:szCs w:val="21"/>
                      <w:lang w:val="en-US" w:eastAsia="zh-CN"/>
                    </w:rPr>
                    <w:t>洒水车和雾炮机</w:t>
                  </w:r>
                  <w:r>
                    <w:rPr>
                      <w:rFonts w:hint="eastAsia" w:ascii="Times New Roman" w:hAnsi="Times New Roman" w:eastAsia="宋体" w:cs="Times New Roman"/>
                      <w:b w:val="0"/>
                      <w:bCs w:val="0"/>
                      <w:color w:val="FF0000"/>
                      <w:kern w:val="0"/>
                      <w:sz w:val="21"/>
                      <w:szCs w:val="21"/>
                      <w:lang w:val="en-US" w:eastAsia="zh-CN"/>
                    </w:rPr>
                    <w:t>洒水降尘</w:t>
                  </w:r>
                </w:p>
              </w:tc>
              <w:tc>
                <w:tcPr>
                  <w:tcW w:w="523" w:type="pct"/>
                  <w:vMerge w:val="restart"/>
                  <w:tcBorders>
                    <w:tl2br w:val="nil"/>
                    <w:tr2bl w:val="nil"/>
                  </w:tcBorders>
                  <w:noWrap w:val="0"/>
                  <w:vAlign w:val="center"/>
                </w:tcPr>
                <w:p w14:paraId="3A1DB54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采矿区</w:t>
                  </w:r>
                </w:p>
              </w:tc>
            </w:tr>
            <w:tr w14:paraId="68EF7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3CB487B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6C95DF6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穿孔</w:t>
                  </w:r>
                </w:p>
              </w:tc>
              <w:tc>
                <w:tcPr>
                  <w:tcW w:w="935" w:type="pct"/>
                  <w:tcBorders>
                    <w:tl2br w:val="nil"/>
                    <w:tr2bl w:val="nil"/>
                  </w:tcBorders>
                  <w:noWrap w:val="0"/>
                  <w:vAlign w:val="center"/>
                </w:tcPr>
                <w:p w14:paraId="646D4BB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钻孔粉尘</w:t>
                  </w:r>
                </w:p>
              </w:tc>
              <w:tc>
                <w:tcPr>
                  <w:tcW w:w="2269" w:type="pct"/>
                  <w:tcBorders>
                    <w:tl2br w:val="nil"/>
                    <w:tr2bl w:val="nil"/>
                  </w:tcBorders>
                  <w:noWrap w:val="0"/>
                  <w:vAlign w:val="center"/>
                </w:tcPr>
                <w:p w14:paraId="231FDA4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lang w:val="en-US" w:eastAsia="zh-CN"/>
                    </w:rPr>
                  </w:pPr>
                  <w:r>
                    <w:rPr>
                      <w:rFonts w:hint="eastAsia" w:cs="Times New Roman"/>
                      <w:b w:val="0"/>
                      <w:bCs w:val="0"/>
                      <w:color w:val="FF0000"/>
                      <w:kern w:val="0"/>
                      <w:sz w:val="21"/>
                      <w:szCs w:val="21"/>
                      <w:lang w:val="en-US" w:eastAsia="zh-CN"/>
                    </w:rPr>
                    <w:t>洒水车和雾炮机</w:t>
                  </w:r>
                  <w:r>
                    <w:rPr>
                      <w:rFonts w:hint="eastAsia" w:ascii="Times New Roman" w:hAnsi="Times New Roman" w:eastAsia="宋体" w:cs="Times New Roman"/>
                      <w:b w:val="0"/>
                      <w:bCs w:val="0"/>
                      <w:color w:val="FF0000"/>
                      <w:kern w:val="0"/>
                      <w:sz w:val="21"/>
                      <w:szCs w:val="21"/>
                      <w:lang w:val="en-US" w:eastAsia="zh-CN"/>
                    </w:rPr>
                    <w:t>洒水抑尘</w:t>
                  </w:r>
                </w:p>
              </w:tc>
              <w:tc>
                <w:tcPr>
                  <w:tcW w:w="523" w:type="pct"/>
                  <w:vMerge w:val="continue"/>
                  <w:tcBorders>
                    <w:tl2br w:val="nil"/>
                    <w:tr2bl w:val="nil"/>
                  </w:tcBorders>
                  <w:noWrap w:val="0"/>
                  <w:vAlign w:val="center"/>
                </w:tcPr>
                <w:p w14:paraId="160BCE0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r>
            <w:tr w14:paraId="47E28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2C12CF8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4F5D3E7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爆破</w:t>
                  </w:r>
                </w:p>
              </w:tc>
              <w:tc>
                <w:tcPr>
                  <w:tcW w:w="935" w:type="pct"/>
                  <w:tcBorders>
                    <w:tl2br w:val="nil"/>
                    <w:tr2bl w:val="nil"/>
                  </w:tcBorders>
                  <w:noWrap w:val="0"/>
                  <w:vAlign w:val="center"/>
                </w:tcPr>
                <w:p w14:paraId="288D2C8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爆破粉尘</w:t>
                  </w:r>
                </w:p>
              </w:tc>
              <w:tc>
                <w:tcPr>
                  <w:tcW w:w="2269" w:type="pct"/>
                  <w:tcBorders>
                    <w:tl2br w:val="nil"/>
                    <w:tr2bl w:val="nil"/>
                  </w:tcBorders>
                  <w:noWrap w:val="0"/>
                  <w:vAlign w:val="center"/>
                </w:tcPr>
                <w:p w14:paraId="17DF430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lang w:val="en-US" w:eastAsia="zh-CN"/>
                    </w:rPr>
                  </w:pPr>
                  <w:r>
                    <w:rPr>
                      <w:rFonts w:hint="eastAsia" w:cs="Times New Roman"/>
                      <w:b w:val="0"/>
                      <w:bCs w:val="0"/>
                      <w:color w:val="FF0000"/>
                      <w:kern w:val="0"/>
                      <w:sz w:val="21"/>
                      <w:szCs w:val="21"/>
                      <w:lang w:val="en-US" w:eastAsia="zh-CN"/>
                    </w:rPr>
                    <w:t>洒水车和雾炮机</w:t>
                  </w:r>
                  <w:r>
                    <w:rPr>
                      <w:rFonts w:hint="eastAsia" w:ascii="Times New Roman" w:hAnsi="Times New Roman" w:eastAsia="宋体" w:cs="Times New Roman"/>
                      <w:b w:val="0"/>
                      <w:bCs w:val="0"/>
                      <w:color w:val="FF0000"/>
                      <w:kern w:val="0"/>
                      <w:sz w:val="21"/>
                      <w:szCs w:val="21"/>
                      <w:lang w:val="en-US" w:eastAsia="zh-CN"/>
                    </w:rPr>
                    <w:t>洒水抑尘</w:t>
                  </w:r>
                </w:p>
              </w:tc>
              <w:tc>
                <w:tcPr>
                  <w:tcW w:w="523" w:type="pct"/>
                  <w:vMerge w:val="continue"/>
                  <w:tcBorders>
                    <w:tl2br w:val="nil"/>
                    <w:tr2bl w:val="nil"/>
                  </w:tcBorders>
                  <w:noWrap w:val="0"/>
                  <w:vAlign w:val="center"/>
                </w:tcPr>
                <w:p w14:paraId="6AECE81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r>
            <w:tr w14:paraId="4C47D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2B47468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1960E8E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二次破碎</w:t>
                  </w:r>
                </w:p>
              </w:tc>
              <w:tc>
                <w:tcPr>
                  <w:tcW w:w="935" w:type="pct"/>
                  <w:tcBorders>
                    <w:tl2br w:val="nil"/>
                    <w:tr2bl w:val="nil"/>
                  </w:tcBorders>
                  <w:noWrap w:val="0"/>
                  <w:vAlign w:val="center"/>
                </w:tcPr>
                <w:p w14:paraId="346FA32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二次破碎粉尘</w:t>
                  </w:r>
                </w:p>
              </w:tc>
              <w:tc>
                <w:tcPr>
                  <w:tcW w:w="2269" w:type="pct"/>
                  <w:tcBorders>
                    <w:tl2br w:val="nil"/>
                    <w:tr2bl w:val="nil"/>
                  </w:tcBorders>
                  <w:noWrap w:val="0"/>
                  <w:vAlign w:val="center"/>
                </w:tcPr>
                <w:p w14:paraId="7824204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lang w:val="en-US" w:eastAsia="zh-CN"/>
                    </w:rPr>
                  </w:pPr>
                  <w:r>
                    <w:rPr>
                      <w:rFonts w:hint="eastAsia" w:cs="Times New Roman"/>
                      <w:b w:val="0"/>
                      <w:bCs w:val="0"/>
                      <w:color w:val="FF0000"/>
                      <w:kern w:val="0"/>
                      <w:sz w:val="21"/>
                      <w:szCs w:val="21"/>
                      <w:lang w:val="en-US" w:eastAsia="zh-CN"/>
                    </w:rPr>
                    <w:t>雾炮机</w:t>
                  </w:r>
                  <w:r>
                    <w:rPr>
                      <w:rFonts w:hint="eastAsia" w:ascii="Times New Roman" w:hAnsi="Times New Roman" w:eastAsia="宋体" w:cs="Times New Roman"/>
                      <w:b w:val="0"/>
                      <w:bCs w:val="0"/>
                      <w:color w:val="FF0000"/>
                      <w:kern w:val="0"/>
                      <w:sz w:val="21"/>
                      <w:szCs w:val="21"/>
                      <w:lang w:val="en-US" w:eastAsia="zh-CN"/>
                    </w:rPr>
                    <w:t>洒水抑尘</w:t>
                  </w:r>
                </w:p>
              </w:tc>
              <w:tc>
                <w:tcPr>
                  <w:tcW w:w="523" w:type="pct"/>
                  <w:vMerge w:val="continue"/>
                  <w:tcBorders>
                    <w:tl2br w:val="nil"/>
                    <w:tr2bl w:val="nil"/>
                  </w:tcBorders>
                  <w:noWrap w:val="0"/>
                  <w:vAlign w:val="center"/>
                </w:tcPr>
                <w:p w14:paraId="6B2D166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r>
            <w:tr w14:paraId="16F90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2452385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6CBCDCE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进料口</w:t>
                  </w:r>
                </w:p>
              </w:tc>
              <w:tc>
                <w:tcPr>
                  <w:tcW w:w="935" w:type="pct"/>
                  <w:tcBorders>
                    <w:tl2br w:val="nil"/>
                    <w:tr2bl w:val="nil"/>
                  </w:tcBorders>
                  <w:noWrap w:val="0"/>
                  <w:vAlign w:val="center"/>
                </w:tcPr>
                <w:p w14:paraId="459C390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进料口粉尘</w:t>
                  </w:r>
                </w:p>
              </w:tc>
              <w:tc>
                <w:tcPr>
                  <w:tcW w:w="2269" w:type="pct"/>
                  <w:tcBorders>
                    <w:tl2br w:val="nil"/>
                    <w:tr2bl w:val="nil"/>
                  </w:tcBorders>
                  <w:noWrap w:val="0"/>
                  <w:vAlign w:val="center"/>
                </w:tcPr>
                <w:p w14:paraId="514FBFF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color w:val="FF0000"/>
                      <w:kern w:val="0"/>
                      <w:sz w:val="21"/>
                      <w:szCs w:val="21"/>
                      <w:lang w:val="en-US" w:eastAsia="zh-CN"/>
                    </w:rPr>
                  </w:pPr>
                  <w:r>
                    <w:rPr>
                      <w:rFonts w:hint="eastAsia" w:cs="Times New Roman"/>
                      <w:b w:val="0"/>
                      <w:bCs w:val="0"/>
                      <w:color w:val="FF0000"/>
                      <w:kern w:val="0"/>
                      <w:sz w:val="21"/>
                      <w:szCs w:val="21"/>
                      <w:lang w:val="en-US" w:eastAsia="zh-CN"/>
                    </w:rPr>
                    <w:t>车间喷淋设施</w:t>
                  </w:r>
                  <w:r>
                    <w:rPr>
                      <w:rFonts w:hint="eastAsia" w:ascii="Times New Roman" w:hAnsi="Times New Roman" w:eastAsia="宋体" w:cs="Times New Roman"/>
                      <w:b w:val="0"/>
                      <w:bCs w:val="0"/>
                      <w:color w:val="FF0000"/>
                      <w:kern w:val="0"/>
                      <w:sz w:val="21"/>
                      <w:szCs w:val="21"/>
                      <w:lang w:val="en-US" w:eastAsia="zh-CN"/>
                    </w:rPr>
                    <w:t>洒水降尘</w:t>
                  </w:r>
                </w:p>
              </w:tc>
              <w:tc>
                <w:tcPr>
                  <w:tcW w:w="523" w:type="pct"/>
                  <w:vMerge w:val="restart"/>
                  <w:tcBorders>
                    <w:tl2br w:val="nil"/>
                    <w:tr2bl w:val="nil"/>
                  </w:tcBorders>
                  <w:noWrap w:val="0"/>
                  <w:vAlign w:val="center"/>
                </w:tcPr>
                <w:p w14:paraId="5F8FFCF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加工区</w:t>
                  </w:r>
                </w:p>
              </w:tc>
            </w:tr>
            <w:tr w14:paraId="1EA67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5159BF1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3D3190A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破碎</w:t>
                  </w:r>
                </w:p>
              </w:tc>
              <w:tc>
                <w:tcPr>
                  <w:tcW w:w="935" w:type="pct"/>
                  <w:tcBorders>
                    <w:tl2br w:val="nil"/>
                    <w:tr2bl w:val="nil"/>
                  </w:tcBorders>
                  <w:noWrap w:val="0"/>
                  <w:vAlign w:val="center"/>
                </w:tcPr>
                <w:p w14:paraId="174694B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破碎粉尘</w:t>
                  </w:r>
                </w:p>
              </w:tc>
              <w:tc>
                <w:tcPr>
                  <w:tcW w:w="2269" w:type="pct"/>
                  <w:tcBorders>
                    <w:tl2br w:val="nil"/>
                    <w:tr2bl w:val="nil"/>
                  </w:tcBorders>
                  <w:noWrap w:val="0"/>
                  <w:vAlign w:val="center"/>
                </w:tcPr>
                <w:p w14:paraId="7DE4599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color w:val="FF0000"/>
                      <w:kern w:val="0"/>
                      <w:sz w:val="21"/>
                      <w:szCs w:val="21"/>
                      <w:lang w:val="en-US" w:eastAsia="zh-CN"/>
                    </w:rPr>
                  </w:pPr>
                  <w:r>
                    <w:rPr>
                      <w:rFonts w:hint="eastAsia" w:cs="Times New Roman"/>
                      <w:b w:val="0"/>
                      <w:bCs w:val="0"/>
                      <w:color w:val="FF0000"/>
                      <w:kern w:val="0"/>
                      <w:sz w:val="21"/>
                      <w:szCs w:val="21"/>
                      <w:lang w:val="en-US" w:eastAsia="zh-CN"/>
                    </w:rPr>
                    <w:t>封闭</w:t>
                  </w:r>
                  <w:r>
                    <w:rPr>
                      <w:rFonts w:hint="eastAsia" w:ascii="Times New Roman" w:hAnsi="Times New Roman" w:eastAsia="宋体" w:cs="Times New Roman"/>
                      <w:b w:val="0"/>
                      <w:bCs w:val="0"/>
                      <w:color w:val="FF0000"/>
                      <w:kern w:val="0"/>
                      <w:sz w:val="21"/>
                      <w:szCs w:val="21"/>
                      <w:lang w:val="en-US" w:eastAsia="zh-CN"/>
                    </w:rPr>
                    <w:t>车间，</w:t>
                  </w:r>
                  <w:r>
                    <w:rPr>
                      <w:rFonts w:hint="eastAsia" w:cs="Times New Roman"/>
                      <w:b w:val="0"/>
                      <w:bCs w:val="0"/>
                      <w:color w:val="FF0000"/>
                      <w:kern w:val="0"/>
                      <w:sz w:val="21"/>
                      <w:szCs w:val="21"/>
                      <w:lang w:val="en-US" w:eastAsia="zh-CN"/>
                    </w:rPr>
                    <w:t>车间喷淋设施</w:t>
                  </w:r>
                  <w:r>
                    <w:rPr>
                      <w:rFonts w:hint="eastAsia" w:ascii="Times New Roman" w:hAnsi="Times New Roman" w:eastAsia="宋体" w:cs="Times New Roman"/>
                      <w:b w:val="0"/>
                      <w:bCs w:val="0"/>
                      <w:color w:val="FF0000"/>
                      <w:kern w:val="0"/>
                      <w:sz w:val="21"/>
                      <w:szCs w:val="21"/>
                      <w:lang w:val="en-US" w:eastAsia="zh-CN"/>
                    </w:rPr>
                    <w:t>喷淋降尘</w:t>
                  </w:r>
                </w:p>
              </w:tc>
              <w:tc>
                <w:tcPr>
                  <w:tcW w:w="523" w:type="pct"/>
                  <w:vMerge w:val="continue"/>
                  <w:tcBorders>
                    <w:tl2br w:val="nil"/>
                    <w:tr2bl w:val="nil"/>
                  </w:tcBorders>
                  <w:noWrap w:val="0"/>
                  <w:vAlign w:val="center"/>
                </w:tcPr>
                <w:p w14:paraId="20E1072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r>
            <w:tr w14:paraId="701AA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3582AAB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62C5CA8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筛分</w:t>
                  </w:r>
                </w:p>
              </w:tc>
              <w:tc>
                <w:tcPr>
                  <w:tcW w:w="935" w:type="pct"/>
                  <w:tcBorders>
                    <w:tl2br w:val="nil"/>
                    <w:tr2bl w:val="nil"/>
                  </w:tcBorders>
                  <w:noWrap w:val="0"/>
                  <w:vAlign w:val="center"/>
                </w:tcPr>
                <w:p w14:paraId="588775A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筛分粉尘</w:t>
                  </w:r>
                </w:p>
              </w:tc>
              <w:tc>
                <w:tcPr>
                  <w:tcW w:w="2269" w:type="pct"/>
                  <w:tcBorders>
                    <w:tl2br w:val="nil"/>
                    <w:tr2bl w:val="nil"/>
                  </w:tcBorders>
                  <w:noWrap w:val="0"/>
                  <w:vAlign w:val="center"/>
                </w:tcPr>
                <w:p w14:paraId="4E8AEDB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color w:val="FF0000"/>
                      <w:kern w:val="0"/>
                      <w:sz w:val="21"/>
                      <w:szCs w:val="21"/>
                      <w:lang w:val="en-US" w:eastAsia="zh-CN"/>
                    </w:rPr>
                  </w:pPr>
                  <w:r>
                    <w:rPr>
                      <w:rFonts w:hint="eastAsia" w:cs="Times New Roman"/>
                      <w:b w:val="0"/>
                      <w:bCs w:val="0"/>
                      <w:color w:val="FF0000"/>
                      <w:kern w:val="0"/>
                      <w:sz w:val="21"/>
                      <w:szCs w:val="21"/>
                      <w:lang w:val="en-US" w:eastAsia="zh-CN"/>
                    </w:rPr>
                    <w:t>封闭</w:t>
                  </w:r>
                  <w:r>
                    <w:rPr>
                      <w:rFonts w:hint="eastAsia" w:ascii="Times New Roman" w:hAnsi="Times New Roman" w:eastAsia="宋体" w:cs="Times New Roman"/>
                      <w:b w:val="0"/>
                      <w:bCs w:val="0"/>
                      <w:color w:val="FF0000"/>
                      <w:kern w:val="0"/>
                      <w:sz w:val="21"/>
                      <w:szCs w:val="21"/>
                      <w:lang w:val="en-US" w:eastAsia="zh-CN"/>
                    </w:rPr>
                    <w:t>车间，</w:t>
                  </w:r>
                  <w:r>
                    <w:rPr>
                      <w:rFonts w:hint="eastAsia" w:cs="Times New Roman"/>
                      <w:b w:val="0"/>
                      <w:bCs w:val="0"/>
                      <w:color w:val="FF0000"/>
                      <w:kern w:val="0"/>
                      <w:sz w:val="21"/>
                      <w:szCs w:val="21"/>
                      <w:lang w:val="en-US" w:eastAsia="zh-CN"/>
                    </w:rPr>
                    <w:t>车间喷淋设施</w:t>
                  </w:r>
                  <w:r>
                    <w:rPr>
                      <w:rFonts w:hint="eastAsia" w:ascii="Times New Roman" w:hAnsi="Times New Roman" w:eastAsia="宋体" w:cs="Times New Roman"/>
                      <w:b w:val="0"/>
                      <w:bCs w:val="0"/>
                      <w:color w:val="FF0000"/>
                      <w:kern w:val="0"/>
                      <w:sz w:val="21"/>
                      <w:szCs w:val="21"/>
                      <w:lang w:val="en-US" w:eastAsia="zh-CN"/>
                    </w:rPr>
                    <w:t>喷淋降尘</w:t>
                  </w:r>
                </w:p>
              </w:tc>
              <w:tc>
                <w:tcPr>
                  <w:tcW w:w="523" w:type="pct"/>
                  <w:vMerge w:val="continue"/>
                  <w:tcBorders>
                    <w:tl2br w:val="nil"/>
                    <w:tr2bl w:val="nil"/>
                  </w:tcBorders>
                  <w:noWrap w:val="0"/>
                  <w:vAlign w:val="center"/>
                </w:tcPr>
                <w:p w14:paraId="04A726E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r>
            <w:tr w14:paraId="78E8A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tcBorders>
                    <w:tl2br w:val="nil"/>
                    <w:tr2bl w:val="nil"/>
                  </w:tcBorders>
                  <w:noWrap w:val="0"/>
                  <w:vAlign w:val="center"/>
                </w:tcPr>
                <w:p w14:paraId="3FA998A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0201B4D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成品堆场</w:t>
                  </w:r>
                </w:p>
              </w:tc>
              <w:tc>
                <w:tcPr>
                  <w:tcW w:w="935" w:type="pct"/>
                  <w:tcBorders>
                    <w:tl2br w:val="nil"/>
                    <w:tr2bl w:val="nil"/>
                  </w:tcBorders>
                  <w:noWrap w:val="0"/>
                  <w:vAlign w:val="center"/>
                </w:tcPr>
                <w:p w14:paraId="014463F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堆场扬尘</w:t>
                  </w:r>
                </w:p>
              </w:tc>
              <w:tc>
                <w:tcPr>
                  <w:tcW w:w="2269" w:type="pct"/>
                  <w:tcBorders>
                    <w:tl2br w:val="nil"/>
                    <w:tr2bl w:val="nil"/>
                  </w:tcBorders>
                  <w:noWrap w:val="0"/>
                  <w:vAlign w:val="center"/>
                </w:tcPr>
                <w:p w14:paraId="6EB224C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color w:val="FF0000"/>
                      <w:kern w:val="0"/>
                      <w:sz w:val="21"/>
                      <w:szCs w:val="21"/>
                      <w:lang w:val="en-US" w:eastAsia="zh-CN"/>
                    </w:rPr>
                  </w:pPr>
                  <w:r>
                    <w:rPr>
                      <w:rFonts w:hint="eastAsia" w:cs="Times New Roman"/>
                      <w:b w:val="0"/>
                      <w:bCs w:val="0"/>
                      <w:color w:val="FF0000"/>
                      <w:kern w:val="0"/>
                      <w:sz w:val="21"/>
                      <w:szCs w:val="21"/>
                      <w:lang w:val="en-US" w:eastAsia="zh-CN"/>
                    </w:rPr>
                    <w:t>封闭车间</w:t>
                  </w:r>
                  <w:r>
                    <w:rPr>
                      <w:rFonts w:hint="eastAsia" w:ascii="Times New Roman" w:hAnsi="Times New Roman" w:eastAsia="宋体" w:cs="Times New Roman"/>
                      <w:b w:val="0"/>
                      <w:bCs w:val="0"/>
                      <w:color w:val="FF0000"/>
                      <w:kern w:val="0"/>
                      <w:sz w:val="21"/>
                      <w:szCs w:val="21"/>
                      <w:lang w:val="en-US" w:eastAsia="zh-CN"/>
                    </w:rPr>
                    <w:t>，</w:t>
                  </w:r>
                  <w:r>
                    <w:rPr>
                      <w:rFonts w:hint="eastAsia" w:cs="Times New Roman"/>
                      <w:b w:val="0"/>
                      <w:bCs w:val="0"/>
                      <w:color w:val="FF0000"/>
                      <w:kern w:val="0"/>
                      <w:sz w:val="21"/>
                      <w:szCs w:val="21"/>
                      <w:lang w:val="en-US" w:eastAsia="zh-CN"/>
                    </w:rPr>
                    <w:t>车间喷淋设施</w:t>
                  </w:r>
                  <w:r>
                    <w:rPr>
                      <w:rFonts w:hint="eastAsia" w:ascii="Times New Roman" w:hAnsi="Times New Roman" w:eastAsia="宋体" w:cs="Times New Roman"/>
                      <w:b w:val="0"/>
                      <w:bCs w:val="0"/>
                      <w:color w:val="FF0000"/>
                      <w:kern w:val="0"/>
                      <w:sz w:val="21"/>
                      <w:szCs w:val="21"/>
                      <w:lang w:val="en-US" w:eastAsia="zh-CN"/>
                    </w:rPr>
                    <w:t>喷淋降尘</w:t>
                  </w:r>
                </w:p>
              </w:tc>
              <w:tc>
                <w:tcPr>
                  <w:tcW w:w="523" w:type="pct"/>
                  <w:vMerge w:val="restart"/>
                  <w:tcBorders>
                    <w:tl2br w:val="nil"/>
                    <w:tr2bl w:val="nil"/>
                  </w:tcBorders>
                  <w:noWrap w:val="0"/>
                  <w:vAlign w:val="center"/>
                </w:tcPr>
                <w:p w14:paraId="133FF40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成品堆场及道路运输</w:t>
                  </w:r>
                </w:p>
              </w:tc>
            </w:tr>
            <w:tr w14:paraId="7EE1E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683D040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1684ADB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装卸</w:t>
                  </w:r>
                </w:p>
              </w:tc>
              <w:tc>
                <w:tcPr>
                  <w:tcW w:w="935" w:type="pct"/>
                  <w:tcBorders>
                    <w:tl2br w:val="nil"/>
                    <w:tr2bl w:val="nil"/>
                  </w:tcBorders>
                  <w:noWrap w:val="0"/>
                  <w:vAlign w:val="center"/>
                </w:tcPr>
                <w:p w14:paraId="06CFBDF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装卸粉尘</w:t>
                  </w:r>
                </w:p>
              </w:tc>
              <w:tc>
                <w:tcPr>
                  <w:tcW w:w="2269" w:type="pct"/>
                  <w:tcBorders>
                    <w:tl2br w:val="nil"/>
                    <w:tr2bl w:val="nil"/>
                  </w:tcBorders>
                  <w:noWrap w:val="0"/>
                  <w:vAlign w:val="center"/>
                </w:tcPr>
                <w:p w14:paraId="374980F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lang w:val="en-US" w:eastAsia="zh-CN"/>
                    </w:rPr>
                  </w:pPr>
                  <w:r>
                    <w:rPr>
                      <w:rFonts w:hint="eastAsia" w:cs="Times New Roman"/>
                      <w:b w:val="0"/>
                      <w:bCs w:val="0"/>
                      <w:color w:val="FF0000"/>
                      <w:kern w:val="0"/>
                      <w:sz w:val="21"/>
                      <w:szCs w:val="21"/>
                      <w:lang w:val="en-US" w:eastAsia="zh-CN"/>
                    </w:rPr>
                    <w:t>洒水车洒水降尘、雾炮机喷雾降尘</w:t>
                  </w:r>
                </w:p>
              </w:tc>
              <w:tc>
                <w:tcPr>
                  <w:tcW w:w="523" w:type="pct"/>
                  <w:vMerge w:val="continue"/>
                  <w:tcBorders>
                    <w:tl2br w:val="nil"/>
                    <w:tr2bl w:val="nil"/>
                  </w:tcBorders>
                  <w:noWrap w:val="0"/>
                  <w:vAlign w:val="center"/>
                </w:tcPr>
                <w:p w14:paraId="02DDF0C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r>
            <w:tr w14:paraId="35A20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71" w:type="pct"/>
                  <w:vMerge w:val="continue"/>
                  <w:tcBorders>
                    <w:tl2br w:val="nil"/>
                    <w:tr2bl w:val="nil"/>
                  </w:tcBorders>
                  <w:noWrap w:val="0"/>
                  <w:vAlign w:val="center"/>
                </w:tcPr>
                <w:p w14:paraId="0621C9B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497D4C4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道路运输</w:t>
                  </w:r>
                </w:p>
              </w:tc>
              <w:tc>
                <w:tcPr>
                  <w:tcW w:w="935" w:type="pct"/>
                  <w:tcBorders>
                    <w:tl2br w:val="nil"/>
                    <w:tr2bl w:val="nil"/>
                  </w:tcBorders>
                  <w:noWrap w:val="0"/>
                  <w:vAlign w:val="center"/>
                </w:tcPr>
                <w:p w14:paraId="6A67F10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道路运输扬尘</w:t>
                  </w:r>
                </w:p>
              </w:tc>
              <w:tc>
                <w:tcPr>
                  <w:tcW w:w="2269" w:type="pct"/>
                  <w:tcBorders>
                    <w:tl2br w:val="nil"/>
                    <w:tr2bl w:val="nil"/>
                  </w:tcBorders>
                  <w:noWrap w:val="0"/>
                  <w:vAlign w:val="center"/>
                </w:tcPr>
                <w:p w14:paraId="1AA41FA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lang w:val="en-US" w:eastAsia="zh-CN"/>
                    </w:rPr>
                  </w:pPr>
                  <w:r>
                    <w:rPr>
                      <w:rFonts w:hint="eastAsia" w:cs="Times New Roman"/>
                      <w:b w:val="0"/>
                      <w:bCs w:val="0"/>
                      <w:color w:val="FF0000"/>
                      <w:kern w:val="0"/>
                      <w:sz w:val="21"/>
                      <w:szCs w:val="21"/>
                      <w:lang w:val="en-US" w:eastAsia="zh-CN"/>
                    </w:rPr>
                    <w:t>洒水车洒水降尘</w:t>
                  </w:r>
                  <w:r>
                    <w:rPr>
                      <w:rFonts w:hint="eastAsia" w:ascii="Times New Roman" w:hAnsi="Times New Roman" w:eastAsia="宋体" w:cs="Times New Roman"/>
                      <w:b w:val="0"/>
                      <w:bCs w:val="0"/>
                      <w:color w:val="FF0000"/>
                      <w:kern w:val="0"/>
                      <w:sz w:val="21"/>
                      <w:szCs w:val="21"/>
                      <w:lang w:val="en-US" w:eastAsia="zh-CN"/>
                    </w:rPr>
                    <w:t>、</w:t>
                  </w:r>
                  <w:r>
                    <w:rPr>
                      <w:rFonts w:hint="eastAsia" w:cs="Times New Roman"/>
                      <w:b w:val="0"/>
                      <w:bCs w:val="0"/>
                      <w:color w:val="FF0000"/>
                      <w:kern w:val="0"/>
                      <w:sz w:val="21"/>
                      <w:szCs w:val="21"/>
                      <w:lang w:val="en-US" w:eastAsia="zh-CN"/>
                    </w:rPr>
                    <w:t>设置</w:t>
                  </w:r>
                  <w:r>
                    <w:rPr>
                      <w:rFonts w:hint="eastAsia" w:ascii="Times New Roman" w:hAnsi="Times New Roman" w:eastAsia="宋体" w:cs="Times New Roman"/>
                      <w:b w:val="0"/>
                      <w:bCs w:val="0"/>
                      <w:color w:val="FF0000"/>
                      <w:kern w:val="0"/>
                      <w:sz w:val="21"/>
                      <w:szCs w:val="21"/>
                      <w:lang w:val="en-US" w:eastAsia="zh-CN"/>
                    </w:rPr>
                    <w:t>洗车平台</w:t>
                  </w:r>
                </w:p>
              </w:tc>
              <w:tc>
                <w:tcPr>
                  <w:tcW w:w="523" w:type="pct"/>
                  <w:vMerge w:val="continue"/>
                  <w:tcBorders>
                    <w:tl2br w:val="nil"/>
                    <w:tr2bl w:val="nil"/>
                  </w:tcBorders>
                  <w:noWrap w:val="0"/>
                  <w:vAlign w:val="center"/>
                </w:tcPr>
                <w:p w14:paraId="0EC73B9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r>
            <w:tr w14:paraId="728E0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3A4A913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22DE581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排土场</w:t>
                  </w:r>
                </w:p>
              </w:tc>
              <w:tc>
                <w:tcPr>
                  <w:tcW w:w="935" w:type="pct"/>
                  <w:tcBorders>
                    <w:tl2br w:val="nil"/>
                    <w:tr2bl w:val="nil"/>
                  </w:tcBorders>
                  <w:noWrap w:val="0"/>
                  <w:vAlign w:val="center"/>
                </w:tcPr>
                <w:p w14:paraId="0A23A44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排土场扬尘</w:t>
                  </w:r>
                </w:p>
              </w:tc>
              <w:tc>
                <w:tcPr>
                  <w:tcW w:w="2269" w:type="pct"/>
                  <w:tcBorders>
                    <w:tl2br w:val="nil"/>
                    <w:tr2bl w:val="nil"/>
                  </w:tcBorders>
                  <w:noWrap w:val="0"/>
                  <w:vAlign w:val="center"/>
                </w:tcPr>
                <w:p w14:paraId="462B9E3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color w:val="FF0000"/>
                      <w:kern w:val="0"/>
                      <w:sz w:val="21"/>
                      <w:szCs w:val="21"/>
                      <w:lang w:val="en-US" w:eastAsia="zh-CN"/>
                    </w:rPr>
                  </w:pPr>
                  <w:r>
                    <w:rPr>
                      <w:rFonts w:hint="eastAsia" w:ascii="Times New Roman" w:hAnsi="Times New Roman" w:eastAsia="宋体" w:cs="Times New Roman"/>
                      <w:b w:val="0"/>
                      <w:bCs w:val="0"/>
                      <w:color w:val="FF0000"/>
                      <w:kern w:val="0"/>
                      <w:sz w:val="21"/>
                      <w:szCs w:val="21"/>
                      <w:lang w:val="en-US" w:eastAsia="zh-CN"/>
                    </w:rPr>
                    <w:t>毡盖，定期</w:t>
                  </w:r>
                  <w:r>
                    <w:rPr>
                      <w:rFonts w:hint="eastAsia" w:cs="Times New Roman"/>
                      <w:b w:val="0"/>
                      <w:bCs w:val="0"/>
                      <w:color w:val="FF0000"/>
                      <w:kern w:val="0"/>
                      <w:sz w:val="21"/>
                      <w:szCs w:val="21"/>
                      <w:lang w:val="en-US" w:eastAsia="zh-CN"/>
                    </w:rPr>
                    <w:t>喷雾机喷雾</w:t>
                  </w:r>
                  <w:r>
                    <w:rPr>
                      <w:rFonts w:hint="eastAsia" w:ascii="Times New Roman" w:hAnsi="Times New Roman" w:eastAsia="宋体" w:cs="Times New Roman"/>
                      <w:b w:val="0"/>
                      <w:bCs w:val="0"/>
                      <w:color w:val="FF0000"/>
                      <w:kern w:val="0"/>
                      <w:sz w:val="21"/>
                      <w:szCs w:val="21"/>
                      <w:lang w:val="en-US" w:eastAsia="zh-CN"/>
                    </w:rPr>
                    <w:t>降尘</w:t>
                  </w:r>
                </w:p>
              </w:tc>
              <w:tc>
                <w:tcPr>
                  <w:tcW w:w="523" w:type="pct"/>
                  <w:tcBorders>
                    <w:tl2br w:val="nil"/>
                    <w:tr2bl w:val="nil"/>
                  </w:tcBorders>
                  <w:noWrap w:val="0"/>
                  <w:vAlign w:val="center"/>
                </w:tcPr>
                <w:p w14:paraId="2C62FA8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排土场</w:t>
                  </w:r>
                </w:p>
              </w:tc>
            </w:tr>
            <w:tr w14:paraId="4CDE5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147ADFD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3BAA42D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工程机械</w:t>
                  </w:r>
                </w:p>
              </w:tc>
              <w:tc>
                <w:tcPr>
                  <w:tcW w:w="935" w:type="pct"/>
                  <w:tcBorders>
                    <w:tl2br w:val="nil"/>
                    <w:tr2bl w:val="nil"/>
                  </w:tcBorders>
                  <w:noWrap w:val="0"/>
                  <w:vAlign w:val="center"/>
                </w:tcPr>
                <w:p w14:paraId="45B92D9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机械尾气</w:t>
                  </w:r>
                </w:p>
              </w:tc>
              <w:tc>
                <w:tcPr>
                  <w:tcW w:w="2269" w:type="pct"/>
                  <w:tcBorders>
                    <w:tl2br w:val="nil"/>
                    <w:tr2bl w:val="nil"/>
                  </w:tcBorders>
                  <w:noWrap w:val="0"/>
                  <w:vAlign w:val="center"/>
                </w:tcPr>
                <w:p w14:paraId="0D994A1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w:t>
                  </w:r>
                </w:p>
              </w:tc>
              <w:tc>
                <w:tcPr>
                  <w:tcW w:w="523" w:type="pct"/>
                  <w:tcBorders>
                    <w:tl2br w:val="nil"/>
                    <w:tr2bl w:val="nil"/>
                  </w:tcBorders>
                  <w:noWrap w:val="0"/>
                  <w:vAlign w:val="center"/>
                </w:tcPr>
                <w:p w14:paraId="5535993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w:t>
                  </w:r>
                </w:p>
              </w:tc>
            </w:tr>
            <w:tr w14:paraId="0E32A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tcBorders>
                    <w:tl2br w:val="nil"/>
                    <w:tr2bl w:val="nil"/>
                  </w:tcBorders>
                  <w:noWrap w:val="0"/>
                  <w:vAlign w:val="center"/>
                </w:tcPr>
                <w:p w14:paraId="5881C46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噪声</w:t>
                  </w:r>
                </w:p>
              </w:tc>
              <w:tc>
                <w:tcPr>
                  <w:tcW w:w="800" w:type="pct"/>
                  <w:tcBorders>
                    <w:tl2br w:val="nil"/>
                    <w:tr2bl w:val="nil"/>
                  </w:tcBorders>
                  <w:noWrap w:val="0"/>
                  <w:vAlign w:val="center"/>
                </w:tcPr>
                <w:p w14:paraId="1E936D5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开采机械</w:t>
                  </w:r>
                </w:p>
              </w:tc>
              <w:tc>
                <w:tcPr>
                  <w:tcW w:w="935" w:type="pct"/>
                  <w:tcBorders>
                    <w:tl2br w:val="nil"/>
                    <w:tr2bl w:val="nil"/>
                  </w:tcBorders>
                  <w:noWrap w:val="0"/>
                  <w:vAlign w:val="center"/>
                </w:tcPr>
                <w:p w14:paraId="4795BBF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机械噪声</w:t>
                  </w:r>
                </w:p>
              </w:tc>
              <w:tc>
                <w:tcPr>
                  <w:tcW w:w="2269" w:type="pct"/>
                  <w:tcBorders>
                    <w:tl2br w:val="nil"/>
                    <w:tr2bl w:val="nil"/>
                  </w:tcBorders>
                  <w:noWrap w:val="0"/>
                  <w:vAlign w:val="center"/>
                </w:tcPr>
                <w:p w14:paraId="1EFBEB6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lang w:val="en-US" w:eastAsia="zh-CN"/>
                    </w:rPr>
                  </w:pPr>
                  <w:r>
                    <w:rPr>
                      <w:rFonts w:hint="eastAsia" w:ascii="Times New Roman" w:hAnsi="Times New Roman" w:eastAsia="宋体" w:cs="Times New Roman"/>
                      <w:b w:val="0"/>
                      <w:bCs w:val="0"/>
                      <w:color w:val="FF0000"/>
                      <w:kern w:val="0"/>
                      <w:sz w:val="21"/>
                      <w:szCs w:val="21"/>
                      <w:lang w:val="en-US" w:eastAsia="zh-CN"/>
                    </w:rPr>
                    <w:t>低噪声设备</w:t>
                  </w:r>
                  <w:r>
                    <w:rPr>
                      <w:rFonts w:hint="eastAsia" w:cs="Times New Roman"/>
                      <w:b w:val="0"/>
                      <w:bCs w:val="0"/>
                      <w:color w:val="FF0000"/>
                      <w:kern w:val="0"/>
                      <w:sz w:val="21"/>
                      <w:szCs w:val="21"/>
                      <w:lang w:val="en-US" w:eastAsia="zh-CN"/>
                    </w:rPr>
                    <w:t>、合理安排时间</w:t>
                  </w:r>
                </w:p>
              </w:tc>
              <w:tc>
                <w:tcPr>
                  <w:tcW w:w="523" w:type="pct"/>
                  <w:tcBorders>
                    <w:tl2br w:val="nil"/>
                    <w:tr2bl w:val="nil"/>
                  </w:tcBorders>
                  <w:noWrap w:val="0"/>
                  <w:vAlign w:val="center"/>
                </w:tcPr>
                <w:p w14:paraId="5E753FF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采矿区</w:t>
                  </w:r>
                </w:p>
              </w:tc>
            </w:tr>
            <w:tr w14:paraId="63461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4182A56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21D0426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加工机械</w:t>
                  </w:r>
                </w:p>
              </w:tc>
              <w:tc>
                <w:tcPr>
                  <w:tcW w:w="935" w:type="pct"/>
                  <w:tcBorders>
                    <w:tl2br w:val="nil"/>
                    <w:tr2bl w:val="nil"/>
                  </w:tcBorders>
                  <w:noWrap w:val="0"/>
                  <w:vAlign w:val="center"/>
                </w:tcPr>
                <w:p w14:paraId="68D5354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机械噪声</w:t>
                  </w:r>
                </w:p>
              </w:tc>
              <w:tc>
                <w:tcPr>
                  <w:tcW w:w="2269" w:type="pct"/>
                  <w:tcBorders>
                    <w:tl2br w:val="nil"/>
                    <w:tr2bl w:val="nil"/>
                  </w:tcBorders>
                  <w:noWrap w:val="0"/>
                  <w:vAlign w:val="center"/>
                </w:tcPr>
                <w:p w14:paraId="13C2C52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lang w:val="en-US" w:eastAsia="zh-CN"/>
                    </w:rPr>
                  </w:pPr>
                  <w:r>
                    <w:rPr>
                      <w:rFonts w:hint="eastAsia" w:ascii="Times New Roman" w:hAnsi="Times New Roman" w:eastAsia="宋体" w:cs="Times New Roman"/>
                      <w:b w:val="0"/>
                      <w:bCs w:val="0"/>
                      <w:color w:val="FF0000"/>
                      <w:kern w:val="0"/>
                      <w:sz w:val="21"/>
                      <w:szCs w:val="21"/>
                      <w:lang w:val="en-US" w:eastAsia="zh-CN"/>
                    </w:rPr>
                    <w:t>低噪声设备、基础减震</w:t>
                  </w:r>
                </w:p>
              </w:tc>
              <w:tc>
                <w:tcPr>
                  <w:tcW w:w="523" w:type="pct"/>
                  <w:tcBorders>
                    <w:tl2br w:val="nil"/>
                    <w:tr2bl w:val="nil"/>
                  </w:tcBorders>
                  <w:noWrap w:val="0"/>
                  <w:vAlign w:val="center"/>
                </w:tcPr>
                <w:p w14:paraId="381CF48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加工区</w:t>
                  </w:r>
                </w:p>
              </w:tc>
            </w:tr>
            <w:tr w14:paraId="5B2DA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7BE92E6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78C1957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道路运输</w:t>
                  </w:r>
                </w:p>
              </w:tc>
              <w:tc>
                <w:tcPr>
                  <w:tcW w:w="935" w:type="pct"/>
                  <w:tcBorders>
                    <w:tl2br w:val="nil"/>
                    <w:tr2bl w:val="nil"/>
                  </w:tcBorders>
                  <w:noWrap w:val="0"/>
                  <w:vAlign w:val="center"/>
                </w:tcPr>
                <w:p w14:paraId="6441284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交通噪声</w:t>
                  </w:r>
                </w:p>
              </w:tc>
              <w:tc>
                <w:tcPr>
                  <w:tcW w:w="2269" w:type="pct"/>
                  <w:tcBorders>
                    <w:tl2br w:val="nil"/>
                    <w:tr2bl w:val="nil"/>
                  </w:tcBorders>
                  <w:noWrap w:val="0"/>
                  <w:vAlign w:val="center"/>
                </w:tcPr>
                <w:p w14:paraId="6EF288E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lang w:val="en-US" w:eastAsia="zh-CN"/>
                    </w:rPr>
                  </w:pPr>
                  <w:r>
                    <w:rPr>
                      <w:rFonts w:hint="eastAsia" w:ascii="Times New Roman" w:hAnsi="Times New Roman" w:eastAsia="宋体" w:cs="Times New Roman"/>
                      <w:b w:val="0"/>
                      <w:bCs w:val="0"/>
                      <w:color w:val="FF0000"/>
                      <w:kern w:val="0"/>
                      <w:sz w:val="21"/>
                      <w:szCs w:val="21"/>
                      <w:lang w:val="en-US" w:eastAsia="zh-CN"/>
                    </w:rPr>
                    <w:t>加强管理、禁止鸣笛</w:t>
                  </w:r>
                </w:p>
              </w:tc>
              <w:tc>
                <w:tcPr>
                  <w:tcW w:w="523" w:type="pct"/>
                  <w:tcBorders>
                    <w:tl2br w:val="nil"/>
                    <w:tr2bl w:val="nil"/>
                  </w:tcBorders>
                  <w:noWrap w:val="0"/>
                  <w:vAlign w:val="center"/>
                </w:tcPr>
                <w:p w14:paraId="58813FF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运输</w:t>
                  </w:r>
                </w:p>
              </w:tc>
            </w:tr>
            <w:tr w14:paraId="532EF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tcBorders>
                    <w:tl2br w:val="nil"/>
                    <w:tr2bl w:val="nil"/>
                  </w:tcBorders>
                  <w:noWrap w:val="0"/>
                  <w:vAlign w:val="center"/>
                </w:tcPr>
                <w:p w14:paraId="549C93E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固体废弃物</w:t>
                  </w:r>
                </w:p>
              </w:tc>
              <w:tc>
                <w:tcPr>
                  <w:tcW w:w="800" w:type="pct"/>
                  <w:tcBorders>
                    <w:tl2br w:val="nil"/>
                    <w:tr2bl w:val="nil"/>
                  </w:tcBorders>
                  <w:noWrap w:val="0"/>
                  <w:vAlign w:val="center"/>
                </w:tcPr>
                <w:p w14:paraId="547C839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表土剥离</w:t>
                  </w:r>
                </w:p>
              </w:tc>
              <w:tc>
                <w:tcPr>
                  <w:tcW w:w="935" w:type="pct"/>
                  <w:tcBorders>
                    <w:tl2br w:val="nil"/>
                    <w:tr2bl w:val="nil"/>
                  </w:tcBorders>
                  <w:noWrap w:val="0"/>
                  <w:vAlign w:val="center"/>
                </w:tcPr>
                <w:p w14:paraId="178FA23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剥离表土</w:t>
                  </w:r>
                </w:p>
              </w:tc>
              <w:tc>
                <w:tcPr>
                  <w:tcW w:w="2269" w:type="pct"/>
                  <w:tcBorders>
                    <w:tl2br w:val="nil"/>
                    <w:tr2bl w:val="nil"/>
                  </w:tcBorders>
                  <w:noWrap w:val="0"/>
                  <w:vAlign w:val="center"/>
                </w:tcPr>
                <w:p w14:paraId="2338A8D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排土场堆存，后期用于植被恢复</w:t>
                  </w:r>
                </w:p>
              </w:tc>
              <w:tc>
                <w:tcPr>
                  <w:tcW w:w="523" w:type="pct"/>
                  <w:tcBorders>
                    <w:tl2br w:val="nil"/>
                    <w:tr2bl w:val="nil"/>
                  </w:tcBorders>
                  <w:noWrap w:val="0"/>
                  <w:vAlign w:val="center"/>
                </w:tcPr>
                <w:p w14:paraId="5421DED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开采</w:t>
                  </w:r>
                </w:p>
              </w:tc>
            </w:tr>
            <w:tr w14:paraId="336F5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5A6E94F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54C3B41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开采及破碎筛分</w:t>
                  </w:r>
                </w:p>
              </w:tc>
              <w:tc>
                <w:tcPr>
                  <w:tcW w:w="935" w:type="pct"/>
                  <w:tcBorders>
                    <w:tl2br w:val="nil"/>
                    <w:tr2bl w:val="nil"/>
                  </w:tcBorders>
                  <w:noWrap w:val="0"/>
                  <w:vAlign w:val="center"/>
                </w:tcPr>
                <w:p w14:paraId="5E75F24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废石</w:t>
                  </w:r>
                </w:p>
              </w:tc>
              <w:tc>
                <w:tcPr>
                  <w:tcW w:w="2269" w:type="pct"/>
                  <w:tcBorders>
                    <w:tl2br w:val="nil"/>
                    <w:tr2bl w:val="nil"/>
                  </w:tcBorders>
                  <w:noWrap w:val="0"/>
                  <w:vAlign w:val="center"/>
                </w:tcPr>
                <w:p w14:paraId="5F04452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部分用于道路平整，其余堆放于排土场，后期植被恢复覆土</w:t>
                  </w:r>
                </w:p>
              </w:tc>
              <w:tc>
                <w:tcPr>
                  <w:tcW w:w="523" w:type="pct"/>
                  <w:vMerge w:val="restart"/>
                  <w:tcBorders>
                    <w:tl2br w:val="nil"/>
                    <w:tr2bl w:val="nil"/>
                  </w:tcBorders>
                  <w:noWrap w:val="0"/>
                  <w:vAlign w:val="center"/>
                </w:tcPr>
                <w:p w14:paraId="0F8C5A2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开采及加工</w:t>
                  </w:r>
                </w:p>
              </w:tc>
            </w:tr>
            <w:tr w14:paraId="7EE6B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25C33BC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46B76F9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机械设备维修</w:t>
                  </w:r>
                </w:p>
              </w:tc>
              <w:tc>
                <w:tcPr>
                  <w:tcW w:w="935" w:type="pct"/>
                  <w:tcBorders>
                    <w:tl2br w:val="nil"/>
                    <w:tr2bl w:val="nil"/>
                  </w:tcBorders>
                  <w:noWrap w:val="0"/>
                  <w:vAlign w:val="center"/>
                </w:tcPr>
                <w:p w14:paraId="3D98A07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废机油、废机油桶</w:t>
                  </w:r>
                </w:p>
              </w:tc>
              <w:tc>
                <w:tcPr>
                  <w:tcW w:w="2269" w:type="pct"/>
                  <w:tcBorders>
                    <w:tl2br w:val="nil"/>
                    <w:tr2bl w:val="nil"/>
                  </w:tcBorders>
                  <w:noWrap w:val="0"/>
                  <w:vAlign w:val="center"/>
                </w:tcPr>
                <w:p w14:paraId="674A6C2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暂存于危险废物贮存库，定期交由有资质的单位进行处置</w:t>
                  </w:r>
                </w:p>
              </w:tc>
              <w:tc>
                <w:tcPr>
                  <w:tcW w:w="523" w:type="pct"/>
                  <w:vMerge w:val="continue"/>
                  <w:tcBorders>
                    <w:tl2br w:val="nil"/>
                    <w:tr2bl w:val="nil"/>
                  </w:tcBorders>
                  <w:noWrap w:val="0"/>
                  <w:vAlign w:val="center"/>
                </w:tcPr>
                <w:p w14:paraId="12C9B35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r>
            <w:tr w14:paraId="5C107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12C74D1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7FC978B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highlight w:val="none"/>
                      <w:lang w:val="en-US" w:eastAsia="zh-CN"/>
                    </w:rPr>
                  </w:pPr>
                  <w:r>
                    <w:rPr>
                      <w:rFonts w:hint="eastAsia" w:cs="Times New Roman"/>
                      <w:b w:val="0"/>
                      <w:bCs w:val="0"/>
                      <w:color w:val="FF0000"/>
                      <w:kern w:val="0"/>
                      <w:sz w:val="21"/>
                      <w:szCs w:val="21"/>
                      <w:highlight w:val="none"/>
                      <w:lang w:val="en-US" w:eastAsia="zh-CN"/>
                    </w:rPr>
                    <w:t>沉淀池</w:t>
                  </w:r>
                </w:p>
              </w:tc>
              <w:tc>
                <w:tcPr>
                  <w:tcW w:w="935" w:type="pct"/>
                  <w:tcBorders>
                    <w:tl2br w:val="nil"/>
                    <w:tr2bl w:val="nil"/>
                  </w:tcBorders>
                  <w:noWrap w:val="0"/>
                  <w:vAlign w:val="center"/>
                </w:tcPr>
                <w:p w14:paraId="53B046B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highlight w:val="none"/>
                      <w:lang w:val="en-US" w:eastAsia="zh-CN"/>
                    </w:rPr>
                  </w:pPr>
                  <w:r>
                    <w:rPr>
                      <w:rFonts w:hint="eastAsia" w:cs="Times New Roman"/>
                      <w:b w:val="0"/>
                      <w:bCs w:val="0"/>
                      <w:color w:val="FF0000"/>
                      <w:kern w:val="0"/>
                      <w:sz w:val="21"/>
                      <w:szCs w:val="21"/>
                      <w:highlight w:val="none"/>
                      <w:lang w:val="en-US" w:eastAsia="zh-CN"/>
                    </w:rPr>
                    <w:t>沉淀池底泥</w:t>
                  </w:r>
                </w:p>
              </w:tc>
              <w:tc>
                <w:tcPr>
                  <w:tcW w:w="2269" w:type="pct"/>
                  <w:tcBorders>
                    <w:tl2br w:val="nil"/>
                    <w:tr2bl w:val="nil"/>
                  </w:tcBorders>
                  <w:noWrap w:val="0"/>
                  <w:vAlign w:val="center"/>
                </w:tcPr>
                <w:p w14:paraId="61C3316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color w:val="FF0000"/>
                      <w:kern w:val="0"/>
                      <w:sz w:val="21"/>
                      <w:szCs w:val="21"/>
                      <w:highlight w:val="none"/>
                      <w:lang w:val="en-US" w:eastAsia="zh-CN"/>
                    </w:rPr>
                  </w:pPr>
                  <w:r>
                    <w:rPr>
                      <w:rFonts w:hint="eastAsia" w:cs="Times New Roman"/>
                      <w:b w:val="0"/>
                      <w:bCs w:val="0"/>
                      <w:color w:val="FF0000"/>
                      <w:kern w:val="0"/>
                      <w:sz w:val="21"/>
                      <w:szCs w:val="21"/>
                      <w:highlight w:val="none"/>
                      <w:lang w:val="en-US" w:eastAsia="zh-CN"/>
                    </w:rPr>
                    <w:t>定期清掏后经收集用于后续土地复垦回填利用</w:t>
                  </w:r>
                </w:p>
              </w:tc>
              <w:tc>
                <w:tcPr>
                  <w:tcW w:w="523" w:type="pct"/>
                  <w:vMerge w:val="continue"/>
                  <w:tcBorders>
                    <w:tl2br w:val="nil"/>
                    <w:tr2bl w:val="nil"/>
                  </w:tcBorders>
                  <w:noWrap w:val="0"/>
                  <w:vAlign w:val="center"/>
                </w:tcPr>
                <w:p w14:paraId="498DF56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r>
            <w:tr w14:paraId="05141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38CF9AA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75078A9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职工生活</w:t>
                  </w:r>
                </w:p>
              </w:tc>
              <w:tc>
                <w:tcPr>
                  <w:tcW w:w="935" w:type="pct"/>
                  <w:tcBorders>
                    <w:tl2br w:val="nil"/>
                    <w:tr2bl w:val="nil"/>
                  </w:tcBorders>
                  <w:noWrap w:val="0"/>
                  <w:vAlign w:val="center"/>
                </w:tcPr>
                <w:p w14:paraId="645E6F3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生活垃圾</w:t>
                  </w:r>
                </w:p>
              </w:tc>
              <w:tc>
                <w:tcPr>
                  <w:tcW w:w="2269" w:type="pct"/>
                  <w:tcBorders>
                    <w:tl2br w:val="nil"/>
                    <w:tr2bl w:val="nil"/>
                  </w:tcBorders>
                  <w:noWrap w:val="0"/>
                  <w:vAlign w:val="center"/>
                </w:tcPr>
                <w:p w14:paraId="4A8C96C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收集后由当地环卫部门统一拉运处置</w:t>
                  </w:r>
                </w:p>
              </w:tc>
              <w:tc>
                <w:tcPr>
                  <w:tcW w:w="523" w:type="pct"/>
                  <w:vMerge w:val="restart"/>
                  <w:tcBorders>
                    <w:tl2br w:val="nil"/>
                    <w:tr2bl w:val="nil"/>
                  </w:tcBorders>
                  <w:noWrap w:val="0"/>
                  <w:vAlign w:val="center"/>
                </w:tcPr>
                <w:p w14:paraId="58724D9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职工生活</w:t>
                  </w:r>
                </w:p>
              </w:tc>
            </w:tr>
            <w:tr w14:paraId="7661C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tcBorders>
                    <w:tl2br w:val="nil"/>
                    <w:tr2bl w:val="nil"/>
                  </w:tcBorders>
                  <w:noWrap w:val="0"/>
                  <w:vAlign w:val="center"/>
                </w:tcPr>
                <w:p w14:paraId="375E179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废水</w:t>
                  </w:r>
                </w:p>
              </w:tc>
              <w:tc>
                <w:tcPr>
                  <w:tcW w:w="800" w:type="pct"/>
                  <w:tcBorders>
                    <w:tl2br w:val="nil"/>
                    <w:tr2bl w:val="nil"/>
                  </w:tcBorders>
                  <w:noWrap w:val="0"/>
                  <w:vAlign w:val="center"/>
                </w:tcPr>
                <w:p w14:paraId="0D6EB96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职工生活</w:t>
                  </w:r>
                </w:p>
              </w:tc>
              <w:tc>
                <w:tcPr>
                  <w:tcW w:w="935" w:type="pct"/>
                  <w:tcBorders>
                    <w:tl2br w:val="nil"/>
                    <w:tr2bl w:val="nil"/>
                  </w:tcBorders>
                  <w:noWrap w:val="0"/>
                  <w:vAlign w:val="center"/>
                </w:tcPr>
                <w:p w14:paraId="7A0F19A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生活污水</w:t>
                  </w:r>
                </w:p>
              </w:tc>
              <w:tc>
                <w:tcPr>
                  <w:tcW w:w="2269" w:type="pct"/>
                  <w:tcBorders>
                    <w:tl2br w:val="nil"/>
                    <w:tr2bl w:val="nil"/>
                  </w:tcBorders>
                  <w:noWrap w:val="0"/>
                  <w:vAlign w:val="center"/>
                </w:tcPr>
                <w:p w14:paraId="5C61AF3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color w:val="FF0000"/>
                      <w:sz w:val="21"/>
                      <w:szCs w:val="21"/>
                      <w:vertAlign w:val="baseline"/>
                      <w:lang w:val="en-US" w:eastAsia="zh-CN"/>
                    </w:rPr>
                    <w:t>职工</w:t>
                  </w:r>
                  <w:r>
                    <w:rPr>
                      <w:rFonts w:hint="eastAsia" w:cs="Times New Roman"/>
                      <w:b w:val="0"/>
                      <w:bCs/>
                      <w:color w:val="FF0000"/>
                      <w:sz w:val="21"/>
                      <w:szCs w:val="21"/>
                      <w:vertAlign w:val="baseline"/>
                      <w:lang w:val="en-US" w:eastAsia="zh-CN"/>
                    </w:rPr>
                    <w:t>盥洗废水和淋浴废水经管道进入化粪池，职工人员</w:t>
                  </w:r>
                  <w:r>
                    <w:rPr>
                      <w:rFonts w:hint="eastAsia" w:ascii="Times New Roman" w:hAnsi="Times New Roman" w:eastAsia="宋体" w:cs="Times New Roman"/>
                      <w:b w:val="0"/>
                      <w:bCs/>
                      <w:color w:val="FF0000"/>
                      <w:sz w:val="21"/>
                      <w:szCs w:val="21"/>
                      <w:vertAlign w:val="baseline"/>
                      <w:lang w:val="en-US" w:eastAsia="zh-CN"/>
                    </w:rPr>
                    <w:t>如厕采用</w:t>
                  </w:r>
                  <w:r>
                    <w:rPr>
                      <w:rFonts w:hint="eastAsia" w:cs="Times New Roman"/>
                      <w:b w:val="0"/>
                      <w:bCs/>
                      <w:color w:val="FF0000"/>
                      <w:sz w:val="21"/>
                      <w:szCs w:val="21"/>
                      <w:vertAlign w:val="baseline"/>
                      <w:lang w:val="en-US" w:eastAsia="zh-CN"/>
                    </w:rPr>
                    <w:t>干式</w:t>
                  </w:r>
                  <w:r>
                    <w:rPr>
                      <w:rFonts w:hint="eastAsia" w:ascii="Times New Roman" w:hAnsi="Times New Roman" w:eastAsia="宋体" w:cs="Times New Roman"/>
                      <w:b w:val="0"/>
                      <w:bCs/>
                      <w:color w:val="FF0000"/>
                      <w:sz w:val="21"/>
                      <w:szCs w:val="21"/>
                      <w:vertAlign w:val="baseline"/>
                      <w:lang w:val="en-US" w:eastAsia="zh-CN"/>
                    </w:rPr>
                    <w:t>环保厕所</w:t>
                  </w:r>
                  <w:r>
                    <w:rPr>
                      <w:rFonts w:hint="eastAsia" w:cs="Times New Roman"/>
                      <w:b w:val="0"/>
                      <w:bCs/>
                      <w:color w:val="FF0000"/>
                      <w:sz w:val="21"/>
                      <w:szCs w:val="21"/>
                      <w:vertAlign w:val="baseline"/>
                      <w:lang w:val="en-US" w:eastAsia="zh-CN"/>
                    </w:rPr>
                    <w:t>，旁边设置化粪池，粪便进入化粪池后，定期委托专业公司吸污车抽吸拉运至污水处理厂深度处理</w:t>
                  </w:r>
                </w:p>
              </w:tc>
              <w:tc>
                <w:tcPr>
                  <w:tcW w:w="523" w:type="pct"/>
                  <w:vMerge w:val="continue"/>
                  <w:tcBorders>
                    <w:tl2br w:val="nil"/>
                    <w:tr2bl w:val="nil"/>
                  </w:tcBorders>
                  <w:noWrap w:val="0"/>
                  <w:vAlign w:val="center"/>
                </w:tcPr>
                <w:p w14:paraId="62791E2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p>
              </w:tc>
            </w:tr>
            <w:tr w14:paraId="53C2D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tl2br w:val="nil"/>
                    <w:tr2bl w:val="nil"/>
                  </w:tcBorders>
                  <w:noWrap w:val="0"/>
                  <w:vAlign w:val="center"/>
                </w:tcPr>
                <w:p w14:paraId="7327840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p>
              </w:tc>
              <w:tc>
                <w:tcPr>
                  <w:tcW w:w="800" w:type="pct"/>
                  <w:tcBorders>
                    <w:tl2br w:val="nil"/>
                    <w:tr2bl w:val="nil"/>
                  </w:tcBorders>
                  <w:noWrap w:val="0"/>
                  <w:vAlign w:val="center"/>
                </w:tcPr>
                <w:p w14:paraId="0C92DE7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r>
                    <w:rPr>
                      <w:rFonts w:hint="eastAsia"/>
                      <w:sz w:val="21"/>
                      <w:szCs w:val="21"/>
                      <w:lang w:val="en-US" w:eastAsia="zh-CN"/>
                    </w:rPr>
                    <w:t>机械和车辆</w:t>
                  </w:r>
                </w:p>
              </w:tc>
              <w:tc>
                <w:tcPr>
                  <w:tcW w:w="935" w:type="pct"/>
                  <w:tcBorders>
                    <w:tl2br w:val="nil"/>
                    <w:tr2bl w:val="nil"/>
                  </w:tcBorders>
                  <w:noWrap w:val="0"/>
                  <w:vAlign w:val="center"/>
                </w:tcPr>
                <w:p w14:paraId="304EBBF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val="0"/>
                      <w:kern w:val="0"/>
                      <w:sz w:val="21"/>
                      <w:szCs w:val="21"/>
                      <w:lang w:val="en-US" w:eastAsia="zh-CN"/>
                    </w:rPr>
                  </w:pPr>
                  <w:r>
                    <w:rPr>
                      <w:rFonts w:hint="eastAsia"/>
                      <w:sz w:val="21"/>
                      <w:szCs w:val="21"/>
                    </w:rPr>
                    <w:t>冲洗废水</w:t>
                  </w:r>
                </w:p>
              </w:tc>
              <w:tc>
                <w:tcPr>
                  <w:tcW w:w="2269" w:type="pct"/>
                  <w:tcBorders>
                    <w:tl2br w:val="nil"/>
                    <w:tr2bl w:val="nil"/>
                  </w:tcBorders>
                  <w:noWrap w:val="0"/>
                  <w:vAlign w:val="center"/>
                </w:tcPr>
                <w:p w14:paraId="5349E99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sz w:val="21"/>
                      <w:szCs w:val="21"/>
                    </w:rPr>
                    <w:t>设置沉淀池一座，冲洗水</w:t>
                  </w:r>
                  <w:r>
                    <w:rPr>
                      <w:rFonts w:hint="eastAsia"/>
                      <w:sz w:val="21"/>
                      <w:szCs w:val="21"/>
                      <w:lang w:val="en-US" w:eastAsia="zh-CN"/>
                    </w:rPr>
                    <w:t>沉淀后</w:t>
                  </w:r>
                  <w:r>
                    <w:rPr>
                      <w:rFonts w:hint="eastAsia"/>
                      <w:sz w:val="21"/>
                      <w:szCs w:val="21"/>
                    </w:rPr>
                    <w:t>全部回用</w:t>
                  </w:r>
                  <w:r>
                    <w:rPr>
                      <w:rFonts w:hint="eastAsia"/>
                      <w:sz w:val="21"/>
                      <w:szCs w:val="21"/>
                      <w:lang w:eastAsia="zh-CN"/>
                    </w:rPr>
                    <w:t>，</w:t>
                  </w:r>
                  <w:r>
                    <w:rPr>
                      <w:rFonts w:hint="eastAsia"/>
                      <w:sz w:val="21"/>
                      <w:szCs w:val="21"/>
                    </w:rPr>
                    <w:t>不外排</w:t>
                  </w:r>
                </w:p>
              </w:tc>
              <w:tc>
                <w:tcPr>
                  <w:tcW w:w="523" w:type="pct"/>
                  <w:tcBorders>
                    <w:tl2br w:val="nil"/>
                    <w:tr2bl w:val="nil"/>
                  </w:tcBorders>
                  <w:noWrap w:val="0"/>
                  <w:vAlign w:val="center"/>
                </w:tcPr>
                <w:p w14:paraId="1427D59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w:t>
                  </w:r>
                </w:p>
              </w:tc>
            </w:tr>
          </w:tbl>
          <w:p w14:paraId="5C63C2FB">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b/>
                <w:bCs/>
                <w:kern w:val="0"/>
                <w:sz w:val="24"/>
                <w:lang w:val="en-US" w:eastAsia="zh-CN"/>
              </w:rPr>
            </w:pPr>
            <w:r>
              <w:rPr>
                <w:rFonts w:hint="eastAsia"/>
                <w:b/>
                <w:bCs/>
                <w:kern w:val="0"/>
                <w:sz w:val="24"/>
                <w:lang w:val="en-US" w:eastAsia="zh-CN"/>
              </w:rPr>
              <w:t>5、建设周期</w:t>
            </w:r>
          </w:p>
          <w:p w14:paraId="605AC0E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b w:val="0"/>
                <w:bCs w:val="0"/>
                <w:kern w:val="0"/>
                <w:sz w:val="24"/>
                <w:lang w:val="en-US" w:eastAsia="zh-CN"/>
              </w:rPr>
            </w:pPr>
            <w:r>
              <w:rPr>
                <w:color w:val="000000"/>
                <w:sz w:val="24"/>
              </w:rPr>
              <w:t>本项目</w:t>
            </w:r>
            <w:r>
              <w:rPr>
                <w:rFonts w:hint="eastAsia"/>
                <w:color w:val="000000"/>
                <w:sz w:val="24"/>
              </w:rPr>
              <w:t>运营期</w:t>
            </w:r>
            <w:r>
              <w:rPr>
                <w:rFonts w:hint="eastAsia"/>
                <w:color w:val="000000"/>
                <w:sz w:val="24"/>
                <w:lang w:val="en-US" w:eastAsia="zh-CN"/>
              </w:rPr>
              <w:t>工作人员50</w:t>
            </w:r>
            <w:r>
              <w:rPr>
                <w:color w:val="000000"/>
                <w:sz w:val="24"/>
              </w:rPr>
              <w:t>人，每天</w:t>
            </w:r>
            <w:r>
              <w:rPr>
                <w:rFonts w:hint="eastAsia"/>
                <w:color w:val="000000"/>
                <w:sz w:val="24"/>
                <w:lang w:val="en-US" w:eastAsia="zh-CN"/>
              </w:rPr>
              <w:t>8</w:t>
            </w:r>
            <w:r>
              <w:rPr>
                <w:color w:val="000000"/>
                <w:sz w:val="24"/>
              </w:rPr>
              <w:t>小时工作制，</w:t>
            </w:r>
            <w:r>
              <w:rPr>
                <w:rFonts w:hint="eastAsia"/>
                <w:color w:val="000000"/>
                <w:sz w:val="24"/>
                <w:lang w:val="en-US" w:eastAsia="zh-CN"/>
              </w:rPr>
              <w:t>年</w:t>
            </w:r>
            <w:r>
              <w:rPr>
                <w:color w:val="000000"/>
                <w:sz w:val="24"/>
              </w:rPr>
              <w:t>工作天数</w:t>
            </w:r>
            <w:r>
              <w:rPr>
                <w:rFonts w:hint="eastAsia"/>
                <w:sz w:val="24"/>
                <w:lang w:val="en-US" w:eastAsia="zh-CN"/>
              </w:rPr>
              <w:t>250</w:t>
            </w:r>
            <w:r>
              <w:rPr>
                <w:sz w:val="24"/>
              </w:rPr>
              <w:t>天</w:t>
            </w:r>
            <w:r>
              <w:rPr>
                <w:color w:val="000000"/>
                <w:sz w:val="24"/>
              </w:rPr>
              <w:t>。</w:t>
            </w:r>
            <w:r>
              <w:rPr>
                <w:rFonts w:hint="default"/>
                <w:spacing w:val="4"/>
                <w:sz w:val="24"/>
                <w:lang w:val="en-US" w:eastAsia="zh-CN"/>
              </w:rPr>
              <w:t>矿山</w:t>
            </w:r>
            <w:r>
              <w:rPr>
                <w:rFonts w:hint="eastAsia"/>
                <w:spacing w:val="4"/>
                <w:sz w:val="24"/>
                <w:lang w:val="en-US" w:eastAsia="zh-CN"/>
              </w:rPr>
              <w:t>开采</w:t>
            </w:r>
            <w:r>
              <w:rPr>
                <w:rFonts w:hint="default"/>
                <w:spacing w:val="4"/>
                <w:sz w:val="24"/>
                <w:lang w:val="en-US" w:eastAsia="zh-CN"/>
              </w:rPr>
              <w:t>年限为</w:t>
            </w:r>
            <w:r>
              <w:rPr>
                <w:rFonts w:hint="eastAsia"/>
                <w:spacing w:val="4"/>
                <w:sz w:val="24"/>
                <w:lang w:val="en-US" w:eastAsia="zh-CN"/>
              </w:rPr>
              <w:t>6</w:t>
            </w:r>
            <w:r>
              <w:rPr>
                <w:rFonts w:hint="default"/>
                <w:spacing w:val="4"/>
                <w:sz w:val="24"/>
                <w:lang w:val="en-US" w:eastAsia="zh-CN"/>
              </w:rPr>
              <w:t>年</w:t>
            </w:r>
            <w:r>
              <w:rPr>
                <w:rFonts w:hint="eastAsia"/>
                <w:spacing w:val="4"/>
                <w:sz w:val="24"/>
                <w:lang w:val="en-US" w:eastAsia="zh-CN"/>
              </w:rPr>
              <w:t>。</w:t>
            </w:r>
          </w:p>
        </w:tc>
      </w:tr>
      <w:tr w14:paraId="5643C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noWrap w:val="0"/>
            <w:vAlign w:val="center"/>
          </w:tcPr>
          <w:p w14:paraId="69BA28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Cs w:val="21"/>
              </w:rPr>
            </w:pPr>
            <w:r>
              <w:rPr>
                <w:rFonts w:hint="eastAsia" w:ascii="宋体" w:hAnsi="宋体" w:cs="宋体"/>
                <w:kern w:val="0"/>
                <w:szCs w:val="21"/>
              </w:rPr>
              <w:t>其他</w:t>
            </w:r>
          </w:p>
        </w:tc>
        <w:tc>
          <w:tcPr>
            <w:tcW w:w="8357" w:type="dxa"/>
            <w:noWrap w:val="0"/>
            <w:vAlign w:val="center"/>
          </w:tcPr>
          <w:p w14:paraId="5FEF524E">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b/>
                <w:bCs/>
                <w:color w:val="000000"/>
                <w:sz w:val="24"/>
                <w:lang w:val="en-US" w:eastAsia="zh-CN"/>
              </w:rPr>
            </w:pPr>
            <w:r>
              <w:rPr>
                <w:rFonts w:hint="eastAsia" w:ascii="Times New Roman" w:hAnsi="Times New Roman" w:eastAsia="宋体" w:cs="Times New Roman"/>
                <w:color w:val="000000"/>
                <w:kern w:val="2"/>
                <w:sz w:val="24"/>
                <w:szCs w:val="24"/>
                <w:lang w:val="en-US" w:eastAsia="zh-CN" w:bidi="ar-SA"/>
              </w:rPr>
              <w:t>无</w:t>
            </w:r>
          </w:p>
        </w:tc>
      </w:tr>
    </w:tbl>
    <w:p w14:paraId="14BEC7FD">
      <w:pPr>
        <w:pStyle w:val="2"/>
        <w:keepNext/>
        <w:keepLines w:val="0"/>
        <w:pageBreakBefore w:val="0"/>
        <w:widowControl w:val="0"/>
        <w:kinsoku/>
        <w:wordWrap/>
        <w:overflowPunct w:val="0"/>
        <w:topLinePunct w:val="0"/>
        <w:autoSpaceDE/>
        <w:autoSpaceDN/>
        <w:bidi w:val="0"/>
        <w:adjustRightInd/>
        <w:snapToGrid w:val="0"/>
        <w:spacing w:line="260" w:lineRule="auto"/>
        <w:ind w:left="431" w:firstLine="0" w:firstLineChars="0"/>
        <w:textAlignment w:val="auto"/>
        <w:rPr>
          <w:rFonts w:hint="eastAsia" w:ascii="Times New Roman" w:hAnsi="Times New Roman" w:eastAsia="黑体" w:cs="Times New Roman"/>
          <w:b/>
          <w:bCs/>
          <w:color w:val="000000"/>
          <w:kern w:val="44"/>
          <w:sz w:val="30"/>
          <w:szCs w:val="30"/>
          <w:lang w:val="en-US" w:eastAsia="zh-CN" w:bidi="ar-SA"/>
        </w:rPr>
      </w:pPr>
      <w:r>
        <w:rPr>
          <w:rFonts w:eastAsia="仿宋_GB2312"/>
          <w:b w:val="0"/>
          <w:bCs w:val="0"/>
        </w:rPr>
        <w:br w:type="page"/>
      </w:r>
      <w:r>
        <w:rPr>
          <w:rFonts w:hint="eastAsia" w:ascii="Times New Roman" w:hAnsi="Times New Roman" w:eastAsia="黑体" w:cs="Times New Roman"/>
          <w:b/>
          <w:bCs/>
          <w:color w:val="000000"/>
          <w:kern w:val="44"/>
          <w:sz w:val="30"/>
          <w:szCs w:val="30"/>
          <w:lang w:val="en-US" w:eastAsia="zh-CN" w:bidi="ar-SA"/>
        </w:rPr>
        <w:t>三、生态环境现状、保护目标及</w:t>
      </w:r>
      <w:r>
        <w:rPr>
          <w:rFonts w:hint="eastAsia" w:ascii="Times New Roman" w:hAnsi="Times New Roman" w:cs="Times New Roman"/>
          <w:b/>
          <w:bCs/>
          <w:lang w:val="en-US" w:eastAsia="zh-CN"/>
        </w:rPr>
        <w:t>评价</w:t>
      </w:r>
      <w:r>
        <w:rPr>
          <w:rFonts w:hint="eastAsia" w:ascii="Times New Roman" w:hAnsi="Times New Roman" w:eastAsia="黑体" w:cs="Times New Roman"/>
          <w:b/>
          <w:bCs/>
          <w:color w:val="000000"/>
          <w:kern w:val="44"/>
          <w:sz w:val="30"/>
          <w:szCs w:val="30"/>
          <w:lang w:val="en-US" w:eastAsia="zh-CN" w:bidi="ar-SA"/>
        </w:rPr>
        <w:t>标准</w:t>
      </w:r>
    </w:p>
    <w:tbl>
      <w:tblPr>
        <w:tblStyle w:val="23"/>
        <w:tblW w:w="96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8"/>
        <w:gridCol w:w="9180"/>
      </w:tblGrid>
      <w:tr w14:paraId="26979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noWrap w:val="0"/>
            <w:vAlign w:val="center"/>
          </w:tcPr>
          <w:p w14:paraId="40B14B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生态环境现状</w:t>
            </w:r>
          </w:p>
        </w:tc>
        <w:tc>
          <w:tcPr>
            <w:tcW w:w="9180" w:type="dxa"/>
            <w:noWrap w:val="0"/>
            <w:vAlign w:val="center"/>
          </w:tcPr>
          <w:p w14:paraId="31999A74">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1、生态环境质量现状</w:t>
            </w:r>
          </w:p>
          <w:p w14:paraId="645B6A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highlight w:val="yellow"/>
                <w:lang w:val="en-US" w:eastAsia="zh-CN"/>
              </w:rPr>
            </w:pPr>
            <w:r>
              <w:rPr>
                <w:rFonts w:hint="default" w:ascii="Times New Roman" w:hAnsi="Times New Roman" w:eastAsia="宋体" w:cs="Times New Roman"/>
                <w:bCs/>
                <w:sz w:val="24"/>
                <w:lang w:val="en-US" w:eastAsia="zh-CN"/>
              </w:rPr>
              <w:t>矿区远离居民点，矿区周围无农田、耕地，地表植被主要为草地，现状自然环境、生态</w:t>
            </w:r>
            <w:r>
              <w:rPr>
                <w:rFonts w:hint="default" w:ascii="Times New Roman" w:hAnsi="Times New Roman" w:eastAsia="宋体" w:cs="Times New Roman"/>
                <w:bCs/>
                <w:color w:val="auto"/>
                <w:sz w:val="24"/>
                <w:lang w:val="en-US" w:eastAsia="zh-CN"/>
              </w:rPr>
              <w:t>环境良好。</w:t>
            </w:r>
            <w:r>
              <w:rPr>
                <w:rFonts w:hint="default" w:ascii="Times New Roman" w:hAnsi="Times New Roman" w:eastAsia="宋体" w:cs="Times New Roman"/>
                <w:bCs/>
                <w:sz w:val="24"/>
                <w:lang w:val="en-US" w:eastAsia="zh-CN"/>
              </w:rPr>
              <w:t>根据现场踏勘及查阅资料得知，项目区范围内的植被均是当地常见类型，未发现国家和省级重点保护的珍稀和濒危动植物。区域生态环境现状良好。</w:t>
            </w:r>
          </w:p>
          <w:p w14:paraId="77E10189">
            <w:pPr>
              <w:spacing w:line="360" w:lineRule="auto"/>
              <w:ind w:firstLine="482" w:firstLineChars="200"/>
              <w:rPr>
                <w:rFonts w:hint="default" w:ascii="Times New Roman" w:hAnsi="Times New Roman" w:eastAsia="宋体" w:cs="Times New Roman"/>
                <w:b/>
                <w:bCs/>
                <w:color w:val="FF0000"/>
                <w:sz w:val="24"/>
                <w:lang w:val="en-US" w:eastAsia="zh-CN"/>
              </w:rPr>
            </w:pPr>
            <w:r>
              <w:rPr>
                <w:rFonts w:hint="eastAsia" w:ascii="Times New Roman" w:hAnsi="Times New Roman" w:cs="Times New Roman"/>
                <w:b/>
                <w:bCs/>
                <w:color w:val="FF0000"/>
                <w:sz w:val="24"/>
                <w:lang w:val="en-US" w:eastAsia="zh-CN"/>
              </w:rPr>
              <w:t>1.1矿区生态环境质量现状</w:t>
            </w:r>
          </w:p>
          <w:p w14:paraId="0084E199">
            <w:pPr>
              <w:spacing w:line="360" w:lineRule="auto"/>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（1）植物</w:t>
            </w:r>
          </w:p>
          <w:p w14:paraId="2E82F59F">
            <w:pPr>
              <w:spacing w:line="360" w:lineRule="auto"/>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同德县在青海省植被区划中属青南高原高寒灌丛草甸区</w:t>
            </w:r>
            <w:r>
              <w:rPr>
                <w:rFonts w:hint="eastAsia" w:cs="Times New Roman"/>
                <w:color w:val="FF0000"/>
                <w:sz w:val="24"/>
                <w:lang w:val="en-US" w:eastAsia="zh-CN"/>
              </w:rPr>
              <w:t>，依据本项目所在地的植被覆盖主要为草甸（详见附图13），</w:t>
            </w:r>
            <w:r>
              <w:rPr>
                <w:rFonts w:hint="eastAsia" w:ascii="Times New Roman" w:hAnsi="Times New Roman" w:eastAsia="宋体" w:cs="Times New Roman"/>
                <w:color w:val="FF0000"/>
                <w:sz w:val="24"/>
                <w:lang w:val="en-US" w:eastAsia="zh-CN"/>
              </w:rPr>
              <w:t>矿区内植被类型主要以紫花针茅高山苔草草原为主，现场调查时主要为草类植被主要为高山嵩草及针茅草，灌木植被主要为金露梅，矿区整体植被覆盖率约</w:t>
            </w:r>
            <w:r>
              <w:rPr>
                <w:rFonts w:hint="default" w:ascii="Times New Roman" w:hAnsi="Times New Roman" w:eastAsia="宋体" w:cs="Times New Roman"/>
                <w:color w:val="FF0000"/>
                <w:sz w:val="24"/>
                <w:lang w:val="en-US" w:eastAsia="zh-CN"/>
              </w:rPr>
              <w:t>55%</w:t>
            </w:r>
            <w:r>
              <w:rPr>
                <w:rFonts w:hint="eastAsia" w:ascii="Times New Roman" w:hAnsi="Times New Roman" w:eastAsia="宋体" w:cs="Times New Roman"/>
                <w:color w:val="FF0000"/>
                <w:sz w:val="24"/>
                <w:lang w:val="en-US" w:eastAsia="zh-CN"/>
              </w:rPr>
              <w:t>，植被覆盖度较高。</w:t>
            </w:r>
            <w:r>
              <w:rPr>
                <w:rFonts w:hint="default" w:ascii="Times New Roman" w:hAnsi="Times New Roman" w:eastAsia="宋体" w:cs="Times New Roman"/>
                <w:color w:val="FF0000"/>
                <w:sz w:val="24"/>
                <w:lang w:val="en-US" w:eastAsia="zh-CN"/>
              </w:rPr>
              <w:t>紫花针茅群落结构简单，大致可分为两层。种类组成比较贫乏，草层生长稀疏，由于紫花针茅群落分布面积辽阔，各地生态条件有别，其结构、种类组成有显著的差异</w:t>
            </w:r>
            <w:r>
              <w:rPr>
                <w:rFonts w:hint="eastAsia" w:cs="Times New Roman"/>
                <w:color w:val="FF0000"/>
                <w:sz w:val="24"/>
                <w:lang w:val="en-US" w:eastAsia="zh-CN"/>
              </w:rPr>
              <w:t>。</w:t>
            </w:r>
          </w:p>
          <w:p w14:paraId="61DA0B2F">
            <w:pPr>
              <w:spacing w:line="360" w:lineRule="auto"/>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（2）动物</w:t>
            </w:r>
          </w:p>
          <w:p w14:paraId="697F9007">
            <w:pPr>
              <w:spacing w:line="360" w:lineRule="auto"/>
              <w:ind w:firstLine="480" w:firstLineChars="200"/>
              <w:rPr>
                <w:rFonts w:hint="eastAsia" w:ascii="Times New Roman" w:hAnsi="Times New Roman" w:eastAsia="宋体" w:cs="Times New Roman"/>
                <w:color w:val="FF0000"/>
                <w:sz w:val="24"/>
                <w:lang w:val="en-US" w:eastAsia="zh-CN"/>
              </w:rPr>
            </w:pPr>
            <w:r>
              <w:rPr>
                <w:rFonts w:hint="default" w:ascii="Times New Roman" w:hAnsi="Times New Roman" w:cs="Times New Roman"/>
                <w:color w:val="FF0000"/>
                <w:sz w:val="24"/>
              </w:rPr>
              <w:t>由于本</w:t>
            </w:r>
            <w:r>
              <w:rPr>
                <w:rFonts w:hint="default" w:ascii="Times New Roman" w:hAnsi="Times New Roman" w:cs="Times New Roman"/>
                <w:color w:val="FF0000"/>
                <w:sz w:val="24"/>
                <w:lang w:val="en-US" w:eastAsia="zh-CN"/>
              </w:rPr>
              <w:t>矿山</w:t>
            </w:r>
            <w:r>
              <w:rPr>
                <w:rFonts w:hint="default" w:ascii="Times New Roman" w:hAnsi="Times New Roman" w:cs="Times New Roman"/>
                <w:color w:val="FF0000"/>
                <w:sz w:val="24"/>
              </w:rPr>
              <w:t>以草本植被为主，且植被层相对低矮，无高大乔木林和灌木林分布，</w:t>
            </w:r>
            <w:r>
              <w:rPr>
                <w:rFonts w:hint="default" w:ascii="Times New Roman" w:hAnsi="Times New Roman" w:eastAsia="宋体" w:cs="Times New Roman"/>
                <w:bCs/>
                <w:color w:val="FF0000"/>
                <w:sz w:val="24"/>
                <w:lang w:val="en-US" w:eastAsia="zh-CN"/>
              </w:rPr>
              <w:t>灌木植被主要为金露梅</w:t>
            </w:r>
            <w:r>
              <w:rPr>
                <w:rFonts w:hint="default" w:ascii="Times New Roman" w:hAnsi="Times New Roman" w:cs="Times New Roman"/>
                <w:color w:val="FF0000"/>
                <w:sz w:val="24"/>
              </w:rPr>
              <w:t>，</w:t>
            </w:r>
            <w:r>
              <w:rPr>
                <w:rFonts w:hint="eastAsia" w:cs="Times New Roman"/>
                <w:color w:val="FF0000"/>
                <w:sz w:val="24"/>
                <w:lang w:val="en-US" w:eastAsia="zh-CN"/>
              </w:rPr>
              <w:t>灌木丛内可能</w:t>
            </w:r>
            <w:r>
              <w:rPr>
                <w:rFonts w:hint="default" w:ascii="Times New Roman" w:hAnsi="Times New Roman" w:cs="Times New Roman"/>
                <w:color w:val="FF0000"/>
                <w:sz w:val="24"/>
              </w:rPr>
              <w:t>有</w:t>
            </w:r>
            <w:r>
              <w:rPr>
                <w:rFonts w:hint="eastAsia" w:cs="Times New Roman"/>
                <w:color w:val="FF0000"/>
                <w:sz w:val="24"/>
                <w:lang w:val="en-US" w:eastAsia="zh-CN"/>
              </w:rPr>
              <w:t>狼等大型动物出没，草地仅有</w:t>
            </w:r>
            <w:r>
              <w:rPr>
                <w:rFonts w:hint="default" w:ascii="Times New Roman" w:hAnsi="Times New Roman" w:cs="Times New Roman"/>
                <w:color w:val="FF0000"/>
                <w:sz w:val="24"/>
              </w:rPr>
              <w:t>山雀、野兔、高原鼠等小型动物偶尔出现等</w:t>
            </w:r>
            <w:r>
              <w:rPr>
                <w:rFonts w:hint="eastAsia" w:cs="Times New Roman"/>
                <w:color w:val="FF0000"/>
                <w:sz w:val="24"/>
                <w:lang w:eastAsia="zh-CN"/>
              </w:rPr>
              <w:t>。</w:t>
            </w:r>
          </w:p>
          <w:p w14:paraId="69C765B6">
            <w:pPr>
              <w:spacing w:line="360" w:lineRule="auto"/>
              <w:ind w:firstLine="480" w:firstLineChars="200"/>
              <w:rPr>
                <w:rFonts w:hint="eastAsia" w:ascii="Times New Roman" w:hAnsi="Times New Roman" w:eastAsia="宋体" w:cs="Times New Roman"/>
                <w:color w:val="FF0000"/>
                <w:sz w:val="24"/>
                <w:lang w:val="en-US" w:eastAsia="zh-CN"/>
              </w:rPr>
            </w:pPr>
            <w:r>
              <w:rPr>
                <w:rFonts w:hint="eastAsia" w:cs="Times New Roman"/>
                <w:color w:val="FF0000"/>
                <w:sz w:val="24"/>
                <w:lang w:val="en-US" w:eastAsia="zh-CN"/>
              </w:rPr>
              <w:t>（3）</w:t>
            </w:r>
            <w:r>
              <w:rPr>
                <w:rFonts w:hint="eastAsia" w:ascii="Times New Roman" w:hAnsi="Times New Roman" w:eastAsia="宋体" w:cs="Times New Roman"/>
                <w:color w:val="FF0000"/>
                <w:sz w:val="24"/>
                <w:lang w:val="en-US" w:eastAsia="zh-CN"/>
              </w:rPr>
              <w:t>土壤</w:t>
            </w:r>
          </w:p>
          <w:p w14:paraId="2866D224">
            <w:pPr>
              <w:spacing w:line="360" w:lineRule="auto"/>
              <w:ind w:firstLine="480" w:firstLineChars="200"/>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依据《青海省土壤图》，矿区土壤类型为高山草甸土</w:t>
            </w:r>
            <w:r>
              <w:rPr>
                <w:rFonts w:hint="eastAsia" w:cs="Times New Roman"/>
                <w:color w:val="FF0000"/>
                <w:sz w:val="24"/>
                <w:lang w:val="en-US" w:eastAsia="zh-CN"/>
              </w:rPr>
              <w:t>（详见附图11），</w:t>
            </w:r>
            <w:r>
              <w:rPr>
                <w:rFonts w:hint="default" w:ascii="Times New Roman" w:hAnsi="Times New Roman" w:eastAsia="宋体" w:cs="Times New Roman"/>
                <w:color w:val="FF0000"/>
                <w:sz w:val="24"/>
                <w:lang w:val="en-US" w:eastAsia="zh-CN"/>
              </w:rPr>
              <w:t>分布于矿区全区，土壤有机质含量丰富。高山草甸土是青海高寒地区分布最广的土壤类型</w:t>
            </w:r>
            <w:r>
              <w:rPr>
                <w:rFonts w:hint="eastAsia" w:ascii="Times New Roman" w:hAnsi="Times New Roman" w:eastAsia="宋体" w:cs="Times New Roman"/>
                <w:color w:val="FF0000"/>
                <w:sz w:val="24"/>
                <w:lang w:val="en-US" w:eastAsia="zh-CN"/>
              </w:rPr>
              <w:t>。</w:t>
            </w:r>
            <w:r>
              <w:rPr>
                <w:rFonts w:hint="eastAsia" w:cs="Times New Roman"/>
                <w:color w:val="FF0000"/>
                <w:sz w:val="24"/>
                <w:lang w:val="en-US" w:eastAsia="zh-CN"/>
              </w:rPr>
              <w:t>根据土地利用现状图（详见附图12），本项目区为低覆盖度草地。</w:t>
            </w:r>
          </w:p>
          <w:p w14:paraId="18461334">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FF0000"/>
                <w:sz w:val="24"/>
                <w:lang w:val="en-US" w:eastAsia="zh-CN"/>
              </w:rPr>
              <w:t>高山草甸土有明显的腐殖质积聚，腐殖质层厚8～20cm，呈灰棕至黑褐色粒状－扁核状结构。有机质含量10%～20%，土壤复合胶体属高有机质低复合度型，以松结合态腐殖质为主。腐殖质层向下颜色迅速变淡。</w:t>
            </w:r>
          </w:p>
          <w:p w14:paraId="1E774234">
            <w:pPr>
              <w:spacing w:line="360" w:lineRule="auto"/>
              <w:ind w:firstLine="480" w:firstLineChars="200"/>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矿区高山草甸土剖面形态为As—A1—AB—C型，有机物积累作用强，草皮层和腐殖质层发育良好，表层为5—9cm草根盘结层，根系交织似毡，软韧而具弹性，有机质含量约15%，腐殖质层厚30—50cm，母质层薄，下为基岩或基岩风化碎石，剖面弱石灰反应，pH值6.16-7.98。</w:t>
            </w:r>
          </w:p>
          <w:p w14:paraId="162483B9">
            <w:pPr>
              <w:spacing w:line="360" w:lineRule="auto"/>
              <w:ind w:firstLine="482" w:firstLineChars="200"/>
              <w:rPr>
                <w:rFonts w:hint="default" w:ascii="Times New Roman" w:hAnsi="Times New Roman" w:cs="Times New Roman"/>
                <w:b/>
                <w:bCs/>
                <w:color w:val="FF0000"/>
                <w:sz w:val="24"/>
                <w:lang w:val="en-US" w:eastAsia="zh-CN"/>
              </w:rPr>
            </w:pPr>
            <w:r>
              <w:rPr>
                <w:rFonts w:hint="eastAsia" w:ascii="Times New Roman" w:hAnsi="Times New Roman" w:cs="Times New Roman"/>
                <w:b/>
                <w:bCs/>
                <w:color w:val="FF0000"/>
                <w:sz w:val="24"/>
                <w:lang w:val="en-US" w:eastAsia="zh-CN"/>
              </w:rPr>
              <w:t>1.2办公生活区及加工区生态环境质量现状</w:t>
            </w:r>
          </w:p>
          <w:p w14:paraId="1A285919">
            <w:pPr>
              <w:spacing w:line="360" w:lineRule="auto"/>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（1）植物</w:t>
            </w:r>
          </w:p>
          <w:p w14:paraId="63ACDFAD">
            <w:pPr>
              <w:spacing w:line="360" w:lineRule="auto"/>
              <w:ind w:firstLine="480" w:firstLineChars="200"/>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同德县在青海省植被区划中属青南高原高寒灌丛草甸区，</w:t>
            </w:r>
            <w:r>
              <w:rPr>
                <w:rFonts w:hint="eastAsia" w:cs="Times New Roman"/>
                <w:color w:val="FF0000"/>
                <w:sz w:val="24"/>
                <w:lang w:val="en-US" w:eastAsia="zh-CN"/>
              </w:rPr>
              <w:t>加工区</w:t>
            </w:r>
            <w:r>
              <w:rPr>
                <w:rFonts w:hint="default" w:ascii="Times New Roman" w:hAnsi="Times New Roman" w:eastAsia="宋体" w:cs="Times New Roman"/>
                <w:color w:val="FF0000"/>
                <w:sz w:val="24"/>
                <w:lang w:val="en-US" w:eastAsia="zh-CN"/>
              </w:rPr>
              <w:t>内植被类型主要以高山苔草草原为主，根据现状调查，植被覆盖率约65%，植被覆盖度较高。</w:t>
            </w:r>
          </w:p>
          <w:p w14:paraId="158995BC">
            <w:pPr>
              <w:spacing w:line="360" w:lineRule="auto"/>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（2）动物</w:t>
            </w:r>
          </w:p>
          <w:p w14:paraId="2FC3C257">
            <w:pPr>
              <w:spacing w:line="360" w:lineRule="auto"/>
              <w:ind w:firstLine="480" w:firstLineChars="200"/>
              <w:rPr>
                <w:rFonts w:hint="eastAsia" w:ascii="Times New Roman" w:hAnsi="Times New Roman" w:eastAsia="宋体" w:cs="Times New Roman"/>
                <w:color w:val="FF0000"/>
                <w:sz w:val="24"/>
                <w:lang w:val="en-US" w:eastAsia="zh-CN"/>
              </w:rPr>
            </w:pPr>
            <w:r>
              <w:rPr>
                <w:rFonts w:hint="default" w:ascii="Times New Roman" w:hAnsi="Times New Roman" w:cs="Times New Roman"/>
                <w:color w:val="FF0000"/>
                <w:sz w:val="24"/>
              </w:rPr>
              <w:t>由于</w:t>
            </w:r>
            <w:r>
              <w:rPr>
                <w:rFonts w:hint="eastAsia" w:cs="Times New Roman"/>
                <w:color w:val="FF0000"/>
                <w:sz w:val="24"/>
                <w:lang w:val="en-US" w:eastAsia="zh-CN"/>
              </w:rPr>
              <w:t>办公生活区和加工区</w:t>
            </w:r>
            <w:r>
              <w:rPr>
                <w:rFonts w:hint="default" w:ascii="Times New Roman" w:hAnsi="Times New Roman" w:cs="Times New Roman"/>
                <w:color w:val="FF0000"/>
                <w:sz w:val="24"/>
              </w:rPr>
              <w:t>以草本植被为主，且植被层相对低矮，无高大乔木林和灌木林分布，难以形成大型野生动物的栖息地，施工范围内仅有山雀、野兔、高原鼠等小型动物偶尔出现等</w:t>
            </w:r>
            <w:r>
              <w:rPr>
                <w:rFonts w:hint="eastAsia" w:cs="Times New Roman"/>
                <w:color w:val="FF0000"/>
                <w:sz w:val="24"/>
                <w:lang w:eastAsia="zh-CN"/>
              </w:rPr>
              <w:t>。</w:t>
            </w:r>
          </w:p>
          <w:p w14:paraId="732267B5">
            <w:pPr>
              <w:spacing w:line="360" w:lineRule="auto"/>
              <w:ind w:firstLine="480" w:firstLineChars="200"/>
              <w:rPr>
                <w:rFonts w:hint="eastAsia" w:ascii="Times New Roman" w:hAnsi="Times New Roman" w:eastAsia="宋体" w:cs="Times New Roman"/>
                <w:color w:val="FF0000"/>
                <w:sz w:val="24"/>
                <w:lang w:val="en-US" w:eastAsia="zh-CN"/>
              </w:rPr>
            </w:pPr>
            <w:r>
              <w:rPr>
                <w:rFonts w:hint="eastAsia" w:cs="Times New Roman"/>
                <w:color w:val="FF0000"/>
                <w:sz w:val="24"/>
                <w:lang w:val="en-US" w:eastAsia="zh-CN"/>
              </w:rPr>
              <w:t>（3）</w:t>
            </w:r>
            <w:r>
              <w:rPr>
                <w:rFonts w:hint="eastAsia" w:ascii="Times New Roman" w:hAnsi="Times New Roman" w:eastAsia="宋体" w:cs="Times New Roman"/>
                <w:color w:val="FF0000"/>
                <w:sz w:val="24"/>
                <w:lang w:val="en-US" w:eastAsia="zh-CN"/>
              </w:rPr>
              <w:t>土壤</w:t>
            </w:r>
          </w:p>
          <w:p w14:paraId="17EED53C">
            <w:pPr>
              <w:spacing w:line="360" w:lineRule="auto"/>
              <w:ind w:firstLine="480" w:firstLineChars="200"/>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bCs/>
                <w:color w:val="FF0000"/>
                <w:sz w:val="24"/>
                <w:lang w:val="en-US" w:eastAsia="zh-CN"/>
              </w:rPr>
              <w:t>项目区域土地类型为天然牧草地</w:t>
            </w:r>
            <w:r>
              <w:rPr>
                <w:rFonts w:hint="eastAsia" w:cs="Times New Roman"/>
                <w:bCs/>
                <w:color w:val="FF0000"/>
                <w:sz w:val="24"/>
                <w:lang w:val="en-US" w:eastAsia="zh-CN"/>
              </w:rPr>
              <w:t>，</w:t>
            </w:r>
            <w:r>
              <w:rPr>
                <w:rFonts w:hint="default" w:ascii="Times New Roman" w:hAnsi="Times New Roman" w:eastAsia="宋体" w:cs="Times New Roman"/>
                <w:color w:val="FF0000"/>
                <w:sz w:val="24"/>
                <w:lang w:val="en-US" w:eastAsia="zh-CN"/>
              </w:rPr>
              <w:t>依据《青海省土壤图》，</w:t>
            </w:r>
            <w:r>
              <w:rPr>
                <w:rFonts w:hint="eastAsia" w:cs="Times New Roman"/>
                <w:color w:val="FF0000"/>
                <w:sz w:val="24"/>
                <w:lang w:val="en-US" w:eastAsia="zh-CN"/>
              </w:rPr>
              <w:t>办公生活区和加工区的</w:t>
            </w:r>
            <w:r>
              <w:rPr>
                <w:rFonts w:hint="default" w:ascii="Times New Roman" w:hAnsi="Times New Roman" w:eastAsia="宋体" w:cs="Times New Roman"/>
                <w:color w:val="FF0000"/>
                <w:sz w:val="24"/>
                <w:lang w:val="en-US" w:eastAsia="zh-CN"/>
              </w:rPr>
              <w:t>土壤类型为高山草甸土，分布于全区，土壤有机质含量丰富。高山草甸土是青海高寒地区分布最广的土壤类型</w:t>
            </w:r>
            <w:r>
              <w:rPr>
                <w:rFonts w:hint="eastAsia" w:ascii="Times New Roman" w:hAnsi="Times New Roman" w:eastAsia="宋体" w:cs="Times New Roman"/>
                <w:color w:val="FF0000"/>
                <w:sz w:val="24"/>
                <w:lang w:val="en-US" w:eastAsia="zh-CN"/>
              </w:rPr>
              <w:t>。</w:t>
            </w:r>
          </w:p>
          <w:p w14:paraId="0600F96D">
            <w:pPr>
              <w:spacing w:line="360" w:lineRule="auto"/>
              <w:ind w:firstLine="480" w:firstLineChars="200"/>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高山草甸土有明显的腐殖质积聚，腐殖质层厚8～20cm，呈灰棕至黑褐色粒状－扁核状结构。有机质含量10%～20%，土壤复合胶体属高有机质低复合度型，以松结合态腐殖质为主。腐殖质层向下颜色迅速变淡。</w:t>
            </w:r>
          </w:p>
          <w:p w14:paraId="1FF727C5">
            <w:pPr>
              <w:spacing w:line="360" w:lineRule="auto"/>
              <w:ind w:firstLine="480" w:firstLineChars="200"/>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项目区</w:t>
            </w:r>
            <w:r>
              <w:rPr>
                <w:rFonts w:hint="default" w:ascii="Times New Roman" w:hAnsi="Times New Roman" w:eastAsia="宋体" w:cs="Times New Roman"/>
                <w:color w:val="FF0000"/>
                <w:sz w:val="24"/>
                <w:lang w:val="en-US" w:eastAsia="zh-CN"/>
              </w:rPr>
              <w:t>高山草甸土剖面形态为As—A1—AB—C型，有机物积累作用强，草皮层和腐殖质层发育良好，表层为5—9cm草根盘结层，根系交织似毡，软韧而具弹性，有机质含量约15%，腐殖质层厚30—50cm，母质层薄，下为基岩或基岩风化碎石，剖面弱石灰反应，pH值6.16-7.98。</w:t>
            </w:r>
          </w:p>
          <w:p w14:paraId="7377DD00">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2、环境空气质量现状</w:t>
            </w:r>
          </w:p>
          <w:p w14:paraId="7487C640">
            <w:pPr>
              <w:pStyle w:val="68"/>
              <w:bidi w:val="0"/>
              <w:rPr>
                <w:rFonts w:hint="default" w:ascii="Times New Roman" w:hAnsi="Times New Roman" w:cs="Times New Roman"/>
                <w:highlight w:val="none"/>
              </w:rPr>
            </w:pPr>
            <w:r>
              <w:rPr>
                <w:rFonts w:hint="default" w:ascii="Times New Roman" w:hAnsi="Times New Roman" w:cs="Times New Roman"/>
                <w:highlight w:val="none"/>
              </w:rPr>
              <w:t>根据《环境影响评价技术导则 大气环境》（HJ2.2-2018）中6.2.1.1要求</w:t>
            </w:r>
            <w:r>
              <w:rPr>
                <w:rFonts w:hint="default" w:ascii="Times New Roman" w:hAnsi="Times New Roman" w:eastAsia="宋体" w:cs="Times New Roman"/>
                <w:highlight w:val="none"/>
              </w:rPr>
              <w:t>“项目所在区域达标判定，优先采用国家或地方生态环境主管部门公开发布的评价基准年环境质量公告或环境质量报告中的数据或结论”</w:t>
            </w:r>
            <w:r>
              <w:rPr>
                <w:rFonts w:hint="default" w:ascii="Times New Roman" w:hAnsi="Times New Roman" w:cs="Times New Roman"/>
                <w:highlight w:val="none"/>
              </w:rPr>
              <w:t>以及6.2.1.3规定</w:t>
            </w:r>
            <w:r>
              <w:rPr>
                <w:rFonts w:hint="default" w:ascii="Times New Roman" w:hAnsi="Times New Roman" w:eastAsia="宋体" w:cs="Times New Roman"/>
                <w:highlight w:val="none"/>
              </w:rPr>
              <w:t>“评价范围内没有环境空气质量监测网数据或公开发布的环境空气质量现状数据的，可选择符合HJ 664规定，并且与评价范围地理位置邻近，地形、气候条件相近的环境空气质量城市点或区域点监测数据”</w:t>
            </w:r>
            <w:r>
              <w:rPr>
                <w:rFonts w:hint="default" w:ascii="Times New Roman" w:hAnsi="Times New Roman" w:cs="Times New Roman"/>
                <w:highlight w:val="none"/>
              </w:rPr>
              <w:t>。</w:t>
            </w:r>
          </w:p>
          <w:p w14:paraId="54A2C748">
            <w:pPr>
              <w:pStyle w:val="68"/>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评价方法参照《环境空气质量评价技术规范（试行）》（HJ663-2013）。本项目位于</w:t>
            </w:r>
            <w:r>
              <w:rPr>
                <w:rFonts w:hint="default" w:ascii="Times New Roman" w:hAnsi="Times New Roman" w:cs="Times New Roman"/>
                <w:color w:val="FF0000"/>
                <w:highlight w:val="none"/>
                <w:lang w:val="en-US" w:eastAsia="zh-CN"/>
              </w:rPr>
              <w:t>海南藏族自治州同德县河北乡</w:t>
            </w:r>
            <w:r>
              <w:rPr>
                <w:rFonts w:hint="default" w:ascii="Times New Roman" w:hAnsi="Times New Roman" w:cs="Times New Roman"/>
                <w:color w:val="FF0000"/>
                <w:highlight w:val="none"/>
              </w:rPr>
              <w:t>。根据生态环境部环境工程评估中心环境空气质量模型技术支持服务系统对本项目所在地202</w:t>
            </w:r>
            <w:r>
              <w:rPr>
                <w:rFonts w:hint="default" w:ascii="Times New Roman" w:hAnsi="Times New Roman" w:cs="Times New Roman"/>
                <w:color w:val="FF0000"/>
                <w:highlight w:val="none"/>
                <w:lang w:val="en-US" w:eastAsia="zh-CN"/>
              </w:rPr>
              <w:t>3</w:t>
            </w:r>
            <w:r>
              <w:rPr>
                <w:rFonts w:hint="default" w:ascii="Times New Roman" w:hAnsi="Times New Roman" w:cs="Times New Roman"/>
                <w:color w:val="FF0000"/>
                <w:highlight w:val="none"/>
              </w:rPr>
              <w:t>年度环境空气质量数据的筛选分析结果，该区域为达标区。区域空气质量现状评价详见表</w:t>
            </w:r>
            <w:r>
              <w:rPr>
                <w:rFonts w:hint="eastAsia" w:ascii="Times New Roman" w:hAnsi="Times New Roman" w:cs="Times New Roman"/>
                <w:color w:val="FF0000"/>
                <w:highlight w:val="none"/>
                <w:lang w:val="en-US" w:eastAsia="zh-CN"/>
              </w:rPr>
              <w:t>3</w:t>
            </w:r>
            <w:r>
              <w:rPr>
                <w:rFonts w:hint="default" w:ascii="Times New Roman" w:hAnsi="Times New Roman" w:cs="Times New Roman"/>
                <w:color w:val="FF0000"/>
                <w:highlight w:val="none"/>
              </w:rPr>
              <w:noBreakHyphen/>
            </w:r>
            <w:r>
              <w:rPr>
                <w:rFonts w:hint="default" w:ascii="Times New Roman" w:hAnsi="Times New Roman" w:cs="Times New Roman"/>
                <w:color w:val="FF0000"/>
                <w:highlight w:val="none"/>
              </w:rPr>
              <w:t>1。</w:t>
            </w:r>
          </w:p>
          <w:p w14:paraId="27949929">
            <w:pPr>
              <w:widowControl w:val="0"/>
              <w:wordWrap/>
              <w:adjustRightInd w:val="0"/>
              <w:snapToGrid w:val="0"/>
              <w:spacing w:line="240" w:lineRule="auto"/>
              <w:ind w:firstLine="0" w:firstLineChars="0"/>
              <w:jc w:val="center"/>
              <w:textAlignment w:val="auto"/>
              <w:outlineLvl w:val="4"/>
              <w:rPr>
                <w:rFonts w:hint="default" w:ascii="Times New Roman" w:hAnsi="Times New Roman" w:eastAsia="宋体" w:cs="Times New Roman"/>
                <w:b/>
                <w:color w:val="auto"/>
                <w:highlight w:val="none"/>
                <w:lang w:val="en-US" w:eastAsia="zh-CN"/>
              </w:rPr>
            </w:pPr>
          </w:p>
          <w:p w14:paraId="0DDC1BE4">
            <w:pPr>
              <w:widowControl w:val="0"/>
              <w:wordWrap/>
              <w:adjustRightInd w:val="0"/>
              <w:snapToGrid w:val="0"/>
              <w:spacing w:line="240" w:lineRule="auto"/>
              <w:ind w:firstLine="0" w:firstLineChars="0"/>
              <w:jc w:val="center"/>
              <w:textAlignment w:val="auto"/>
              <w:outlineLvl w:val="4"/>
              <w:rPr>
                <w:rFonts w:hint="default" w:ascii="Times New Roman" w:hAnsi="Times New Roman" w:eastAsia="宋体" w:cs="Times New Roman"/>
                <w:b/>
                <w:color w:val="auto"/>
                <w:highlight w:val="none"/>
                <w:lang w:val="en-US" w:eastAsia="zh-CN"/>
              </w:rPr>
            </w:pPr>
          </w:p>
          <w:p w14:paraId="0DACD9A2">
            <w:pPr>
              <w:widowControl w:val="0"/>
              <w:wordWrap/>
              <w:adjustRightInd w:val="0"/>
              <w:snapToGrid w:val="0"/>
              <w:spacing w:line="240" w:lineRule="auto"/>
              <w:ind w:firstLine="0" w:firstLineChars="0"/>
              <w:jc w:val="center"/>
              <w:textAlignment w:val="auto"/>
              <w:outlineLvl w:val="4"/>
              <w:rPr>
                <w:rFonts w:hint="default" w:ascii="Times New Roman" w:hAnsi="Times New Roman" w:eastAsia="宋体" w:cs="Times New Roman"/>
                <w:b/>
                <w:color w:val="FF0000"/>
                <w:highlight w:val="none"/>
                <w:lang w:val="en-US" w:eastAsia="zh-CN"/>
              </w:rPr>
            </w:pPr>
            <w:r>
              <w:rPr>
                <w:rFonts w:hint="default" w:ascii="Times New Roman" w:hAnsi="Times New Roman" w:eastAsia="宋体" w:cs="Times New Roman"/>
                <w:b/>
                <w:color w:val="FF0000"/>
                <w:highlight w:val="none"/>
                <w:lang w:val="en-US" w:eastAsia="zh-CN"/>
              </w:rPr>
              <w:t>表</w:t>
            </w:r>
            <w:r>
              <w:rPr>
                <w:rFonts w:hint="eastAsia" w:ascii="Times New Roman" w:hAnsi="Times New Roman" w:cs="Times New Roman"/>
                <w:b/>
                <w:color w:val="FF0000"/>
                <w:highlight w:val="none"/>
                <w:lang w:val="en-US" w:eastAsia="zh-CN"/>
              </w:rPr>
              <w:t>3</w:t>
            </w:r>
            <w:r>
              <w:rPr>
                <w:rFonts w:hint="default" w:ascii="Times New Roman" w:hAnsi="Times New Roman" w:eastAsia="宋体" w:cs="Times New Roman"/>
                <w:b/>
                <w:color w:val="FF0000"/>
                <w:highlight w:val="none"/>
                <w:lang w:val="en-US" w:eastAsia="zh-CN"/>
              </w:rPr>
              <w:t>-1  基本污染物环境质量现状数据</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28"/>
              <w:gridCol w:w="2062"/>
              <w:gridCol w:w="1130"/>
              <w:gridCol w:w="1271"/>
              <w:gridCol w:w="1131"/>
              <w:gridCol w:w="1188"/>
              <w:gridCol w:w="1148"/>
            </w:tblGrid>
            <w:tr w14:paraId="5F92B6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574" w:type="pct"/>
                  <w:tcBorders>
                    <w:tl2br w:val="nil"/>
                    <w:tr2bl w:val="nil"/>
                  </w:tcBorders>
                  <w:noWrap w:val="0"/>
                  <w:vAlign w:val="center"/>
                </w:tcPr>
                <w:p w14:paraId="5488FB8B">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污染物</w:t>
                  </w:r>
                </w:p>
              </w:tc>
              <w:tc>
                <w:tcPr>
                  <w:tcW w:w="1150" w:type="pct"/>
                  <w:tcBorders>
                    <w:tl2br w:val="nil"/>
                    <w:tr2bl w:val="nil"/>
                  </w:tcBorders>
                  <w:noWrap w:val="0"/>
                  <w:vAlign w:val="center"/>
                </w:tcPr>
                <w:p w14:paraId="732EC1F5">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年评价指标</w:t>
                  </w:r>
                </w:p>
              </w:tc>
              <w:tc>
                <w:tcPr>
                  <w:tcW w:w="630" w:type="pct"/>
                  <w:tcBorders>
                    <w:tl2br w:val="nil"/>
                    <w:tr2bl w:val="nil"/>
                  </w:tcBorders>
                  <w:noWrap w:val="0"/>
                  <w:vAlign w:val="center"/>
                </w:tcPr>
                <w:p w14:paraId="023E881D">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现状浓度（µg/m</w:t>
                  </w:r>
                  <w:r>
                    <w:rPr>
                      <w:rFonts w:hint="default" w:ascii="Times New Roman" w:hAnsi="Times New Roman" w:cs="Times New Roman"/>
                      <w:b w:val="0"/>
                      <w:bCs/>
                      <w:color w:val="FF0000"/>
                      <w:sz w:val="21"/>
                      <w:szCs w:val="21"/>
                      <w:vertAlign w:val="superscript"/>
                    </w:rPr>
                    <w:t>3</w:t>
                  </w:r>
                  <w:r>
                    <w:rPr>
                      <w:rFonts w:hint="default" w:ascii="Times New Roman" w:hAnsi="Times New Roman" w:cs="Times New Roman"/>
                      <w:b w:val="0"/>
                      <w:bCs/>
                      <w:color w:val="FF0000"/>
                      <w:sz w:val="21"/>
                      <w:szCs w:val="21"/>
                    </w:rPr>
                    <w:t>）</w:t>
                  </w:r>
                </w:p>
              </w:tc>
              <w:tc>
                <w:tcPr>
                  <w:tcW w:w="709" w:type="pct"/>
                  <w:tcBorders>
                    <w:tl2br w:val="nil"/>
                    <w:tr2bl w:val="nil"/>
                  </w:tcBorders>
                  <w:noWrap w:val="0"/>
                  <w:vAlign w:val="center"/>
                </w:tcPr>
                <w:p w14:paraId="758A2D34">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标准值（µg/m</w:t>
                  </w:r>
                  <w:r>
                    <w:rPr>
                      <w:rFonts w:hint="default" w:ascii="Times New Roman" w:hAnsi="Times New Roman" w:cs="Times New Roman"/>
                      <w:b w:val="0"/>
                      <w:bCs/>
                      <w:color w:val="FF0000"/>
                      <w:sz w:val="21"/>
                      <w:szCs w:val="21"/>
                      <w:vertAlign w:val="superscript"/>
                    </w:rPr>
                    <w:t>3</w:t>
                  </w:r>
                  <w:r>
                    <w:rPr>
                      <w:rFonts w:hint="default" w:ascii="Times New Roman" w:hAnsi="Times New Roman" w:cs="Times New Roman"/>
                      <w:b w:val="0"/>
                      <w:bCs/>
                      <w:color w:val="FF0000"/>
                      <w:sz w:val="21"/>
                      <w:szCs w:val="21"/>
                    </w:rPr>
                    <w:t>）</w:t>
                  </w:r>
                </w:p>
              </w:tc>
              <w:tc>
                <w:tcPr>
                  <w:tcW w:w="630" w:type="pct"/>
                  <w:tcBorders>
                    <w:tl2br w:val="nil"/>
                    <w:tr2bl w:val="nil"/>
                  </w:tcBorders>
                  <w:noWrap w:val="0"/>
                  <w:vAlign w:val="center"/>
                </w:tcPr>
                <w:p w14:paraId="7FBBB315">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占标率/%</w:t>
                  </w:r>
                </w:p>
              </w:tc>
              <w:tc>
                <w:tcPr>
                  <w:tcW w:w="662" w:type="pct"/>
                  <w:tcBorders>
                    <w:tl2br w:val="nil"/>
                    <w:tr2bl w:val="nil"/>
                  </w:tcBorders>
                  <w:noWrap w:val="0"/>
                  <w:vAlign w:val="center"/>
                </w:tcPr>
                <w:p w14:paraId="58738891">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超标率/%</w:t>
                  </w:r>
                </w:p>
              </w:tc>
              <w:tc>
                <w:tcPr>
                  <w:tcW w:w="640" w:type="pct"/>
                  <w:tcBorders>
                    <w:tl2br w:val="nil"/>
                    <w:tr2bl w:val="nil"/>
                  </w:tcBorders>
                  <w:noWrap w:val="0"/>
                  <w:vAlign w:val="center"/>
                </w:tcPr>
                <w:p w14:paraId="388CA1E1">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达标</w:t>
                  </w:r>
                </w:p>
                <w:p w14:paraId="62A2070F">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情况</w:t>
                  </w:r>
                </w:p>
              </w:tc>
            </w:tr>
            <w:tr w14:paraId="5A47C5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574" w:type="pct"/>
                  <w:tcBorders>
                    <w:tl2br w:val="nil"/>
                    <w:tr2bl w:val="nil"/>
                  </w:tcBorders>
                  <w:noWrap w:val="0"/>
                  <w:vAlign w:val="center"/>
                </w:tcPr>
                <w:p w14:paraId="2DCF7AE6">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SO</w:t>
                  </w:r>
                  <w:r>
                    <w:rPr>
                      <w:rFonts w:hint="default" w:ascii="Times New Roman" w:hAnsi="Times New Roman" w:cs="Times New Roman"/>
                      <w:b w:val="0"/>
                      <w:bCs/>
                      <w:color w:val="FF0000"/>
                      <w:sz w:val="21"/>
                      <w:szCs w:val="21"/>
                      <w:vertAlign w:val="subscript"/>
                    </w:rPr>
                    <w:t>2</w:t>
                  </w:r>
                </w:p>
              </w:tc>
              <w:tc>
                <w:tcPr>
                  <w:tcW w:w="1150" w:type="pct"/>
                  <w:tcBorders>
                    <w:tl2br w:val="nil"/>
                    <w:tr2bl w:val="nil"/>
                  </w:tcBorders>
                  <w:noWrap w:val="0"/>
                  <w:vAlign w:val="center"/>
                </w:tcPr>
                <w:p w14:paraId="3EBC6923">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年均浓度</w:t>
                  </w:r>
                </w:p>
              </w:tc>
              <w:tc>
                <w:tcPr>
                  <w:tcW w:w="630" w:type="pct"/>
                  <w:tcBorders>
                    <w:tl2br w:val="nil"/>
                    <w:tr2bl w:val="nil"/>
                  </w:tcBorders>
                  <w:noWrap w:val="0"/>
                  <w:vAlign w:val="center"/>
                </w:tcPr>
                <w:p w14:paraId="43598089">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11</w:t>
                  </w:r>
                </w:p>
              </w:tc>
              <w:tc>
                <w:tcPr>
                  <w:tcW w:w="709" w:type="pct"/>
                  <w:tcBorders>
                    <w:tl2br w:val="nil"/>
                    <w:tr2bl w:val="nil"/>
                  </w:tcBorders>
                  <w:noWrap w:val="0"/>
                  <w:vAlign w:val="center"/>
                </w:tcPr>
                <w:p w14:paraId="585B5963">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60</w:t>
                  </w:r>
                </w:p>
              </w:tc>
              <w:tc>
                <w:tcPr>
                  <w:tcW w:w="1107" w:type="dxa"/>
                  <w:tcBorders>
                    <w:tl2br w:val="nil"/>
                    <w:tr2bl w:val="nil"/>
                  </w:tcBorders>
                  <w:noWrap w:val="0"/>
                  <w:vAlign w:val="center"/>
                </w:tcPr>
                <w:p w14:paraId="0AB998E6">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lang w:val="en-US" w:eastAsia="zh-CN"/>
                    </w:rPr>
                    <w:t>18.33</w:t>
                  </w:r>
                </w:p>
              </w:tc>
              <w:tc>
                <w:tcPr>
                  <w:tcW w:w="662" w:type="pct"/>
                  <w:tcBorders>
                    <w:tl2br w:val="nil"/>
                    <w:tr2bl w:val="nil"/>
                  </w:tcBorders>
                  <w:noWrap w:val="0"/>
                  <w:vAlign w:val="center"/>
                </w:tcPr>
                <w:p w14:paraId="69A7AD02">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0</w:t>
                  </w:r>
                </w:p>
              </w:tc>
              <w:tc>
                <w:tcPr>
                  <w:tcW w:w="640" w:type="pct"/>
                  <w:tcBorders>
                    <w:tl2br w:val="nil"/>
                    <w:tr2bl w:val="nil"/>
                  </w:tcBorders>
                  <w:noWrap w:val="0"/>
                  <w:vAlign w:val="center"/>
                </w:tcPr>
                <w:p w14:paraId="36883270">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达标</w:t>
                  </w:r>
                </w:p>
              </w:tc>
            </w:tr>
            <w:tr w14:paraId="7F807D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574" w:type="pct"/>
                  <w:tcBorders>
                    <w:tl2br w:val="nil"/>
                    <w:tr2bl w:val="nil"/>
                  </w:tcBorders>
                  <w:noWrap w:val="0"/>
                  <w:vAlign w:val="center"/>
                </w:tcPr>
                <w:p w14:paraId="31C7BAD0">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NO</w:t>
                  </w:r>
                  <w:r>
                    <w:rPr>
                      <w:rFonts w:hint="default" w:ascii="Times New Roman" w:hAnsi="Times New Roman" w:cs="Times New Roman"/>
                      <w:b w:val="0"/>
                      <w:bCs/>
                      <w:color w:val="FF0000"/>
                      <w:sz w:val="21"/>
                      <w:szCs w:val="21"/>
                      <w:vertAlign w:val="subscript"/>
                    </w:rPr>
                    <w:t>2</w:t>
                  </w:r>
                </w:p>
              </w:tc>
              <w:tc>
                <w:tcPr>
                  <w:tcW w:w="1150" w:type="pct"/>
                  <w:tcBorders>
                    <w:tl2br w:val="nil"/>
                    <w:tr2bl w:val="nil"/>
                  </w:tcBorders>
                  <w:noWrap w:val="0"/>
                  <w:vAlign w:val="center"/>
                </w:tcPr>
                <w:p w14:paraId="22FEF43B">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年均浓度</w:t>
                  </w:r>
                </w:p>
              </w:tc>
              <w:tc>
                <w:tcPr>
                  <w:tcW w:w="630" w:type="pct"/>
                  <w:tcBorders>
                    <w:tl2br w:val="nil"/>
                    <w:tr2bl w:val="nil"/>
                  </w:tcBorders>
                  <w:noWrap w:val="0"/>
                  <w:vAlign w:val="center"/>
                </w:tcPr>
                <w:p w14:paraId="135E44CD">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11</w:t>
                  </w:r>
                </w:p>
              </w:tc>
              <w:tc>
                <w:tcPr>
                  <w:tcW w:w="709" w:type="pct"/>
                  <w:tcBorders>
                    <w:tl2br w:val="nil"/>
                    <w:tr2bl w:val="nil"/>
                  </w:tcBorders>
                  <w:noWrap w:val="0"/>
                  <w:vAlign w:val="center"/>
                </w:tcPr>
                <w:p w14:paraId="2B85BF6C">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40</w:t>
                  </w:r>
                </w:p>
              </w:tc>
              <w:tc>
                <w:tcPr>
                  <w:tcW w:w="1107" w:type="dxa"/>
                  <w:tcBorders>
                    <w:tl2br w:val="nil"/>
                    <w:tr2bl w:val="nil"/>
                  </w:tcBorders>
                  <w:noWrap w:val="0"/>
                  <w:vAlign w:val="center"/>
                </w:tcPr>
                <w:p w14:paraId="07CF1184">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27.50</w:t>
                  </w:r>
                </w:p>
              </w:tc>
              <w:tc>
                <w:tcPr>
                  <w:tcW w:w="662" w:type="pct"/>
                  <w:tcBorders>
                    <w:tl2br w:val="nil"/>
                    <w:tr2bl w:val="nil"/>
                  </w:tcBorders>
                  <w:noWrap w:val="0"/>
                  <w:vAlign w:val="center"/>
                </w:tcPr>
                <w:p w14:paraId="191F1C27">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0</w:t>
                  </w:r>
                </w:p>
              </w:tc>
              <w:tc>
                <w:tcPr>
                  <w:tcW w:w="640" w:type="pct"/>
                  <w:tcBorders>
                    <w:tl2br w:val="nil"/>
                    <w:tr2bl w:val="nil"/>
                  </w:tcBorders>
                  <w:noWrap w:val="0"/>
                  <w:vAlign w:val="center"/>
                </w:tcPr>
                <w:p w14:paraId="3F264F19">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达标</w:t>
                  </w:r>
                </w:p>
              </w:tc>
            </w:tr>
            <w:tr w14:paraId="2A2169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74" w:type="pct"/>
                  <w:tcBorders>
                    <w:tl2br w:val="nil"/>
                    <w:tr2bl w:val="nil"/>
                  </w:tcBorders>
                  <w:noWrap w:val="0"/>
                  <w:vAlign w:val="center"/>
                </w:tcPr>
                <w:p w14:paraId="2511969C">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PM</w:t>
                  </w:r>
                  <w:r>
                    <w:rPr>
                      <w:rFonts w:hint="default" w:ascii="Times New Roman" w:hAnsi="Times New Roman" w:cs="Times New Roman"/>
                      <w:b w:val="0"/>
                      <w:bCs/>
                      <w:color w:val="FF0000"/>
                      <w:sz w:val="21"/>
                      <w:szCs w:val="21"/>
                      <w:vertAlign w:val="subscript"/>
                    </w:rPr>
                    <w:t>10</w:t>
                  </w:r>
                </w:p>
              </w:tc>
              <w:tc>
                <w:tcPr>
                  <w:tcW w:w="1150" w:type="pct"/>
                  <w:tcBorders>
                    <w:tl2br w:val="nil"/>
                    <w:tr2bl w:val="nil"/>
                  </w:tcBorders>
                  <w:noWrap w:val="0"/>
                  <w:vAlign w:val="center"/>
                </w:tcPr>
                <w:p w14:paraId="67F7861F">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年均浓度</w:t>
                  </w:r>
                </w:p>
              </w:tc>
              <w:tc>
                <w:tcPr>
                  <w:tcW w:w="630" w:type="pct"/>
                  <w:tcBorders>
                    <w:tl2br w:val="nil"/>
                    <w:tr2bl w:val="nil"/>
                  </w:tcBorders>
                  <w:noWrap w:val="0"/>
                  <w:vAlign w:val="center"/>
                </w:tcPr>
                <w:p w14:paraId="60EFFBE8">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36</w:t>
                  </w:r>
                </w:p>
              </w:tc>
              <w:tc>
                <w:tcPr>
                  <w:tcW w:w="709" w:type="pct"/>
                  <w:tcBorders>
                    <w:tl2br w:val="nil"/>
                    <w:tr2bl w:val="nil"/>
                  </w:tcBorders>
                  <w:noWrap w:val="0"/>
                  <w:vAlign w:val="center"/>
                </w:tcPr>
                <w:p w14:paraId="5150CEC4">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70</w:t>
                  </w:r>
                </w:p>
              </w:tc>
              <w:tc>
                <w:tcPr>
                  <w:tcW w:w="1107" w:type="dxa"/>
                  <w:tcBorders>
                    <w:tl2br w:val="nil"/>
                    <w:tr2bl w:val="nil"/>
                  </w:tcBorders>
                  <w:noWrap w:val="0"/>
                  <w:vAlign w:val="center"/>
                </w:tcPr>
                <w:p w14:paraId="7C57ED92">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51.43</w:t>
                  </w:r>
                </w:p>
              </w:tc>
              <w:tc>
                <w:tcPr>
                  <w:tcW w:w="662" w:type="pct"/>
                  <w:tcBorders>
                    <w:tl2br w:val="nil"/>
                    <w:tr2bl w:val="nil"/>
                  </w:tcBorders>
                  <w:noWrap w:val="0"/>
                  <w:vAlign w:val="center"/>
                </w:tcPr>
                <w:p w14:paraId="3B359EFF">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eastAsia="zh-CN"/>
                    </w:rPr>
                  </w:pPr>
                  <w:r>
                    <w:rPr>
                      <w:rFonts w:hint="default" w:ascii="Times New Roman" w:hAnsi="Times New Roman" w:cs="Times New Roman"/>
                      <w:b w:val="0"/>
                      <w:bCs/>
                      <w:color w:val="FF0000"/>
                      <w:sz w:val="21"/>
                      <w:szCs w:val="21"/>
                      <w:lang w:val="en-US" w:eastAsia="zh-CN"/>
                    </w:rPr>
                    <w:t>0</w:t>
                  </w:r>
                </w:p>
              </w:tc>
              <w:tc>
                <w:tcPr>
                  <w:tcW w:w="640" w:type="pct"/>
                  <w:tcBorders>
                    <w:tl2br w:val="nil"/>
                    <w:tr2bl w:val="nil"/>
                  </w:tcBorders>
                  <w:noWrap w:val="0"/>
                  <w:vAlign w:val="center"/>
                </w:tcPr>
                <w:p w14:paraId="51273AC2">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达标</w:t>
                  </w:r>
                </w:p>
              </w:tc>
            </w:tr>
            <w:tr w14:paraId="06D99F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574" w:type="pct"/>
                  <w:tcBorders>
                    <w:tl2br w:val="nil"/>
                    <w:tr2bl w:val="nil"/>
                  </w:tcBorders>
                  <w:noWrap w:val="0"/>
                  <w:vAlign w:val="center"/>
                </w:tcPr>
                <w:p w14:paraId="74977AEB">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PM</w:t>
                  </w:r>
                  <w:r>
                    <w:rPr>
                      <w:rFonts w:hint="default" w:ascii="Times New Roman" w:hAnsi="Times New Roman" w:cs="Times New Roman"/>
                      <w:b w:val="0"/>
                      <w:bCs/>
                      <w:color w:val="FF0000"/>
                      <w:sz w:val="21"/>
                      <w:szCs w:val="21"/>
                      <w:vertAlign w:val="subscript"/>
                    </w:rPr>
                    <w:t>2.5</w:t>
                  </w:r>
                </w:p>
              </w:tc>
              <w:tc>
                <w:tcPr>
                  <w:tcW w:w="1150" w:type="pct"/>
                  <w:tcBorders>
                    <w:tl2br w:val="nil"/>
                    <w:tr2bl w:val="nil"/>
                  </w:tcBorders>
                  <w:noWrap w:val="0"/>
                  <w:vAlign w:val="center"/>
                </w:tcPr>
                <w:p w14:paraId="4D87DB8F">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年均浓度</w:t>
                  </w:r>
                </w:p>
              </w:tc>
              <w:tc>
                <w:tcPr>
                  <w:tcW w:w="630" w:type="pct"/>
                  <w:tcBorders>
                    <w:tl2br w:val="nil"/>
                    <w:tr2bl w:val="nil"/>
                  </w:tcBorders>
                  <w:noWrap w:val="0"/>
                  <w:vAlign w:val="center"/>
                </w:tcPr>
                <w:p w14:paraId="5438234C">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18</w:t>
                  </w:r>
                </w:p>
              </w:tc>
              <w:tc>
                <w:tcPr>
                  <w:tcW w:w="709" w:type="pct"/>
                  <w:tcBorders>
                    <w:tl2br w:val="nil"/>
                    <w:tr2bl w:val="nil"/>
                  </w:tcBorders>
                  <w:noWrap w:val="0"/>
                  <w:vAlign w:val="center"/>
                </w:tcPr>
                <w:p w14:paraId="59B32747">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35</w:t>
                  </w:r>
                </w:p>
              </w:tc>
              <w:tc>
                <w:tcPr>
                  <w:tcW w:w="1107" w:type="dxa"/>
                  <w:tcBorders>
                    <w:tl2br w:val="nil"/>
                    <w:tr2bl w:val="nil"/>
                  </w:tcBorders>
                  <w:noWrap w:val="0"/>
                  <w:vAlign w:val="center"/>
                </w:tcPr>
                <w:p w14:paraId="25ABE539">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51.43</w:t>
                  </w:r>
                </w:p>
              </w:tc>
              <w:tc>
                <w:tcPr>
                  <w:tcW w:w="662" w:type="pct"/>
                  <w:tcBorders>
                    <w:tl2br w:val="nil"/>
                    <w:tr2bl w:val="nil"/>
                  </w:tcBorders>
                  <w:noWrap w:val="0"/>
                  <w:vAlign w:val="center"/>
                </w:tcPr>
                <w:p w14:paraId="7B4F7ABD">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0</w:t>
                  </w:r>
                </w:p>
              </w:tc>
              <w:tc>
                <w:tcPr>
                  <w:tcW w:w="640" w:type="pct"/>
                  <w:tcBorders>
                    <w:tl2br w:val="nil"/>
                    <w:tr2bl w:val="nil"/>
                  </w:tcBorders>
                  <w:noWrap w:val="0"/>
                  <w:vAlign w:val="center"/>
                </w:tcPr>
                <w:p w14:paraId="77EB9A89">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达标</w:t>
                  </w:r>
                </w:p>
              </w:tc>
            </w:tr>
            <w:tr w14:paraId="04E3DA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74" w:type="pct"/>
                  <w:tcBorders>
                    <w:tl2br w:val="nil"/>
                    <w:tr2bl w:val="nil"/>
                  </w:tcBorders>
                  <w:noWrap w:val="0"/>
                  <w:vAlign w:val="center"/>
                </w:tcPr>
                <w:p w14:paraId="723B865A">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CO</w:t>
                  </w:r>
                </w:p>
              </w:tc>
              <w:tc>
                <w:tcPr>
                  <w:tcW w:w="1150" w:type="pct"/>
                  <w:tcBorders>
                    <w:tl2br w:val="nil"/>
                    <w:tr2bl w:val="nil"/>
                  </w:tcBorders>
                  <w:noWrap w:val="0"/>
                  <w:vAlign w:val="center"/>
                </w:tcPr>
                <w:p w14:paraId="24AA8453">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24小时平均</w:t>
                  </w:r>
                </w:p>
                <w:p w14:paraId="3F1ECA18">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第95百分位数</w:t>
                  </w:r>
                </w:p>
              </w:tc>
              <w:tc>
                <w:tcPr>
                  <w:tcW w:w="630" w:type="pct"/>
                  <w:tcBorders>
                    <w:tl2br w:val="nil"/>
                    <w:tr2bl w:val="nil"/>
                  </w:tcBorders>
                  <w:noWrap w:val="0"/>
                  <w:vAlign w:val="center"/>
                </w:tcPr>
                <w:p w14:paraId="6FC1EF18">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800</w:t>
                  </w:r>
                </w:p>
              </w:tc>
              <w:tc>
                <w:tcPr>
                  <w:tcW w:w="709" w:type="pct"/>
                  <w:tcBorders>
                    <w:tl2br w:val="nil"/>
                    <w:tr2bl w:val="nil"/>
                  </w:tcBorders>
                  <w:noWrap w:val="0"/>
                  <w:vAlign w:val="center"/>
                </w:tcPr>
                <w:p w14:paraId="5DC4B664">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4000</w:t>
                  </w:r>
                </w:p>
              </w:tc>
              <w:tc>
                <w:tcPr>
                  <w:tcW w:w="1107" w:type="dxa"/>
                  <w:tcBorders>
                    <w:tl2br w:val="nil"/>
                    <w:tr2bl w:val="nil"/>
                  </w:tcBorders>
                  <w:noWrap w:val="0"/>
                  <w:vAlign w:val="center"/>
                </w:tcPr>
                <w:p w14:paraId="75CD6967">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20.00</w:t>
                  </w:r>
                </w:p>
              </w:tc>
              <w:tc>
                <w:tcPr>
                  <w:tcW w:w="662" w:type="pct"/>
                  <w:tcBorders>
                    <w:tl2br w:val="nil"/>
                    <w:tr2bl w:val="nil"/>
                  </w:tcBorders>
                  <w:noWrap w:val="0"/>
                  <w:vAlign w:val="center"/>
                </w:tcPr>
                <w:p w14:paraId="4D09FBD5">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w:t>
                  </w:r>
                </w:p>
              </w:tc>
              <w:tc>
                <w:tcPr>
                  <w:tcW w:w="640" w:type="pct"/>
                  <w:tcBorders>
                    <w:tl2br w:val="nil"/>
                    <w:tr2bl w:val="nil"/>
                  </w:tcBorders>
                  <w:noWrap w:val="0"/>
                  <w:vAlign w:val="center"/>
                </w:tcPr>
                <w:p w14:paraId="1F9E77CA">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达标</w:t>
                  </w:r>
                </w:p>
              </w:tc>
            </w:tr>
            <w:tr w14:paraId="440AE3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4" w:type="pct"/>
                  <w:tcBorders>
                    <w:tl2br w:val="nil"/>
                    <w:tr2bl w:val="nil"/>
                  </w:tcBorders>
                  <w:noWrap w:val="0"/>
                  <w:vAlign w:val="center"/>
                </w:tcPr>
                <w:p w14:paraId="617F1D29">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O</w:t>
                  </w:r>
                  <w:r>
                    <w:rPr>
                      <w:rFonts w:hint="default" w:ascii="Times New Roman" w:hAnsi="Times New Roman" w:cs="Times New Roman"/>
                      <w:b w:val="0"/>
                      <w:bCs/>
                      <w:color w:val="FF0000"/>
                      <w:sz w:val="21"/>
                      <w:szCs w:val="21"/>
                      <w:vertAlign w:val="subscript"/>
                    </w:rPr>
                    <w:t>3</w:t>
                  </w:r>
                </w:p>
              </w:tc>
              <w:tc>
                <w:tcPr>
                  <w:tcW w:w="1150" w:type="pct"/>
                  <w:tcBorders>
                    <w:tl2br w:val="nil"/>
                    <w:tr2bl w:val="nil"/>
                  </w:tcBorders>
                  <w:noWrap w:val="0"/>
                  <w:vAlign w:val="center"/>
                </w:tcPr>
                <w:p w14:paraId="5A1D873C">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最大8小时平均</w:t>
                  </w:r>
                </w:p>
                <w:p w14:paraId="1AD20D5B">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第90百分位数</w:t>
                  </w:r>
                </w:p>
              </w:tc>
              <w:tc>
                <w:tcPr>
                  <w:tcW w:w="630" w:type="pct"/>
                  <w:tcBorders>
                    <w:tl2br w:val="nil"/>
                    <w:tr2bl w:val="nil"/>
                  </w:tcBorders>
                  <w:noWrap w:val="0"/>
                  <w:vAlign w:val="center"/>
                </w:tcPr>
                <w:p w14:paraId="6FD518CB">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133</w:t>
                  </w:r>
                </w:p>
              </w:tc>
              <w:tc>
                <w:tcPr>
                  <w:tcW w:w="709" w:type="pct"/>
                  <w:tcBorders>
                    <w:tl2br w:val="nil"/>
                    <w:tr2bl w:val="nil"/>
                  </w:tcBorders>
                  <w:noWrap w:val="0"/>
                  <w:vAlign w:val="center"/>
                </w:tcPr>
                <w:p w14:paraId="41B589B3">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160</w:t>
                  </w:r>
                </w:p>
              </w:tc>
              <w:tc>
                <w:tcPr>
                  <w:tcW w:w="1107" w:type="dxa"/>
                  <w:tcBorders>
                    <w:tl2br w:val="nil"/>
                    <w:tr2bl w:val="nil"/>
                  </w:tcBorders>
                  <w:noWrap w:val="0"/>
                  <w:vAlign w:val="center"/>
                </w:tcPr>
                <w:p w14:paraId="4011379B">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83.13</w:t>
                  </w:r>
                </w:p>
              </w:tc>
              <w:tc>
                <w:tcPr>
                  <w:tcW w:w="662" w:type="pct"/>
                  <w:tcBorders>
                    <w:tl2br w:val="nil"/>
                    <w:tr2bl w:val="nil"/>
                  </w:tcBorders>
                  <w:noWrap w:val="0"/>
                  <w:vAlign w:val="center"/>
                </w:tcPr>
                <w:p w14:paraId="769013DB">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w:t>
                  </w:r>
                </w:p>
              </w:tc>
              <w:tc>
                <w:tcPr>
                  <w:tcW w:w="640" w:type="pct"/>
                  <w:tcBorders>
                    <w:tl2br w:val="nil"/>
                    <w:tr2bl w:val="nil"/>
                  </w:tcBorders>
                  <w:noWrap w:val="0"/>
                  <w:vAlign w:val="center"/>
                </w:tcPr>
                <w:p w14:paraId="1079AAC7">
                  <w:pPr>
                    <w:pStyle w:val="4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达标</w:t>
                  </w:r>
                </w:p>
              </w:tc>
            </w:tr>
          </w:tbl>
          <w:p w14:paraId="0FA3484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contextualSpacing/>
              <w:jc w:val="both"/>
              <w:textAlignment w:val="auto"/>
              <w:rPr>
                <w:rFonts w:hint="default" w:ascii="Times New Roman" w:hAnsi="Times New Roman" w:eastAsia="宋体" w:cs="Times New Roman"/>
                <w:bCs/>
                <w:kern w:val="2"/>
                <w:sz w:val="24"/>
                <w:szCs w:val="24"/>
                <w:lang w:val="en-US" w:eastAsia="zh-CN" w:bidi="ar-SA"/>
              </w:rPr>
            </w:pPr>
            <w:r>
              <w:rPr>
                <w:rFonts w:hint="default" w:ascii="Times New Roman" w:hAnsi="Times New Roman" w:eastAsia="宋体" w:cs="Times New Roman"/>
                <w:bCs/>
                <w:color w:val="FF0000"/>
                <w:kern w:val="2"/>
                <w:sz w:val="24"/>
                <w:szCs w:val="24"/>
                <w:lang w:val="en-US" w:eastAsia="zh-CN" w:bidi="ar-SA"/>
              </w:rPr>
              <w:t>海南藏族自治州2023年SO</w:t>
            </w:r>
            <w:r>
              <w:rPr>
                <w:rFonts w:hint="default" w:ascii="Times New Roman" w:hAnsi="Times New Roman" w:eastAsia="宋体" w:cs="Times New Roman"/>
                <w:bCs/>
                <w:color w:val="FF0000"/>
                <w:kern w:val="2"/>
                <w:sz w:val="24"/>
                <w:szCs w:val="24"/>
                <w:vertAlign w:val="subscript"/>
                <w:lang w:val="en-US" w:eastAsia="zh-CN" w:bidi="ar-SA"/>
              </w:rPr>
              <w:t>2</w:t>
            </w:r>
            <w:r>
              <w:rPr>
                <w:rFonts w:hint="default" w:ascii="Times New Roman" w:hAnsi="Times New Roman" w:eastAsia="宋体" w:cs="Times New Roman"/>
                <w:bCs/>
                <w:color w:val="FF0000"/>
                <w:kern w:val="2"/>
                <w:sz w:val="24"/>
                <w:szCs w:val="24"/>
                <w:lang w:val="en-US" w:eastAsia="zh-CN" w:bidi="ar-SA"/>
              </w:rPr>
              <w:t>、NO</w:t>
            </w:r>
            <w:r>
              <w:rPr>
                <w:rFonts w:hint="default" w:ascii="Times New Roman" w:hAnsi="Times New Roman" w:eastAsia="宋体" w:cs="Times New Roman"/>
                <w:bCs/>
                <w:color w:val="FF0000"/>
                <w:kern w:val="2"/>
                <w:sz w:val="24"/>
                <w:szCs w:val="24"/>
                <w:vertAlign w:val="subscript"/>
                <w:lang w:val="en-US" w:eastAsia="zh-CN" w:bidi="ar-SA"/>
              </w:rPr>
              <w:t>2</w:t>
            </w:r>
            <w:r>
              <w:rPr>
                <w:rFonts w:hint="default" w:ascii="Times New Roman" w:hAnsi="Times New Roman" w:eastAsia="宋体" w:cs="Times New Roman"/>
                <w:bCs/>
                <w:color w:val="FF0000"/>
                <w:kern w:val="2"/>
                <w:sz w:val="24"/>
                <w:szCs w:val="24"/>
                <w:lang w:val="en-US" w:eastAsia="zh-CN" w:bidi="ar-SA"/>
              </w:rPr>
              <w:t>、PM</w:t>
            </w:r>
            <w:r>
              <w:rPr>
                <w:rFonts w:hint="default" w:ascii="Times New Roman" w:hAnsi="Times New Roman" w:eastAsia="宋体" w:cs="Times New Roman"/>
                <w:bCs/>
                <w:color w:val="FF0000"/>
                <w:kern w:val="2"/>
                <w:sz w:val="24"/>
                <w:szCs w:val="24"/>
                <w:vertAlign w:val="subscript"/>
                <w:lang w:val="en-US" w:eastAsia="zh-CN" w:bidi="ar-SA"/>
              </w:rPr>
              <w:t>10</w:t>
            </w:r>
            <w:r>
              <w:rPr>
                <w:rFonts w:hint="default" w:ascii="Times New Roman" w:hAnsi="Times New Roman" w:eastAsia="宋体" w:cs="Times New Roman"/>
                <w:bCs/>
                <w:color w:val="FF0000"/>
                <w:kern w:val="2"/>
                <w:sz w:val="24"/>
                <w:szCs w:val="24"/>
                <w:lang w:val="en-US" w:eastAsia="zh-CN" w:bidi="ar-SA"/>
              </w:rPr>
              <w:t>、PM</w:t>
            </w:r>
            <w:r>
              <w:rPr>
                <w:rFonts w:hint="default" w:ascii="Times New Roman" w:hAnsi="Times New Roman" w:eastAsia="宋体" w:cs="Times New Roman"/>
                <w:bCs/>
                <w:color w:val="FF0000"/>
                <w:kern w:val="2"/>
                <w:sz w:val="24"/>
                <w:szCs w:val="24"/>
                <w:vertAlign w:val="subscript"/>
                <w:lang w:val="en-US" w:eastAsia="zh-CN" w:bidi="ar-SA"/>
              </w:rPr>
              <w:t>2.5</w:t>
            </w:r>
            <w:r>
              <w:rPr>
                <w:rFonts w:hint="default" w:ascii="Times New Roman" w:hAnsi="Times New Roman" w:eastAsia="宋体" w:cs="Times New Roman"/>
                <w:bCs/>
                <w:color w:val="FF0000"/>
                <w:kern w:val="2"/>
                <w:sz w:val="24"/>
                <w:szCs w:val="24"/>
                <w:lang w:val="en-US" w:eastAsia="zh-CN" w:bidi="ar-SA"/>
              </w:rPr>
              <w:t>年均浓度分别为11ug/m</w:t>
            </w:r>
            <w:r>
              <w:rPr>
                <w:rFonts w:hint="default" w:ascii="Times New Roman" w:hAnsi="Times New Roman" w:eastAsia="宋体" w:cs="Times New Roman"/>
                <w:bCs/>
                <w:color w:val="FF0000"/>
                <w:kern w:val="2"/>
                <w:sz w:val="24"/>
                <w:szCs w:val="24"/>
                <w:vertAlign w:val="superscript"/>
                <w:lang w:val="en-US" w:eastAsia="zh-CN" w:bidi="ar-SA"/>
              </w:rPr>
              <w:t>3</w:t>
            </w:r>
            <w:r>
              <w:rPr>
                <w:rFonts w:hint="default" w:ascii="Times New Roman" w:hAnsi="Times New Roman" w:eastAsia="宋体" w:cs="Times New Roman"/>
                <w:bCs/>
                <w:color w:val="FF0000"/>
                <w:kern w:val="2"/>
                <w:sz w:val="24"/>
                <w:szCs w:val="24"/>
                <w:lang w:val="en-US" w:eastAsia="zh-CN" w:bidi="ar-SA"/>
              </w:rPr>
              <w:t>、11ug/m</w:t>
            </w:r>
            <w:r>
              <w:rPr>
                <w:rFonts w:hint="default" w:ascii="Times New Roman" w:hAnsi="Times New Roman" w:eastAsia="宋体" w:cs="Times New Roman"/>
                <w:bCs/>
                <w:color w:val="FF0000"/>
                <w:kern w:val="2"/>
                <w:sz w:val="24"/>
                <w:szCs w:val="24"/>
                <w:vertAlign w:val="superscript"/>
                <w:lang w:val="en-US" w:eastAsia="zh-CN" w:bidi="ar-SA"/>
              </w:rPr>
              <w:t>3</w:t>
            </w:r>
            <w:r>
              <w:rPr>
                <w:rFonts w:hint="default" w:ascii="Times New Roman" w:hAnsi="Times New Roman" w:eastAsia="宋体" w:cs="Times New Roman"/>
                <w:bCs/>
                <w:color w:val="FF0000"/>
                <w:kern w:val="2"/>
                <w:sz w:val="24"/>
                <w:szCs w:val="24"/>
                <w:lang w:val="en-US" w:eastAsia="zh-CN" w:bidi="ar-SA"/>
              </w:rPr>
              <w:t>、36ug/m</w:t>
            </w:r>
            <w:r>
              <w:rPr>
                <w:rFonts w:hint="default" w:ascii="Times New Roman" w:hAnsi="Times New Roman" w:eastAsia="宋体" w:cs="Times New Roman"/>
                <w:bCs/>
                <w:color w:val="FF0000"/>
                <w:kern w:val="2"/>
                <w:sz w:val="24"/>
                <w:szCs w:val="24"/>
                <w:vertAlign w:val="superscript"/>
                <w:lang w:val="en-US" w:eastAsia="zh-CN" w:bidi="ar-SA"/>
              </w:rPr>
              <w:t>3</w:t>
            </w:r>
            <w:r>
              <w:rPr>
                <w:rFonts w:hint="default" w:ascii="Times New Roman" w:hAnsi="Times New Roman" w:eastAsia="宋体" w:cs="Times New Roman"/>
                <w:bCs/>
                <w:color w:val="FF0000"/>
                <w:kern w:val="2"/>
                <w:sz w:val="24"/>
                <w:szCs w:val="24"/>
                <w:lang w:val="en-US" w:eastAsia="zh-CN" w:bidi="ar-SA"/>
              </w:rPr>
              <w:t>、18ug/m</w:t>
            </w:r>
            <w:r>
              <w:rPr>
                <w:rFonts w:hint="default" w:ascii="Times New Roman" w:hAnsi="Times New Roman" w:eastAsia="宋体" w:cs="Times New Roman"/>
                <w:bCs/>
                <w:color w:val="FF0000"/>
                <w:kern w:val="2"/>
                <w:sz w:val="24"/>
                <w:szCs w:val="24"/>
                <w:vertAlign w:val="superscript"/>
                <w:lang w:val="en-US" w:eastAsia="zh-CN" w:bidi="ar-SA"/>
              </w:rPr>
              <w:t>3</w:t>
            </w:r>
            <w:r>
              <w:rPr>
                <w:rFonts w:hint="default" w:ascii="Times New Roman" w:hAnsi="Times New Roman" w:eastAsia="宋体" w:cs="Times New Roman"/>
                <w:bCs/>
                <w:color w:val="FF0000"/>
                <w:kern w:val="2"/>
                <w:sz w:val="24"/>
                <w:szCs w:val="24"/>
                <w:lang w:val="en-US" w:eastAsia="zh-CN" w:bidi="ar-SA"/>
              </w:rPr>
              <w:t>；CO24小时平均第95百分位数为0.8mg/m</w:t>
            </w:r>
            <w:r>
              <w:rPr>
                <w:rFonts w:hint="default" w:ascii="Times New Roman" w:hAnsi="Times New Roman" w:eastAsia="宋体" w:cs="Times New Roman"/>
                <w:bCs/>
                <w:color w:val="FF0000"/>
                <w:kern w:val="2"/>
                <w:sz w:val="24"/>
                <w:szCs w:val="24"/>
                <w:vertAlign w:val="superscript"/>
                <w:lang w:val="en-US" w:eastAsia="zh-CN" w:bidi="ar-SA"/>
              </w:rPr>
              <w:t>3</w:t>
            </w:r>
            <w:r>
              <w:rPr>
                <w:rFonts w:hint="default" w:ascii="Times New Roman" w:hAnsi="Times New Roman" w:eastAsia="宋体" w:cs="Times New Roman"/>
                <w:bCs/>
                <w:color w:val="FF0000"/>
                <w:kern w:val="2"/>
                <w:sz w:val="24"/>
                <w:szCs w:val="24"/>
                <w:lang w:val="en-US" w:eastAsia="zh-CN" w:bidi="ar-SA"/>
              </w:rPr>
              <w:t>，O3日最大8小时平均第90百分位数为133ug/m</w:t>
            </w:r>
            <w:r>
              <w:rPr>
                <w:rFonts w:hint="default" w:ascii="Times New Roman" w:hAnsi="Times New Roman" w:eastAsia="宋体" w:cs="Times New Roman"/>
                <w:bCs/>
                <w:color w:val="FF0000"/>
                <w:kern w:val="2"/>
                <w:sz w:val="24"/>
                <w:szCs w:val="24"/>
                <w:vertAlign w:val="superscript"/>
                <w:lang w:val="en-US" w:eastAsia="zh-CN" w:bidi="ar-SA"/>
              </w:rPr>
              <w:t>3</w:t>
            </w:r>
            <w:r>
              <w:rPr>
                <w:rFonts w:hint="default" w:ascii="Times New Roman" w:hAnsi="Times New Roman" w:eastAsia="宋体" w:cs="Times New Roman"/>
                <w:bCs/>
                <w:color w:val="FF0000"/>
                <w:kern w:val="2"/>
                <w:sz w:val="24"/>
                <w:szCs w:val="24"/>
                <w:lang w:val="en-US" w:eastAsia="zh-CN" w:bidi="ar-SA"/>
              </w:rPr>
              <w:t>；各污染物平均浓度均优于《环境空气质量标准》（GB3095-2012）中二级标准限值</w:t>
            </w:r>
            <w:r>
              <w:rPr>
                <w:rFonts w:hint="default" w:ascii="Times New Roman" w:hAnsi="Times New Roman" w:cs="Times New Roman"/>
                <w:color w:val="FF0000"/>
                <w:highlight w:val="none"/>
                <w:lang w:eastAsia="zh-CN"/>
              </w:rPr>
              <w:t>，</w:t>
            </w:r>
            <w:r>
              <w:rPr>
                <w:rFonts w:hint="default" w:ascii="Times New Roman" w:hAnsi="Times New Roman" w:cs="Times New Roman"/>
                <w:bCs/>
                <w:color w:val="FF0000"/>
                <w:kern w:val="2"/>
                <w:sz w:val="24"/>
                <w:szCs w:val="24"/>
                <w:lang w:val="en-US" w:eastAsia="zh-CN" w:bidi="ar-SA"/>
              </w:rPr>
              <w:t>该区域属于达标区</w:t>
            </w:r>
            <w:r>
              <w:rPr>
                <w:rFonts w:hint="default" w:ascii="Times New Roman" w:hAnsi="Times New Roman" w:eastAsia="宋体" w:cs="Times New Roman"/>
                <w:bCs/>
                <w:color w:val="FF0000"/>
                <w:kern w:val="2"/>
                <w:sz w:val="24"/>
                <w:szCs w:val="24"/>
                <w:lang w:val="en-US" w:eastAsia="zh-CN" w:bidi="ar-SA"/>
              </w:rPr>
              <w:t>。</w:t>
            </w:r>
          </w:p>
          <w:p w14:paraId="0CB32704">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3、地表水环境质量现状</w:t>
            </w:r>
          </w:p>
          <w:p w14:paraId="6484C316">
            <w:pPr>
              <w:keepNext w:val="0"/>
              <w:keepLines w:val="0"/>
              <w:widowControl/>
              <w:suppressLineNumbers w:val="0"/>
              <w:jc w:val="left"/>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矿区西侧、东南侧分布有季节性沟谷</w:t>
            </w:r>
            <w:r>
              <w:rPr>
                <w:rFonts w:hint="eastAsia" w:cs="Times New Roman"/>
                <w:color w:val="FF0000"/>
                <w:sz w:val="24"/>
                <w:lang w:val="en-US" w:eastAsia="zh-CN"/>
              </w:rPr>
              <w:t>，</w:t>
            </w:r>
            <w:r>
              <w:rPr>
                <w:rFonts w:hint="eastAsia" w:cs="Times New Roman"/>
                <w:color w:val="0000FF"/>
                <w:sz w:val="24"/>
                <w:lang w:val="en-US" w:eastAsia="zh-CN"/>
              </w:rPr>
              <w:t>西侧季节性沟谷距离项目厂界约10m~20m，东侧季节性沟谷距离项目厂界约15m~25m</w:t>
            </w:r>
            <w:r>
              <w:rPr>
                <w:rFonts w:hint="default" w:ascii="Times New Roman" w:hAnsi="Times New Roman" w:cs="Times New Roman"/>
                <w:color w:val="0000FF"/>
                <w:sz w:val="24"/>
                <w:lang w:val="en-US" w:eastAsia="zh-CN"/>
              </w:rPr>
              <w:t>，</w:t>
            </w:r>
            <w:r>
              <w:rPr>
                <w:rFonts w:hint="default" w:ascii="Times New Roman" w:hAnsi="Times New Roman" w:cs="Times New Roman"/>
                <w:color w:val="FF0000"/>
                <w:sz w:val="24"/>
                <w:lang w:val="en-US" w:eastAsia="zh-CN"/>
              </w:rPr>
              <w:t>现场调查时沟谷内有地表水，水量较小。主要充水因素为大气降水，矿区雨水多集中在5～9月份，多年平均降水量为441.8mm，</w:t>
            </w:r>
            <w:r>
              <w:rPr>
                <w:rFonts w:hint="eastAsia" w:ascii="Times New Roman" w:hAnsi="Times New Roman" w:cs="Times New Roman"/>
                <w:color w:val="FF0000"/>
                <w:sz w:val="24"/>
                <w:lang w:val="en-US" w:eastAsia="zh-CN"/>
              </w:rPr>
              <w:t>受流水侵蚀、切割作用，沟谷较发育；矿区山顶、山坡多被残坡积物及冲洪积物覆盖，植被</w:t>
            </w:r>
            <w:r>
              <w:rPr>
                <w:rFonts w:hint="eastAsia" w:cs="Times New Roman"/>
                <w:color w:val="FF0000"/>
                <w:sz w:val="24"/>
                <w:lang w:val="en-US" w:eastAsia="zh-CN"/>
              </w:rPr>
              <w:t>状态</w:t>
            </w:r>
            <w:r>
              <w:rPr>
                <w:rFonts w:hint="eastAsia" w:ascii="Times New Roman" w:hAnsi="Times New Roman" w:cs="Times New Roman"/>
                <w:color w:val="FF0000"/>
                <w:sz w:val="24"/>
                <w:lang w:val="en-US" w:eastAsia="zh-CN"/>
              </w:rPr>
              <w:t>良好，水土流失中等，区内无封闭洼地，沟谷向西南方向敞开，自然排水条件良好。</w:t>
            </w:r>
            <w:r>
              <w:rPr>
                <w:rFonts w:hint="default" w:ascii="Times New Roman" w:hAnsi="Times New Roman" w:cs="Times New Roman"/>
                <w:color w:val="FF0000"/>
                <w:sz w:val="24"/>
                <w:lang w:val="en-US" w:eastAsia="zh-CN"/>
              </w:rPr>
              <w:t>厂区南侧距离赛欠曲约800m，赛欠曲为黄河一级支流，水域为“源头-汇入黄河”，属于Ⅰ类。</w:t>
            </w:r>
          </w:p>
          <w:p w14:paraId="6EF9DE31">
            <w:pPr>
              <w:keepNext w:val="0"/>
              <w:keepLines w:val="0"/>
              <w:widowControl/>
              <w:suppressLineNumbers w:val="0"/>
              <w:jc w:val="left"/>
              <w:rPr>
                <w:rFonts w:hint="default" w:ascii="Times New Roman" w:hAnsi="Times New Roman" w:eastAsia="宋体" w:cs="Times New Roman"/>
                <w:bCs/>
                <w:kern w:val="2"/>
                <w:sz w:val="24"/>
                <w:szCs w:val="24"/>
                <w:lang w:val="en-US" w:eastAsia="zh-CN" w:bidi="ar-SA"/>
              </w:rPr>
            </w:pPr>
            <w:r>
              <w:rPr>
                <w:rFonts w:hint="default" w:ascii="Times New Roman" w:hAnsi="Times New Roman" w:cs="Times New Roman"/>
                <w:color w:val="FF0000"/>
                <w:sz w:val="24"/>
                <w:lang w:val="en-US" w:eastAsia="zh-CN"/>
              </w:rPr>
              <w:t>根据海南州生态环境局2024年</w:t>
            </w:r>
            <w:r>
              <w:rPr>
                <w:rFonts w:hint="default" w:ascii="Times New Roman" w:hAnsi="Times New Roman" w:eastAsia="宋体" w:cs="Times New Roman"/>
                <w:bCs/>
                <w:kern w:val="2"/>
                <w:sz w:val="24"/>
                <w:szCs w:val="24"/>
                <w:lang w:val="en-US" w:eastAsia="zh-CN" w:bidi="ar-SA"/>
              </w:rPr>
              <w:t>6月21日发布的《2024年5月全州地表水环境质量状况》：“1、黄河干流：2024年5月，黄河干流总体水质优。龙羊峡水库湖心、龙羊峡库区出水口、贵德黄河大桥断面水质均为Ⅰ类，水质状况优。唐乃亥、龙羊峡水库入水口断面水质均为Ⅱ类，水质状况优。2、黄河支流：2024年5月，黄河上游支流巴曲河、曲什安河、芒拉河、西河渠、东河监测断面水质均达到或好于Ⅲ类。3、青海湖流域：青海湖入湖河流黑马河监测断面水质达到或好于Ⅲ类，水质优良。海南州暂时无州控地表水监测断面。”赛欠曲直接汇入黄河，黄河干流总体水质优，本项目所在地表水环境质量良好。</w:t>
            </w:r>
          </w:p>
          <w:p w14:paraId="2AD05414">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4、声环境质量现状</w:t>
            </w:r>
          </w:p>
          <w:p w14:paraId="4D1BB4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kern w:val="0"/>
                <w:szCs w:val="21"/>
                <w:lang w:val="en-US" w:eastAsia="zh-CN"/>
              </w:rPr>
            </w:pPr>
            <w:r>
              <w:rPr>
                <w:rFonts w:hint="default" w:ascii="Times New Roman" w:hAnsi="Times New Roman" w:cs="Times New Roman"/>
                <w:bCs/>
                <w:color w:val="auto"/>
                <w:sz w:val="24"/>
                <w:lang w:val="en-US" w:eastAsia="zh-CN"/>
              </w:rPr>
              <w:t>项目所在地属于偏远牧区，无集中居住区存在，项目周边无</w:t>
            </w:r>
            <w:r>
              <w:rPr>
                <w:rFonts w:hint="eastAsia" w:cs="Times New Roman"/>
                <w:bCs/>
                <w:color w:val="auto"/>
                <w:sz w:val="24"/>
                <w:lang w:val="en-US" w:eastAsia="zh-CN"/>
              </w:rPr>
              <w:t>工矿企业</w:t>
            </w:r>
            <w:r>
              <w:rPr>
                <w:rFonts w:hint="default" w:ascii="Times New Roman" w:hAnsi="Times New Roman" w:cs="Times New Roman"/>
                <w:bCs/>
                <w:color w:val="auto"/>
                <w:sz w:val="24"/>
                <w:lang w:val="en-US" w:eastAsia="zh-CN"/>
              </w:rPr>
              <w:t>存在，因此声环境基本保持本底值，质量良好。</w:t>
            </w:r>
          </w:p>
        </w:tc>
      </w:tr>
      <w:tr w14:paraId="7FC00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438" w:type="dxa"/>
            <w:noWrap w:val="0"/>
            <w:vAlign w:val="center"/>
          </w:tcPr>
          <w:p w14:paraId="2EA8E8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kern w:val="0"/>
                <w:sz w:val="21"/>
                <w:szCs w:val="21"/>
              </w:rPr>
            </w:pPr>
            <w:r>
              <w:rPr>
                <w:rFonts w:hint="default" w:ascii="Times New Roman" w:hAnsi="Times New Roman" w:cs="Times New Roman"/>
                <w:bCs/>
                <w:sz w:val="21"/>
                <w:szCs w:val="21"/>
              </w:rPr>
              <w:t>与项目有关的原有环境污染和生态破坏问题</w:t>
            </w:r>
          </w:p>
        </w:tc>
        <w:tc>
          <w:tcPr>
            <w:tcW w:w="9180" w:type="dxa"/>
            <w:noWrap w:val="0"/>
            <w:vAlign w:val="center"/>
          </w:tcPr>
          <w:p w14:paraId="7FBC75A4">
            <w:pPr>
              <w:spacing w:line="360" w:lineRule="auto"/>
              <w:ind w:firstLine="480" w:firstLineChars="200"/>
              <w:jc w:val="both"/>
              <w:rPr>
                <w:rFonts w:hint="default" w:ascii="Times New Roman" w:hAnsi="Times New Roman" w:eastAsia="宋体" w:cs="Times New Roman"/>
                <w:kern w:val="0"/>
                <w:szCs w:val="21"/>
                <w:lang w:val="en-US" w:eastAsia="zh-CN"/>
              </w:rPr>
            </w:pPr>
            <w:r>
              <w:rPr>
                <w:rFonts w:hint="default" w:ascii="Times New Roman" w:hAnsi="Times New Roman" w:cs="Times New Roman"/>
                <w:color w:val="000000"/>
                <w:sz w:val="24"/>
              </w:rPr>
              <w:t>项目为新建项目，根据现场调查，矿区</w:t>
            </w:r>
            <w:r>
              <w:rPr>
                <w:rFonts w:hint="default" w:ascii="Times New Roman" w:hAnsi="Times New Roman" w:cs="Times New Roman"/>
                <w:color w:val="000000"/>
                <w:sz w:val="24"/>
                <w:lang w:val="en-US" w:eastAsia="zh-CN"/>
              </w:rPr>
              <w:t>有一处牧民修建的老旧砖瓦房和彩钢房，牧民现已搬迁，待项目动工时将拆除，拆除后的建筑垃圾能回收利用的回收利用，不能回收的用于场地平整</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该区域待矿区闭矿后进行统一植被恢复治理。</w:t>
            </w:r>
          </w:p>
        </w:tc>
      </w:tr>
      <w:tr w14:paraId="67404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438" w:type="dxa"/>
            <w:noWrap w:val="0"/>
            <w:vAlign w:val="center"/>
          </w:tcPr>
          <w:p w14:paraId="55F857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生态环境保护目标</w:t>
            </w:r>
          </w:p>
        </w:tc>
        <w:tc>
          <w:tcPr>
            <w:tcW w:w="9180" w:type="dxa"/>
            <w:noWrap w:val="0"/>
            <w:vAlign w:val="center"/>
          </w:tcPr>
          <w:p w14:paraId="67E9E7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kern w:val="0"/>
                <w:sz w:val="24"/>
                <w:szCs w:val="24"/>
                <w:lang w:val="en-US"/>
              </w:rPr>
            </w:pPr>
            <w:r>
              <w:rPr>
                <w:rFonts w:hint="default" w:ascii="Times New Roman" w:hAnsi="Times New Roman" w:eastAsia="宋体" w:cs="Times New Roman"/>
                <w:bCs/>
                <w:kern w:val="0"/>
                <w:sz w:val="24"/>
                <w:szCs w:val="24"/>
                <w:lang w:val="en-US" w:eastAsia="zh-CN"/>
              </w:rPr>
              <w:t>矿区周边人烟稀少，工农业极不发达，矿区西侧临近G227</w:t>
            </w:r>
            <w:r>
              <w:rPr>
                <w:rFonts w:hint="default" w:ascii="Times New Roman" w:hAnsi="Times New Roman" w:cs="Times New Roman"/>
                <w:bCs/>
                <w:kern w:val="0"/>
                <w:sz w:val="24"/>
                <w:szCs w:val="24"/>
                <w:lang w:val="en-US" w:eastAsia="zh-CN"/>
              </w:rPr>
              <w:t>（西久公路101省道）</w:t>
            </w:r>
            <w:r>
              <w:rPr>
                <w:rFonts w:hint="default" w:ascii="Times New Roman" w:hAnsi="Times New Roman" w:eastAsia="宋体" w:cs="Times New Roman"/>
                <w:bCs/>
                <w:kern w:val="0"/>
                <w:sz w:val="24"/>
                <w:szCs w:val="24"/>
                <w:lang w:val="en-US" w:eastAsia="zh-CN"/>
              </w:rPr>
              <w:t>直线距离约1.3km，矿区与</w:t>
            </w:r>
            <w:r>
              <w:rPr>
                <w:rFonts w:hint="default" w:ascii="Times New Roman" w:hAnsi="Times New Roman" w:cs="Times New Roman"/>
                <w:bCs/>
                <w:kern w:val="0"/>
                <w:sz w:val="24"/>
                <w:szCs w:val="24"/>
                <w:lang w:val="en-US" w:eastAsia="zh-CN"/>
              </w:rPr>
              <w:t>G227</w:t>
            </w:r>
            <w:r>
              <w:rPr>
                <w:rFonts w:hint="default" w:ascii="Times New Roman" w:hAnsi="Times New Roman" w:eastAsia="宋体" w:cs="Times New Roman"/>
                <w:bCs/>
                <w:kern w:val="0"/>
                <w:sz w:val="24"/>
                <w:szCs w:val="24"/>
                <w:lang w:val="en-US" w:eastAsia="zh-CN"/>
              </w:rPr>
              <w:t>之间有乡村道路相通；</w:t>
            </w:r>
            <w:r>
              <w:rPr>
                <w:rFonts w:hint="default" w:ascii="Times New Roman" w:hAnsi="Times New Roman" w:eastAsia="宋体" w:cs="Times New Roman"/>
                <w:bCs/>
                <w:color w:val="FF0000"/>
                <w:kern w:val="0"/>
                <w:sz w:val="24"/>
                <w:szCs w:val="24"/>
                <w:lang w:val="en-US" w:eastAsia="zh-CN"/>
              </w:rPr>
              <w:t>经调查，本项目与G1816高速公路最近直线距离约</w:t>
            </w:r>
            <w:r>
              <w:rPr>
                <w:rFonts w:hint="eastAsia" w:cs="Times New Roman"/>
                <w:bCs/>
                <w:color w:val="FF0000"/>
                <w:kern w:val="0"/>
                <w:sz w:val="24"/>
                <w:szCs w:val="24"/>
                <w:lang w:val="en-US" w:eastAsia="zh-CN"/>
              </w:rPr>
              <w:t>700</w:t>
            </w:r>
            <w:r>
              <w:rPr>
                <w:rFonts w:hint="default" w:ascii="Times New Roman" w:hAnsi="Times New Roman" w:eastAsia="宋体" w:cs="Times New Roman"/>
                <w:bCs/>
                <w:color w:val="FF0000"/>
                <w:kern w:val="0"/>
                <w:sz w:val="24"/>
                <w:szCs w:val="24"/>
                <w:lang w:val="en-US" w:eastAsia="zh-CN"/>
              </w:rPr>
              <w:t>0m，且数座山体相隔，具体位置关系见附图</w:t>
            </w:r>
            <w:r>
              <w:rPr>
                <w:rFonts w:hint="default" w:ascii="Times New Roman" w:hAnsi="Times New Roman" w:cs="Times New Roman"/>
                <w:bCs/>
                <w:color w:val="FF0000"/>
                <w:kern w:val="0"/>
                <w:sz w:val="24"/>
                <w:szCs w:val="24"/>
                <w:lang w:val="en-US" w:eastAsia="zh-CN"/>
              </w:rPr>
              <w:t>。</w:t>
            </w:r>
            <w:r>
              <w:rPr>
                <w:rFonts w:hint="default" w:ascii="Times New Roman" w:hAnsi="Times New Roman" w:eastAsia="宋体" w:cs="Times New Roman"/>
                <w:bCs/>
                <w:kern w:val="0"/>
                <w:sz w:val="24"/>
                <w:szCs w:val="24"/>
                <w:lang w:val="en-US" w:eastAsia="zh-CN"/>
              </w:rPr>
              <w:t>矿山周边5km范围内无</w:t>
            </w:r>
            <w:r>
              <w:rPr>
                <w:rFonts w:hint="eastAsia" w:cs="Times New Roman"/>
                <w:bCs/>
                <w:kern w:val="0"/>
                <w:sz w:val="24"/>
                <w:szCs w:val="24"/>
                <w:lang w:val="en-US" w:eastAsia="zh-CN"/>
              </w:rPr>
              <w:t>常住居民</w:t>
            </w:r>
            <w:r>
              <w:rPr>
                <w:rFonts w:hint="default" w:ascii="Times New Roman" w:hAnsi="Times New Roman" w:eastAsia="宋体" w:cs="Times New Roman"/>
                <w:bCs/>
                <w:kern w:val="0"/>
                <w:sz w:val="24"/>
                <w:szCs w:val="24"/>
                <w:lang w:val="en-US" w:eastAsia="zh-CN"/>
              </w:rPr>
              <w:t>，仅在矿区南侧、西南侧分布有</w:t>
            </w:r>
            <w:r>
              <w:rPr>
                <w:rFonts w:hint="eastAsia" w:cs="Times New Roman"/>
                <w:bCs/>
                <w:kern w:val="0"/>
                <w:sz w:val="24"/>
                <w:szCs w:val="24"/>
                <w:lang w:val="en-US" w:eastAsia="zh-CN"/>
              </w:rPr>
              <w:t>几户</w:t>
            </w:r>
            <w:r>
              <w:rPr>
                <w:rFonts w:hint="default" w:ascii="Times New Roman" w:hAnsi="Times New Roman" w:eastAsia="宋体" w:cs="Times New Roman"/>
                <w:bCs/>
                <w:kern w:val="0"/>
                <w:sz w:val="24"/>
                <w:szCs w:val="24"/>
                <w:lang w:val="en-US" w:eastAsia="zh-CN"/>
              </w:rPr>
              <w:t>牧民修建砖瓦房，放牧期内有牧民居住，最近的牧民距离厂界约1000m，厂界西南侧约300m处有一养殖场</w:t>
            </w:r>
            <w:r>
              <w:rPr>
                <w:rFonts w:hint="default" w:ascii="Times New Roman" w:hAnsi="Times New Roman" w:cs="Times New Roman"/>
                <w:bCs/>
                <w:kern w:val="0"/>
                <w:sz w:val="24"/>
                <w:szCs w:val="24"/>
                <w:lang w:val="en-US" w:eastAsia="zh-CN"/>
              </w:rPr>
              <w:t>，</w:t>
            </w:r>
            <w:r>
              <w:rPr>
                <w:rFonts w:hint="default" w:ascii="Times New Roman" w:hAnsi="Times New Roman" w:cs="Times New Roman"/>
                <w:bCs/>
                <w:color w:val="FF0000"/>
                <w:kern w:val="0"/>
                <w:sz w:val="24"/>
                <w:szCs w:val="24"/>
                <w:lang w:val="en-US" w:eastAsia="zh-CN"/>
              </w:rPr>
              <w:t>大气环境评价范围500m内无保护目标</w:t>
            </w:r>
            <w:r>
              <w:rPr>
                <w:rFonts w:hint="default" w:ascii="Times New Roman" w:hAnsi="Times New Roman" w:eastAsia="宋体" w:cs="Times New Roman"/>
                <w:bCs/>
                <w:kern w:val="0"/>
                <w:sz w:val="24"/>
                <w:szCs w:val="24"/>
                <w:lang w:val="en-US" w:eastAsia="zh-CN"/>
              </w:rPr>
              <w:t>。</w:t>
            </w:r>
            <w:r>
              <w:rPr>
                <w:rFonts w:hint="default" w:ascii="Times New Roman" w:hAnsi="Times New Roman" w:cs="Times New Roman"/>
                <w:bCs/>
                <w:kern w:val="0"/>
                <w:sz w:val="24"/>
                <w:szCs w:val="24"/>
                <w:lang w:val="en-US" w:eastAsia="zh-CN"/>
              </w:rPr>
              <w:t>根据项目区环境特征和项目排污特征，项目主要生态环境保护目标见下表。</w:t>
            </w:r>
          </w:p>
          <w:p w14:paraId="2CA0039C">
            <w:pPr>
              <w:pStyle w:val="5"/>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3-2</w:t>
            </w:r>
            <w:r>
              <w:rPr>
                <w:rFonts w:hint="default" w:ascii="Times New Roman" w:hAnsi="Times New Roman" w:cs="Times New Roman"/>
              </w:rPr>
              <w:t xml:space="preserve">  项目主要</w:t>
            </w:r>
            <w:r>
              <w:rPr>
                <w:rFonts w:hint="default" w:ascii="Times New Roman" w:hAnsi="Times New Roman" w:cs="Times New Roman"/>
                <w:lang w:val="en-US" w:eastAsia="zh-CN"/>
              </w:rPr>
              <w:t>生态</w:t>
            </w:r>
            <w:r>
              <w:rPr>
                <w:rFonts w:hint="default" w:ascii="Times New Roman" w:hAnsi="Times New Roman" w:cs="Times New Roman"/>
              </w:rPr>
              <w:t>环境保护目标一览表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068"/>
              <w:gridCol w:w="2333"/>
              <w:gridCol w:w="2104"/>
              <w:gridCol w:w="3452"/>
            </w:tblGrid>
            <w:tr w14:paraId="5786BD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blHeader/>
                <w:jc w:val="center"/>
              </w:trPr>
              <w:tc>
                <w:tcPr>
                  <w:tcW w:w="596" w:type="pct"/>
                  <w:tcBorders>
                    <w:tl2br w:val="nil"/>
                    <w:tr2bl w:val="nil"/>
                  </w:tcBorders>
                  <w:noWrap w:val="0"/>
                  <w:vAlign w:val="center"/>
                </w:tcPr>
                <w:p w14:paraId="054247F4">
                  <w:pPr>
                    <w:pStyle w:val="47"/>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环境要素</w:t>
                  </w:r>
                </w:p>
              </w:tc>
              <w:tc>
                <w:tcPr>
                  <w:tcW w:w="1302" w:type="pct"/>
                  <w:tcBorders>
                    <w:tl2br w:val="nil"/>
                    <w:tr2bl w:val="nil"/>
                  </w:tcBorders>
                  <w:noWrap w:val="0"/>
                  <w:vAlign w:val="center"/>
                </w:tcPr>
                <w:p w14:paraId="45FA2A8E">
                  <w:pPr>
                    <w:pStyle w:val="47"/>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保护目标</w:t>
                  </w:r>
                </w:p>
              </w:tc>
              <w:tc>
                <w:tcPr>
                  <w:tcW w:w="1174" w:type="pct"/>
                  <w:tcBorders>
                    <w:tl2br w:val="nil"/>
                    <w:tr2bl w:val="nil"/>
                  </w:tcBorders>
                  <w:noWrap w:val="0"/>
                  <w:vAlign w:val="center"/>
                </w:tcPr>
                <w:p w14:paraId="36FAFFE2">
                  <w:pPr>
                    <w:pStyle w:val="47"/>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与本项目位置关系</w:t>
                  </w:r>
                </w:p>
              </w:tc>
              <w:tc>
                <w:tcPr>
                  <w:tcW w:w="1926" w:type="pct"/>
                  <w:tcBorders>
                    <w:tl2br w:val="nil"/>
                    <w:tr2bl w:val="nil"/>
                  </w:tcBorders>
                  <w:noWrap w:val="0"/>
                  <w:vAlign w:val="center"/>
                </w:tcPr>
                <w:p w14:paraId="62AA8F83">
                  <w:pPr>
                    <w:pStyle w:val="47"/>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保护要求</w:t>
                  </w:r>
                </w:p>
              </w:tc>
            </w:tr>
            <w:tr w14:paraId="0D6BB8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blHeader/>
                <w:jc w:val="center"/>
              </w:trPr>
              <w:tc>
                <w:tcPr>
                  <w:tcW w:w="596" w:type="pct"/>
                  <w:tcBorders>
                    <w:tl2br w:val="nil"/>
                    <w:tr2bl w:val="nil"/>
                  </w:tcBorders>
                  <w:noWrap w:val="0"/>
                  <w:vAlign w:val="center"/>
                </w:tcPr>
                <w:p w14:paraId="16AA5AD5">
                  <w:pPr>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生态</w:t>
                  </w:r>
                </w:p>
                <w:p w14:paraId="08F9B67D">
                  <w:pPr>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环境</w:t>
                  </w:r>
                </w:p>
              </w:tc>
              <w:tc>
                <w:tcPr>
                  <w:tcW w:w="1302" w:type="pct"/>
                  <w:tcBorders>
                    <w:tl2br w:val="nil"/>
                    <w:tr2bl w:val="nil"/>
                  </w:tcBorders>
                  <w:noWrap w:val="0"/>
                  <w:vAlign w:val="center"/>
                </w:tcPr>
                <w:p w14:paraId="4C1CDCC9">
                  <w:pPr>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矿区内</w:t>
                  </w:r>
                  <w:r>
                    <w:rPr>
                      <w:rFonts w:hint="default" w:ascii="Times New Roman" w:hAnsi="Times New Roman" w:cs="Times New Roman"/>
                      <w:bCs/>
                      <w:color w:val="000000"/>
                      <w:sz w:val="21"/>
                      <w:szCs w:val="21"/>
                      <w:lang w:val="en-US" w:eastAsia="zh-CN"/>
                    </w:rPr>
                    <w:t>及红线附近</w:t>
                  </w:r>
                  <w:r>
                    <w:rPr>
                      <w:rFonts w:hint="default" w:ascii="Times New Roman" w:hAnsi="Times New Roman" w:cs="Times New Roman"/>
                      <w:bCs/>
                      <w:color w:val="000000"/>
                      <w:sz w:val="21"/>
                      <w:szCs w:val="21"/>
                    </w:rPr>
                    <w:t>植被、土壤、动植物</w:t>
                  </w:r>
                </w:p>
              </w:tc>
              <w:tc>
                <w:tcPr>
                  <w:tcW w:w="1174" w:type="pct"/>
                  <w:tcBorders>
                    <w:tl2br w:val="nil"/>
                    <w:tr2bl w:val="nil"/>
                  </w:tcBorders>
                  <w:noWrap w:val="0"/>
                  <w:vAlign w:val="center"/>
                </w:tcPr>
                <w:p w14:paraId="73A0043A">
                  <w:pPr>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评价范围内</w:t>
                  </w:r>
                </w:p>
              </w:tc>
              <w:tc>
                <w:tcPr>
                  <w:tcW w:w="1926" w:type="pct"/>
                  <w:tcBorders>
                    <w:tl2br w:val="nil"/>
                    <w:tr2bl w:val="nil"/>
                  </w:tcBorders>
                  <w:noWrap w:val="0"/>
                  <w:vAlign w:val="center"/>
                </w:tcPr>
                <w:p w14:paraId="26CBFDB0">
                  <w:pPr>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不降低原来的植被覆盖率，维持区域生态系统完整性和多样性</w:t>
                  </w:r>
                </w:p>
              </w:tc>
            </w:tr>
            <w:tr w14:paraId="59ACDB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blHeader/>
                <w:jc w:val="center"/>
              </w:trPr>
              <w:tc>
                <w:tcPr>
                  <w:tcW w:w="596" w:type="pct"/>
                  <w:tcBorders>
                    <w:tl2br w:val="nil"/>
                    <w:tr2bl w:val="nil"/>
                  </w:tcBorders>
                  <w:noWrap w:val="0"/>
                  <w:vAlign w:val="center"/>
                </w:tcPr>
                <w:p w14:paraId="0C9CCEC9">
                  <w:pPr>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地表水环境</w:t>
                  </w:r>
                </w:p>
              </w:tc>
              <w:tc>
                <w:tcPr>
                  <w:tcW w:w="1302" w:type="pct"/>
                  <w:tcBorders>
                    <w:tl2br w:val="nil"/>
                    <w:tr2bl w:val="nil"/>
                  </w:tcBorders>
                  <w:noWrap w:val="0"/>
                  <w:vAlign w:val="center"/>
                </w:tcPr>
                <w:p w14:paraId="7D297F50">
                  <w:pPr>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赛欠曲</w:t>
                  </w:r>
                </w:p>
              </w:tc>
              <w:tc>
                <w:tcPr>
                  <w:tcW w:w="1174" w:type="pct"/>
                  <w:tcBorders>
                    <w:tl2br w:val="nil"/>
                    <w:tr2bl w:val="nil"/>
                  </w:tcBorders>
                  <w:noWrap w:val="0"/>
                  <w:vAlign w:val="center"/>
                </w:tcPr>
                <w:p w14:paraId="4D55E98A">
                  <w:pPr>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南侧约800m</w:t>
                  </w:r>
                </w:p>
              </w:tc>
              <w:tc>
                <w:tcPr>
                  <w:tcW w:w="1926" w:type="pct"/>
                  <w:tcBorders>
                    <w:tl2br w:val="nil"/>
                    <w:tr2bl w:val="nil"/>
                  </w:tcBorders>
                  <w:noWrap w:val="0"/>
                  <w:vAlign w:val="center"/>
                </w:tcPr>
                <w:p w14:paraId="1F6C953C">
                  <w:pPr>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color w:val="auto"/>
                      <w:sz w:val="21"/>
                      <w:szCs w:val="21"/>
                    </w:rPr>
                    <w:t>《地表水环境质量标准》（GB3838-2002）</w:t>
                  </w:r>
                  <w:r>
                    <w:rPr>
                      <w:rFonts w:hint="default" w:ascii="Times New Roman" w:hAnsi="Times New Roman" w:eastAsia="宋体" w:cs="Times New Roman"/>
                      <w:sz w:val="21"/>
                      <w:szCs w:val="21"/>
                      <w:lang w:val="en-US" w:eastAsia="zh-CN"/>
                    </w:rPr>
                    <w:t>Ⅰ</w:t>
                  </w:r>
                  <w:r>
                    <w:rPr>
                      <w:rFonts w:hint="default" w:ascii="Times New Roman" w:hAnsi="Times New Roman" w:cs="Times New Roman"/>
                      <w:color w:val="auto"/>
                      <w:sz w:val="21"/>
                      <w:szCs w:val="21"/>
                    </w:rPr>
                    <w:t>类标准</w:t>
                  </w:r>
                </w:p>
              </w:tc>
            </w:tr>
          </w:tbl>
          <w:p w14:paraId="4249CB54">
            <w:pPr>
              <w:pStyle w:val="19"/>
              <w:rPr>
                <w:rFonts w:hint="default" w:ascii="Times New Roman" w:hAnsi="Times New Roman" w:cs="Times New Roman"/>
                <w:kern w:val="0"/>
                <w:szCs w:val="21"/>
              </w:rPr>
            </w:pPr>
          </w:p>
        </w:tc>
      </w:tr>
      <w:tr w14:paraId="6CC12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438" w:type="dxa"/>
            <w:noWrap w:val="0"/>
            <w:vAlign w:val="center"/>
          </w:tcPr>
          <w:p w14:paraId="48BC14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评价</w:t>
            </w:r>
          </w:p>
          <w:p w14:paraId="11972F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标准</w:t>
            </w:r>
          </w:p>
        </w:tc>
        <w:tc>
          <w:tcPr>
            <w:tcW w:w="9180" w:type="dxa"/>
            <w:noWrap w:val="0"/>
            <w:vAlign w:val="center"/>
          </w:tcPr>
          <w:p w14:paraId="3AA558B5">
            <w:pPr>
              <w:pStyle w:val="4"/>
              <w:bidi w:val="0"/>
              <w:rPr>
                <w:rFonts w:hint="default" w:ascii="Times New Roman" w:hAnsi="Times New Roman" w:cs="Times New Roman"/>
              </w:rPr>
            </w:pPr>
            <w:bookmarkStart w:id="7" w:name="_Toc14224"/>
            <w:bookmarkStart w:id="8" w:name="_Toc17476"/>
            <w:bookmarkStart w:id="9" w:name="_Toc16300"/>
            <w:r>
              <w:rPr>
                <w:rFonts w:hint="default" w:ascii="Times New Roman" w:hAnsi="Times New Roman" w:cs="Times New Roman"/>
                <w:lang w:val="en-US" w:eastAsia="zh-CN"/>
              </w:rPr>
              <w:t>1、</w:t>
            </w:r>
            <w:r>
              <w:rPr>
                <w:rFonts w:hint="default" w:ascii="Times New Roman" w:hAnsi="Times New Roman" w:cs="Times New Roman"/>
              </w:rPr>
              <w:t>环境质量标准</w:t>
            </w:r>
            <w:bookmarkEnd w:id="7"/>
            <w:bookmarkEnd w:id="8"/>
            <w:bookmarkEnd w:id="9"/>
          </w:p>
          <w:p w14:paraId="56D9F349">
            <w:pPr>
              <w:keepNext w:val="0"/>
              <w:keepLines/>
              <w:pageBreakBefore w:val="0"/>
              <w:widowControl w:val="0"/>
              <w:kinsoku/>
              <w:wordWrap/>
              <w:overflowPunct/>
              <w:topLinePunct w:val="0"/>
              <w:bidi w:val="0"/>
              <w:spacing w:line="360" w:lineRule="auto"/>
              <w:ind w:firstLine="482"/>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环境空气</w:t>
            </w:r>
          </w:p>
          <w:p w14:paraId="7BAFF83C">
            <w:pPr>
              <w:keepNext w:val="0"/>
              <w:keepLines/>
              <w:pageBreakBefore w:val="0"/>
              <w:widowControl w:val="0"/>
              <w:kinsoku/>
              <w:wordWrap/>
              <w:overflowPunct/>
              <w:topLinePunct w:val="0"/>
              <w:bidi w:val="0"/>
              <w:spacing w:line="360" w:lineRule="auto"/>
              <w:ind w:firstLine="482"/>
              <w:textAlignment w:val="auto"/>
              <w:rPr>
                <w:rFonts w:hint="default" w:ascii="Times New Roman" w:hAnsi="Times New Roman" w:cs="Times New Roman"/>
                <w:color w:val="auto"/>
              </w:rPr>
            </w:pPr>
            <w:r>
              <w:rPr>
                <w:rFonts w:hint="default" w:ascii="Times New Roman" w:hAnsi="Times New Roman" w:cs="Times New Roman"/>
                <w:color w:val="auto"/>
                <w:sz w:val="24"/>
              </w:rPr>
              <w:t>该拟建项目所在区为大气环境</w:t>
            </w:r>
            <w:r>
              <w:rPr>
                <w:rFonts w:hint="default" w:ascii="Times New Roman" w:hAnsi="Times New Roman" w:cs="Times New Roman"/>
                <w:color w:val="auto"/>
                <w:sz w:val="24"/>
                <w:lang w:val="en-US" w:eastAsia="zh-CN"/>
              </w:rPr>
              <w:t>二</w:t>
            </w:r>
            <w:r>
              <w:rPr>
                <w:rFonts w:hint="default" w:ascii="Times New Roman" w:hAnsi="Times New Roman" w:cs="Times New Roman"/>
                <w:color w:val="auto"/>
                <w:sz w:val="24"/>
              </w:rPr>
              <w:t>类功能区，环境空气质量执行《环境空气质量标准》（GB3095-2012）中</w:t>
            </w:r>
            <w:r>
              <w:rPr>
                <w:rFonts w:hint="default" w:ascii="Times New Roman" w:hAnsi="Times New Roman" w:cs="Times New Roman"/>
                <w:color w:val="auto"/>
                <w:sz w:val="24"/>
                <w:lang w:val="en-US" w:eastAsia="zh-CN"/>
              </w:rPr>
              <w:t>二</w:t>
            </w:r>
            <w:r>
              <w:rPr>
                <w:rFonts w:hint="default" w:ascii="Times New Roman" w:hAnsi="Times New Roman" w:cs="Times New Roman"/>
                <w:color w:val="auto"/>
                <w:sz w:val="24"/>
              </w:rPr>
              <w:t>级标准，标准限值如下表所示。</w:t>
            </w:r>
          </w:p>
          <w:p w14:paraId="79231B38">
            <w:pPr>
              <w:pStyle w:val="5"/>
              <w:bidi w:val="0"/>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3</w:t>
            </w:r>
            <w:r>
              <w:rPr>
                <w:rFonts w:hint="default" w:ascii="Times New Roman" w:hAnsi="Times New Roman" w:cs="Times New Roman"/>
              </w:rPr>
              <w:t xml:space="preserve">  环境空气质量标准  单位：μg/m</w:t>
            </w:r>
            <w:r>
              <w:rPr>
                <w:rFonts w:hint="default" w:ascii="Times New Roman" w:hAnsi="Times New Roman" w:cs="Times New Roman"/>
                <w:vertAlign w:val="superscript"/>
              </w:rPr>
              <w:t>3</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2540"/>
              <w:gridCol w:w="1660"/>
              <w:gridCol w:w="1162"/>
              <w:gridCol w:w="2305"/>
            </w:tblGrid>
            <w:tr w14:paraId="3125E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tcBorders>
                    <w:tl2br w:val="nil"/>
                    <w:tr2bl w:val="nil"/>
                  </w:tcBorders>
                  <w:noWrap w:val="0"/>
                  <w:vAlign w:val="center"/>
                </w:tcPr>
                <w:p w14:paraId="4BB2B3BD">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项目因子</w:t>
                  </w:r>
                </w:p>
              </w:tc>
              <w:tc>
                <w:tcPr>
                  <w:tcW w:w="1417" w:type="pct"/>
                  <w:tcBorders>
                    <w:tl2br w:val="nil"/>
                    <w:tr2bl w:val="nil"/>
                  </w:tcBorders>
                  <w:noWrap w:val="0"/>
                  <w:vAlign w:val="center"/>
                </w:tcPr>
                <w:p w14:paraId="38122470">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平均时间</w:t>
                  </w:r>
                </w:p>
              </w:tc>
              <w:tc>
                <w:tcPr>
                  <w:tcW w:w="926" w:type="pct"/>
                  <w:tcBorders>
                    <w:tl2br w:val="nil"/>
                    <w:tr2bl w:val="nil"/>
                  </w:tcBorders>
                  <w:noWrap w:val="0"/>
                  <w:vAlign w:val="center"/>
                </w:tcPr>
                <w:p w14:paraId="2C96EF5B">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浓度限值</w:t>
                  </w:r>
                </w:p>
              </w:tc>
              <w:tc>
                <w:tcPr>
                  <w:tcW w:w="648" w:type="pct"/>
                  <w:tcBorders>
                    <w:tl2br w:val="nil"/>
                    <w:tr2bl w:val="nil"/>
                  </w:tcBorders>
                  <w:noWrap w:val="0"/>
                  <w:vAlign w:val="center"/>
                </w:tcPr>
                <w:p w14:paraId="3D80DF30">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c>
                <w:tcPr>
                  <w:tcW w:w="1285" w:type="pct"/>
                  <w:tcBorders>
                    <w:tl2br w:val="nil"/>
                    <w:tr2bl w:val="nil"/>
                  </w:tcBorders>
                  <w:noWrap w:val="0"/>
                  <w:vAlign w:val="center"/>
                </w:tcPr>
                <w:p w14:paraId="14C33EA7">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r>
            <w:tr w14:paraId="1D7B9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restart"/>
                  <w:tcBorders>
                    <w:tl2br w:val="nil"/>
                    <w:tr2bl w:val="nil"/>
                  </w:tcBorders>
                  <w:noWrap w:val="0"/>
                  <w:vAlign w:val="center"/>
                </w:tcPr>
                <w:p w14:paraId="192FE493">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SO</w:t>
                  </w:r>
                  <w:r>
                    <w:rPr>
                      <w:rFonts w:hint="default" w:ascii="Times New Roman" w:hAnsi="Times New Roman" w:cs="Times New Roman"/>
                      <w:color w:val="auto"/>
                      <w:spacing w:val="4"/>
                      <w:sz w:val="21"/>
                      <w:szCs w:val="21"/>
                      <w:vertAlign w:val="subscript"/>
                    </w:rPr>
                    <w:t>2</w:t>
                  </w:r>
                </w:p>
              </w:tc>
              <w:tc>
                <w:tcPr>
                  <w:tcW w:w="1417" w:type="pct"/>
                  <w:tcBorders>
                    <w:tl2br w:val="nil"/>
                    <w:tr2bl w:val="nil"/>
                  </w:tcBorders>
                  <w:noWrap w:val="0"/>
                  <w:vAlign w:val="center"/>
                </w:tcPr>
                <w:p w14:paraId="66236B63">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年平均</w:t>
                  </w:r>
                </w:p>
              </w:tc>
              <w:tc>
                <w:tcPr>
                  <w:tcW w:w="926" w:type="pct"/>
                  <w:tcBorders>
                    <w:tl2br w:val="nil"/>
                    <w:tr2bl w:val="nil"/>
                  </w:tcBorders>
                  <w:noWrap w:val="0"/>
                  <w:vAlign w:val="center"/>
                </w:tcPr>
                <w:p w14:paraId="15856163">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20</w:t>
                  </w:r>
                </w:p>
              </w:tc>
              <w:tc>
                <w:tcPr>
                  <w:tcW w:w="648" w:type="pct"/>
                  <w:vMerge w:val="restart"/>
                  <w:tcBorders>
                    <w:tl2br w:val="nil"/>
                    <w:tr2bl w:val="nil"/>
                  </w:tcBorders>
                  <w:noWrap w:val="0"/>
                  <w:vAlign w:val="center"/>
                </w:tcPr>
                <w:p w14:paraId="289E369F">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lang w:eastAsia="zh-CN"/>
                    </w:rPr>
                    <w:t>μg/m</w:t>
                  </w:r>
                  <w:r>
                    <w:rPr>
                      <w:rFonts w:hint="default" w:ascii="Times New Roman" w:hAnsi="Times New Roman" w:cs="Times New Roman"/>
                      <w:color w:val="auto"/>
                      <w:sz w:val="21"/>
                      <w:szCs w:val="21"/>
                      <w:vertAlign w:val="superscript"/>
                      <w:lang w:eastAsia="zh-CN"/>
                    </w:rPr>
                    <w:t>3</w:t>
                  </w:r>
                </w:p>
              </w:tc>
              <w:tc>
                <w:tcPr>
                  <w:tcW w:w="1285" w:type="pct"/>
                  <w:vMerge w:val="restart"/>
                  <w:tcBorders>
                    <w:tl2br w:val="nil"/>
                    <w:tr2bl w:val="nil"/>
                  </w:tcBorders>
                  <w:noWrap w:val="0"/>
                  <w:vAlign w:val="center"/>
                </w:tcPr>
                <w:p w14:paraId="6EFFA267">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《环境空气质量标准》（GB3095-2012）</w:t>
                  </w:r>
                </w:p>
              </w:tc>
            </w:tr>
            <w:tr w14:paraId="3ABC8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continue"/>
                  <w:tcBorders>
                    <w:tl2br w:val="nil"/>
                    <w:tr2bl w:val="nil"/>
                  </w:tcBorders>
                  <w:noWrap w:val="0"/>
                  <w:vAlign w:val="center"/>
                </w:tcPr>
                <w:p w14:paraId="528EB839">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c>
                <w:tcPr>
                  <w:tcW w:w="1417" w:type="pct"/>
                  <w:tcBorders>
                    <w:tl2br w:val="nil"/>
                    <w:tr2bl w:val="nil"/>
                  </w:tcBorders>
                  <w:noWrap w:val="0"/>
                  <w:vAlign w:val="center"/>
                </w:tcPr>
                <w:p w14:paraId="55BA5280">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tcBorders>
                    <w:tl2br w:val="nil"/>
                    <w:tr2bl w:val="nil"/>
                  </w:tcBorders>
                  <w:noWrap w:val="0"/>
                  <w:vAlign w:val="center"/>
                </w:tcPr>
                <w:p w14:paraId="5A37E7EC">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50</w:t>
                  </w:r>
                </w:p>
              </w:tc>
              <w:tc>
                <w:tcPr>
                  <w:tcW w:w="648" w:type="pct"/>
                  <w:vMerge w:val="continue"/>
                  <w:tcBorders>
                    <w:tl2br w:val="nil"/>
                    <w:tr2bl w:val="nil"/>
                  </w:tcBorders>
                  <w:noWrap w:val="0"/>
                  <w:vAlign w:val="center"/>
                </w:tcPr>
                <w:p w14:paraId="1AA30E30">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60440DFC">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r>
            <w:tr w14:paraId="1EE82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continue"/>
                  <w:tcBorders>
                    <w:tl2br w:val="nil"/>
                    <w:tr2bl w:val="nil"/>
                  </w:tcBorders>
                  <w:noWrap w:val="0"/>
                  <w:vAlign w:val="center"/>
                </w:tcPr>
                <w:p w14:paraId="069E166D">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c>
                <w:tcPr>
                  <w:tcW w:w="1417" w:type="pct"/>
                  <w:tcBorders>
                    <w:tl2br w:val="nil"/>
                    <w:tr2bl w:val="nil"/>
                  </w:tcBorders>
                  <w:noWrap w:val="0"/>
                  <w:vAlign w:val="center"/>
                </w:tcPr>
                <w:p w14:paraId="1AC56AD5">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1小时平均</w:t>
                  </w:r>
                </w:p>
              </w:tc>
              <w:tc>
                <w:tcPr>
                  <w:tcW w:w="926" w:type="pct"/>
                  <w:tcBorders>
                    <w:tl2br w:val="nil"/>
                    <w:tr2bl w:val="nil"/>
                  </w:tcBorders>
                  <w:noWrap w:val="0"/>
                  <w:vAlign w:val="center"/>
                </w:tcPr>
                <w:p w14:paraId="4F593680">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lang w:val="en-US" w:eastAsia="zh-CN"/>
                    </w:rPr>
                    <w:t>15</w:t>
                  </w:r>
                  <w:r>
                    <w:rPr>
                      <w:rFonts w:hint="default" w:ascii="Times New Roman" w:hAnsi="Times New Roman" w:cs="Times New Roman"/>
                      <w:color w:val="auto"/>
                      <w:spacing w:val="4"/>
                      <w:sz w:val="21"/>
                      <w:szCs w:val="21"/>
                    </w:rPr>
                    <w:t>0</w:t>
                  </w:r>
                </w:p>
              </w:tc>
              <w:tc>
                <w:tcPr>
                  <w:tcW w:w="648" w:type="pct"/>
                  <w:vMerge w:val="continue"/>
                  <w:tcBorders>
                    <w:tl2br w:val="nil"/>
                    <w:tr2bl w:val="nil"/>
                  </w:tcBorders>
                  <w:noWrap w:val="0"/>
                  <w:vAlign w:val="center"/>
                </w:tcPr>
                <w:p w14:paraId="333DA363">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0508F8E3">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r>
            <w:tr w14:paraId="6A645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restart"/>
                  <w:tcBorders>
                    <w:tl2br w:val="nil"/>
                    <w:tr2bl w:val="nil"/>
                  </w:tcBorders>
                  <w:noWrap w:val="0"/>
                  <w:vAlign w:val="center"/>
                </w:tcPr>
                <w:p w14:paraId="10383486">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NO</w:t>
                  </w:r>
                  <w:r>
                    <w:rPr>
                      <w:rFonts w:hint="default" w:ascii="Times New Roman" w:hAnsi="Times New Roman" w:cs="Times New Roman"/>
                      <w:color w:val="auto"/>
                      <w:spacing w:val="4"/>
                      <w:sz w:val="21"/>
                      <w:szCs w:val="21"/>
                      <w:vertAlign w:val="subscript"/>
                    </w:rPr>
                    <w:t>2</w:t>
                  </w:r>
                </w:p>
              </w:tc>
              <w:tc>
                <w:tcPr>
                  <w:tcW w:w="1417" w:type="pct"/>
                  <w:tcBorders>
                    <w:tl2br w:val="nil"/>
                    <w:tr2bl w:val="nil"/>
                  </w:tcBorders>
                  <w:noWrap w:val="0"/>
                  <w:vAlign w:val="center"/>
                </w:tcPr>
                <w:p w14:paraId="41EA2D3C">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年平均</w:t>
                  </w:r>
                </w:p>
              </w:tc>
              <w:tc>
                <w:tcPr>
                  <w:tcW w:w="926" w:type="pct"/>
                  <w:tcBorders>
                    <w:tl2br w:val="nil"/>
                    <w:tr2bl w:val="nil"/>
                  </w:tcBorders>
                  <w:noWrap w:val="0"/>
                  <w:vAlign w:val="center"/>
                </w:tcPr>
                <w:p w14:paraId="0311120A">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40</w:t>
                  </w:r>
                </w:p>
              </w:tc>
              <w:tc>
                <w:tcPr>
                  <w:tcW w:w="648" w:type="pct"/>
                  <w:vMerge w:val="continue"/>
                  <w:tcBorders>
                    <w:tl2br w:val="nil"/>
                    <w:tr2bl w:val="nil"/>
                  </w:tcBorders>
                  <w:noWrap w:val="0"/>
                  <w:vAlign w:val="center"/>
                </w:tcPr>
                <w:p w14:paraId="23022BB5">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61EAA365">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r>
            <w:tr w14:paraId="5DC45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continue"/>
                  <w:tcBorders>
                    <w:tl2br w:val="nil"/>
                    <w:tr2bl w:val="nil"/>
                  </w:tcBorders>
                  <w:noWrap w:val="0"/>
                  <w:vAlign w:val="center"/>
                </w:tcPr>
                <w:p w14:paraId="5C1791C0">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c>
                <w:tcPr>
                  <w:tcW w:w="1417" w:type="pct"/>
                  <w:tcBorders>
                    <w:tl2br w:val="nil"/>
                    <w:tr2bl w:val="nil"/>
                  </w:tcBorders>
                  <w:noWrap w:val="0"/>
                  <w:vAlign w:val="center"/>
                </w:tcPr>
                <w:p w14:paraId="476D5BAB">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tcBorders>
                    <w:tl2br w:val="nil"/>
                    <w:tr2bl w:val="nil"/>
                  </w:tcBorders>
                  <w:noWrap w:val="0"/>
                  <w:vAlign w:val="center"/>
                </w:tcPr>
                <w:p w14:paraId="4982AD34">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80</w:t>
                  </w:r>
                </w:p>
              </w:tc>
              <w:tc>
                <w:tcPr>
                  <w:tcW w:w="648" w:type="pct"/>
                  <w:vMerge w:val="continue"/>
                  <w:tcBorders>
                    <w:tl2br w:val="nil"/>
                    <w:tr2bl w:val="nil"/>
                  </w:tcBorders>
                  <w:noWrap w:val="0"/>
                  <w:vAlign w:val="center"/>
                </w:tcPr>
                <w:p w14:paraId="2463F649">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5D1EBB8F">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r>
            <w:tr w14:paraId="5CAE0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continue"/>
                  <w:tcBorders>
                    <w:tl2br w:val="nil"/>
                    <w:tr2bl w:val="nil"/>
                  </w:tcBorders>
                  <w:noWrap w:val="0"/>
                  <w:vAlign w:val="center"/>
                </w:tcPr>
                <w:p w14:paraId="6EDBAAC9">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c>
                <w:tcPr>
                  <w:tcW w:w="1417" w:type="pct"/>
                  <w:tcBorders>
                    <w:tl2br w:val="nil"/>
                    <w:tr2bl w:val="nil"/>
                  </w:tcBorders>
                  <w:noWrap w:val="0"/>
                  <w:vAlign w:val="center"/>
                </w:tcPr>
                <w:p w14:paraId="63683FD2">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1小时平均</w:t>
                  </w:r>
                </w:p>
              </w:tc>
              <w:tc>
                <w:tcPr>
                  <w:tcW w:w="926" w:type="pct"/>
                  <w:tcBorders>
                    <w:tl2br w:val="nil"/>
                    <w:tr2bl w:val="nil"/>
                  </w:tcBorders>
                  <w:noWrap w:val="0"/>
                  <w:vAlign w:val="center"/>
                </w:tcPr>
                <w:p w14:paraId="666A92A4">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200</w:t>
                  </w:r>
                </w:p>
              </w:tc>
              <w:tc>
                <w:tcPr>
                  <w:tcW w:w="648" w:type="pct"/>
                  <w:vMerge w:val="continue"/>
                  <w:tcBorders>
                    <w:tl2br w:val="nil"/>
                    <w:tr2bl w:val="nil"/>
                  </w:tcBorders>
                  <w:noWrap w:val="0"/>
                  <w:vAlign w:val="center"/>
                </w:tcPr>
                <w:p w14:paraId="4A6061BD">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289C37BC">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r w14:paraId="585F7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restart"/>
                  <w:tcBorders>
                    <w:tl2br w:val="nil"/>
                    <w:tr2bl w:val="nil"/>
                  </w:tcBorders>
                  <w:noWrap w:val="0"/>
                  <w:vAlign w:val="center"/>
                </w:tcPr>
                <w:p w14:paraId="7406B8F9">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PM</w:t>
                  </w:r>
                  <w:r>
                    <w:rPr>
                      <w:rFonts w:hint="default" w:ascii="Times New Roman" w:hAnsi="Times New Roman" w:cs="Times New Roman"/>
                      <w:color w:val="auto"/>
                      <w:spacing w:val="4"/>
                      <w:sz w:val="21"/>
                      <w:szCs w:val="21"/>
                      <w:vertAlign w:val="subscript"/>
                    </w:rPr>
                    <w:t>10</w:t>
                  </w:r>
                </w:p>
              </w:tc>
              <w:tc>
                <w:tcPr>
                  <w:tcW w:w="1417" w:type="pct"/>
                  <w:tcBorders>
                    <w:tl2br w:val="nil"/>
                    <w:tr2bl w:val="nil"/>
                  </w:tcBorders>
                  <w:noWrap w:val="0"/>
                  <w:vAlign w:val="center"/>
                </w:tcPr>
                <w:p w14:paraId="6F3D37EB">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年平均</w:t>
                  </w:r>
                </w:p>
              </w:tc>
              <w:tc>
                <w:tcPr>
                  <w:tcW w:w="926" w:type="pct"/>
                  <w:tcBorders>
                    <w:tl2br w:val="nil"/>
                    <w:tr2bl w:val="nil"/>
                  </w:tcBorders>
                  <w:noWrap w:val="0"/>
                  <w:vAlign w:val="center"/>
                </w:tcPr>
                <w:p w14:paraId="2FA9C5D9">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40</w:t>
                  </w:r>
                </w:p>
              </w:tc>
              <w:tc>
                <w:tcPr>
                  <w:tcW w:w="648" w:type="pct"/>
                  <w:vMerge w:val="continue"/>
                  <w:tcBorders>
                    <w:tl2br w:val="nil"/>
                    <w:tr2bl w:val="nil"/>
                  </w:tcBorders>
                  <w:noWrap w:val="0"/>
                  <w:vAlign w:val="center"/>
                </w:tcPr>
                <w:p w14:paraId="1EA9E3FA">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3A670412">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r w14:paraId="2E66B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continue"/>
                  <w:tcBorders>
                    <w:tl2br w:val="nil"/>
                    <w:tr2bl w:val="nil"/>
                  </w:tcBorders>
                  <w:noWrap w:val="0"/>
                  <w:vAlign w:val="center"/>
                </w:tcPr>
                <w:p w14:paraId="79C4378F">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c>
                <w:tcPr>
                  <w:tcW w:w="1417" w:type="pct"/>
                  <w:tcBorders>
                    <w:tl2br w:val="nil"/>
                    <w:tr2bl w:val="nil"/>
                  </w:tcBorders>
                  <w:noWrap w:val="0"/>
                  <w:vAlign w:val="center"/>
                </w:tcPr>
                <w:p w14:paraId="2F5493F9">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tcBorders>
                    <w:tl2br w:val="nil"/>
                    <w:tr2bl w:val="nil"/>
                  </w:tcBorders>
                  <w:noWrap w:val="0"/>
                  <w:vAlign w:val="center"/>
                </w:tcPr>
                <w:p w14:paraId="3E54C020">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50</w:t>
                  </w:r>
                </w:p>
              </w:tc>
              <w:tc>
                <w:tcPr>
                  <w:tcW w:w="648" w:type="pct"/>
                  <w:vMerge w:val="continue"/>
                  <w:tcBorders>
                    <w:tl2br w:val="nil"/>
                    <w:tr2bl w:val="nil"/>
                  </w:tcBorders>
                  <w:noWrap w:val="0"/>
                  <w:vAlign w:val="center"/>
                </w:tcPr>
                <w:p w14:paraId="26D97852">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125D395C">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r w14:paraId="19B6A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restart"/>
                  <w:tcBorders>
                    <w:tl2br w:val="nil"/>
                    <w:tr2bl w:val="nil"/>
                  </w:tcBorders>
                  <w:noWrap w:val="0"/>
                  <w:vAlign w:val="center"/>
                </w:tcPr>
                <w:p w14:paraId="287610F5">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PM</w:t>
                  </w:r>
                  <w:r>
                    <w:rPr>
                      <w:rFonts w:hint="default" w:ascii="Times New Roman" w:hAnsi="Times New Roman" w:cs="Times New Roman"/>
                      <w:color w:val="auto"/>
                      <w:spacing w:val="4"/>
                      <w:sz w:val="21"/>
                      <w:szCs w:val="21"/>
                      <w:vertAlign w:val="subscript"/>
                    </w:rPr>
                    <w:t>2.5</w:t>
                  </w:r>
                </w:p>
              </w:tc>
              <w:tc>
                <w:tcPr>
                  <w:tcW w:w="1417" w:type="pct"/>
                  <w:tcBorders>
                    <w:tl2br w:val="nil"/>
                    <w:tr2bl w:val="nil"/>
                  </w:tcBorders>
                  <w:noWrap w:val="0"/>
                  <w:vAlign w:val="center"/>
                </w:tcPr>
                <w:p w14:paraId="5D8ACC8D">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年平均</w:t>
                  </w:r>
                </w:p>
              </w:tc>
              <w:tc>
                <w:tcPr>
                  <w:tcW w:w="926" w:type="pct"/>
                  <w:tcBorders>
                    <w:tl2br w:val="nil"/>
                    <w:tr2bl w:val="nil"/>
                  </w:tcBorders>
                  <w:noWrap w:val="0"/>
                  <w:vAlign w:val="center"/>
                </w:tcPr>
                <w:p w14:paraId="46087A79">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15</w:t>
                  </w:r>
                </w:p>
              </w:tc>
              <w:tc>
                <w:tcPr>
                  <w:tcW w:w="648" w:type="pct"/>
                  <w:vMerge w:val="continue"/>
                  <w:tcBorders>
                    <w:tl2br w:val="nil"/>
                    <w:tr2bl w:val="nil"/>
                  </w:tcBorders>
                  <w:noWrap w:val="0"/>
                  <w:vAlign w:val="center"/>
                </w:tcPr>
                <w:p w14:paraId="1BB48080">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25DA1C8F">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r w14:paraId="725734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continue"/>
                  <w:tcBorders>
                    <w:tl2br w:val="nil"/>
                    <w:tr2bl w:val="nil"/>
                  </w:tcBorders>
                  <w:noWrap w:val="0"/>
                  <w:vAlign w:val="center"/>
                </w:tcPr>
                <w:p w14:paraId="3E5300E2">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c>
                <w:tcPr>
                  <w:tcW w:w="1417" w:type="pct"/>
                  <w:tcBorders>
                    <w:tl2br w:val="nil"/>
                    <w:tr2bl w:val="nil"/>
                  </w:tcBorders>
                  <w:noWrap w:val="0"/>
                  <w:vAlign w:val="center"/>
                </w:tcPr>
                <w:p w14:paraId="1CAC5803">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tcBorders>
                    <w:tl2br w:val="nil"/>
                    <w:tr2bl w:val="nil"/>
                  </w:tcBorders>
                  <w:noWrap w:val="0"/>
                  <w:vAlign w:val="center"/>
                </w:tcPr>
                <w:p w14:paraId="102FAEC7">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35</w:t>
                  </w:r>
                </w:p>
              </w:tc>
              <w:tc>
                <w:tcPr>
                  <w:tcW w:w="648" w:type="pct"/>
                  <w:vMerge w:val="continue"/>
                  <w:tcBorders>
                    <w:tl2br w:val="nil"/>
                    <w:tr2bl w:val="nil"/>
                  </w:tcBorders>
                  <w:noWrap w:val="0"/>
                  <w:vAlign w:val="center"/>
                </w:tcPr>
                <w:p w14:paraId="50C38A91">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20CD81CD">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r w14:paraId="6E184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restart"/>
                  <w:tcBorders>
                    <w:tl2br w:val="nil"/>
                    <w:tr2bl w:val="nil"/>
                  </w:tcBorders>
                  <w:noWrap w:val="0"/>
                  <w:vAlign w:val="center"/>
                </w:tcPr>
                <w:p w14:paraId="6853FD80">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417" w:type="pct"/>
                  <w:tcBorders>
                    <w:tl2br w:val="nil"/>
                    <w:tr2bl w:val="nil"/>
                  </w:tcBorders>
                  <w:noWrap w:val="0"/>
                  <w:vAlign w:val="center"/>
                </w:tcPr>
                <w:p w14:paraId="2BBF8379">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日最大8小时平均</w:t>
                  </w:r>
                </w:p>
              </w:tc>
              <w:tc>
                <w:tcPr>
                  <w:tcW w:w="926" w:type="pct"/>
                  <w:tcBorders>
                    <w:tl2br w:val="nil"/>
                    <w:tr2bl w:val="nil"/>
                  </w:tcBorders>
                  <w:noWrap w:val="0"/>
                  <w:vAlign w:val="center"/>
                </w:tcPr>
                <w:p w14:paraId="77554386">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100</w:t>
                  </w:r>
                </w:p>
              </w:tc>
              <w:tc>
                <w:tcPr>
                  <w:tcW w:w="648" w:type="pct"/>
                  <w:vMerge w:val="continue"/>
                  <w:tcBorders>
                    <w:tl2br w:val="nil"/>
                    <w:tr2bl w:val="nil"/>
                  </w:tcBorders>
                  <w:noWrap w:val="0"/>
                  <w:vAlign w:val="center"/>
                </w:tcPr>
                <w:p w14:paraId="3335C140">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5139B3EF">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r w14:paraId="32B5E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continue"/>
                  <w:tcBorders>
                    <w:tl2br w:val="nil"/>
                    <w:tr2bl w:val="nil"/>
                  </w:tcBorders>
                  <w:noWrap w:val="0"/>
                  <w:vAlign w:val="center"/>
                </w:tcPr>
                <w:p w14:paraId="7DDE1A63">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c>
                <w:tcPr>
                  <w:tcW w:w="1417" w:type="pct"/>
                  <w:tcBorders>
                    <w:tl2br w:val="nil"/>
                    <w:tr2bl w:val="nil"/>
                  </w:tcBorders>
                  <w:noWrap w:val="0"/>
                  <w:vAlign w:val="center"/>
                </w:tcPr>
                <w:p w14:paraId="23355244">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1小时平均</w:t>
                  </w:r>
                </w:p>
              </w:tc>
              <w:tc>
                <w:tcPr>
                  <w:tcW w:w="926" w:type="pct"/>
                  <w:tcBorders>
                    <w:tl2br w:val="nil"/>
                    <w:tr2bl w:val="nil"/>
                  </w:tcBorders>
                  <w:noWrap w:val="0"/>
                  <w:vAlign w:val="center"/>
                </w:tcPr>
                <w:p w14:paraId="280359B3">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160</w:t>
                  </w:r>
                </w:p>
              </w:tc>
              <w:tc>
                <w:tcPr>
                  <w:tcW w:w="648" w:type="pct"/>
                  <w:vMerge w:val="continue"/>
                  <w:tcBorders>
                    <w:tl2br w:val="nil"/>
                    <w:tr2bl w:val="nil"/>
                  </w:tcBorders>
                  <w:noWrap w:val="0"/>
                  <w:vAlign w:val="center"/>
                </w:tcPr>
                <w:p w14:paraId="5D74838E">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30146627">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r w14:paraId="3BAD3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24" w:type="pct"/>
                  <w:vMerge w:val="restart"/>
                  <w:tcBorders>
                    <w:tl2br w:val="nil"/>
                    <w:tr2bl w:val="nil"/>
                  </w:tcBorders>
                  <w:noWrap w:val="0"/>
                  <w:vAlign w:val="center"/>
                </w:tcPr>
                <w:p w14:paraId="528E57F9">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w:t>
                  </w:r>
                </w:p>
              </w:tc>
              <w:tc>
                <w:tcPr>
                  <w:tcW w:w="1417" w:type="pct"/>
                  <w:tcBorders>
                    <w:tl2br w:val="nil"/>
                    <w:tr2bl w:val="nil"/>
                  </w:tcBorders>
                  <w:noWrap w:val="0"/>
                  <w:vAlign w:val="center"/>
                </w:tcPr>
                <w:p w14:paraId="5B5B4E02">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年平均</w:t>
                  </w:r>
                </w:p>
              </w:tc>
              <w:tc>
                <w:tcPr>
                  <w:tcW w:w="926" w:type="pct"/>
                  <w:tcBorders>
                    <w:tl2br w:val="nil"/>
                    <w:tr2bl w:val="nil"/>
                  </w:tcBorders>
                  <w:noWrap w:val="0"/>
                  <w:vAlign w:val="center"/>
                </w:tcPr>
                <w:p w14:paraId="7863DE8D">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80</w:t>
                  </w:r>
                </w:p>
              </w:tc>
              <w:tc>
                <w:tcPr>
                  <w:tcW w:w="648" w:type="pct"/>
                  <w:vMerge w:val="continue"/>
                  <w:tcBorders>
                    <w:tl2br w:val="nil"/>
                    <w:tr2bl w:val="nil"/>
                  </w:tcBorders>
                  <w:noWrap w:val="0"/>
                  <w:vAlign w:val="center"/>
                </w:tcPr>
                <w:p w14:paraId="324E0998">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06F10E6E">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r w14:paraId="00E72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continue"/>
                  <w:tcBorders>
                    <w:tl2br w:val="nil"/>
                    <w:tr2bl w:val="nil"/>
                  </w:tcBorders>
                  <w:noWrap w:val="0"/>
                  <w:vAlign w:val="center"/>
                </w:tcPr>
                <w:p w14:paraId="66CF025C">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c>
                <w:tcPr>
                  <w:tcW w:w="1417" w:type="pct"/>
                  <w:tcBorders>
                    <w:tl2br w:val="nil"/>
                    <w:tr2bl w:val="nil"/>
                  </w:tcBorders>
                  <w:noWrap w:val="0"/>
                  <w:vAlign w:val="center"/>
                </w:tcPr>
                <w:p w14:paraId="15AD7F45">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tcBorders>
                    <w:tl2br w:val="nil"/>
                    <w:tr2bl w:val="nil"/>
                  </w:tcBorders>
                  <w:noWrap w:val="0"/>
                  <w:vAlign w:val="center"/>
                </w:tcPr>
                <w:p w14:paraId="146E59DE">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120</w:t>
                  </w:r>
                </w:p>
              </w:tc>
              <w:tc>
                <w:tcPr>
                  <w:tcW w:w="648" w:type="pct"/>
                  <w:vMerge w:val="continue"/>
                  <w:tcBorders>
                    <w:tl2br w:val="nil"/>
                    <w:tr2bl w:val="nil"/>
                  </w:tcBorders>
                  <w:noWrap w:val="0"/>
                  <w:vAlign w:val="center"/>
                </w:tcPr>
                <w:p w14:paraId="31A73C5A">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443588F9">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r w14:paraId="0BE32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restart"/>
                  <w:tcBorders>
                    <w:tl2br w:val="nil"/>
                    <w:tr2bl w:val="nil"/>
                  </w:tcBorders>
                  <w:noWrap w:val="0"/>
                  <w:vAlign w:val="center"/>
                </w:tcPr>
                <w:p w14:paraId="6D3A36AD">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417" w:type="pct"/>
                  <w:tcBorders>
                    <w:tl2br w:val="nil"/>
                    <w:tr2bl w:val="nil"/>
                  </w:tcBorders>
                  <w:noWrap w:val="0"/>
                  <w:vAlign w:val="center"/>
                </w:tcPr>
                <w:p w14:paraId="70674A91">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tcBorders>
                    <w:tl2br w:val="nil"/>
                    <w:tr2bl w:val="nil"/>
                  </w:tcBorders>
                  <w:noWrap w:val="0"/>
                  <w:vAlign w:val="center"/>
                </w:tcPr>
                <w:p w14:paraId="25D9721F">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4</w:t>
                  </w:r>
                </w:p>
              </w:tc>
              <w:tc>
                <w:tcPr>
                  <w:tcW w:w="648" w:type="pct"/>
                  <w:vMerge w:val="restart"/>
                  <w:tcBorders>
                    <w:tl2br w:val="nil"/>
                    <w:tr2bl w:val="nil"/>
                  </w:tcBorders>
                  <w:noWrap w:val="0"/>
                  <w:vAlign w:val="center"/>
                </w:tcPr>
                <w:p w14:paraId="5879AC9E">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285" w:type="pct"/>
                  <w:vMerge w:val="continue"/>
                  <w:tcBorders>
                    <w:tl2br w:val="nil"/>
                    <w:tr2bl w:val="nil"/>
                  </w:tcBorders>
                  <w:noWrap w:val="0"/>
                  <w:vAlign w:val="center"/>
                </w:tcPr>
                <w:p w14:paraId="7C00F528">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r w14:paraId="44633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4" w:type="pct"/>
                  <w:vMerge w:val="continue"/>
                  <w:tcBorders>
                    <w:tl2br w:val="nil"/>
                    <w:tr2bl w:val="nil"/>
                  </w:tcBorders>
                  <w:noWrap w:val="0"/>
                  <w:vAlign w:val="center"/>
                </w:tcPr>
                <w:p w14:paraId="28DBF7E4">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c>
                <w:tcPr>
                  <w:tcW w:w="1417" w:type="pct"/>
                  <w:tcBorders>
                    <w:tl2br w:val="nil"/>
                    <w:tr2bl w:val="nil"/>
                  </w:tcBorders>
                  <w:noWrap w:val="0"/>
                  <w:vAlign w:val="center"/>
                </w:tcPr>
                <w:p w14:paraId="41BA06DB">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1小时平均</w:t>
                  </w:r>
                </w:p>
              </w:tc>
              <w:tc>
                <w:tcPr>
                  <w:tcW w:w="926" w:type="pct"/>
                  <w:tcBorders>
                    <w:tl2br w:val="nil"/>
                    <w:tr2bl w:val="nil"/>
                  </w:tcBorders>
                  <w:noWrap w:val="0"/>
                  <w:vAlign w:val="center"/>
                </w:tcPr>
                <w:p w14:paraId="0802AFF7">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648" w:type="pct"/>
                  <w:vMerge w:val="continue"/>
                  <w:tcBorders>
                    <w:tl2br w:val="nil"/>
                    <w:tr2bl w:val="nil"/>
                  </w:tcBorders>
                  <w:noWrap w:val="0"/>
                  <w:vAlign w:val="center"/>
                </w:tcPr>
                <w:p w14:paraId="0FBC4E07">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pacing w:val="4"/>
                      <w:sz w:val="21"/>
                      <w:szCs w:val="21"/>
                    </w:rPr>
                  </w:pPr>
                </w:p>
              </w:tc>
              <w:tc>
                <w:tcPr>
                  <w:tcW w:w="1285" w:type="pct"/>
                  <w:vMerge w:val="continue"/>
                  <w:tcBorders>
                    <w:tl2br w:val="nil"/>
                    <w:tr2bl w:val="nil"/>
                  </w:tcBorders>
                  <w:noWrap w:val="0"/>
                  <w:vAlign w:val="center"/>
                </w:tcPr>
                <w:p w14:paraId="2ADB86AC">
                  <w:pPr>
                    <w:keepNext w:val="0"/>
                    <w:keepLines/>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p>
              </w:tc>
            </w:tr>
          </w:tbl>
          <w:p w14:paraId="7FA61C83">
            <w:pPr>
              <w:pStyle w:val="4"/>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水环境</w:t>
            </w:r>
          </w:p>
          <w:p w14:paraId="45E08BEF">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cs="Times New Roman"/>
                <w:sz w:val="24"/>
                <w:lang w:val="en-US" w:eastAsia="zh-CN"/>
              </w:rPr>
              <w:t>矿区西侧、东南侧分布有季节性沟谷</w:t>
            </w:r>
            <w:r>
              <w:rPr>
                <w:rFonts w:hint="default" w:ascii="Times New Roman" w:hAnsi="Times New Roman" w:eastAsia="宋体" w:cs="Times New Roman"/>
                <w:sz w:val="24"/>
                <w:lang w:val="en-US" w:eastAsia="zh-CN"/>
              </w:rPr>
              <w:t>，厂区南侧距离赛欠曲约800m，赛欠曲为黄河一级支流，水域为“源头-汇入黄河”属于Ⅰ类，</w:t>
            </w:r>
            <w:r>
              <w:rPr>
                <w:rFonts w:hint="default" w:ascii="Times New Roman" w:hAnsi="Times New Roman" w:eastAsia="宋体" w:cs="Times New Roman"/>
                <w:color w:val="auto"/>
                <w:sz w:val="24"/>
              </w:rPr>
              <w:t>执行《地表水环境质量标准》（GB3838-2002）中</w:t>
            </w:r>
            <w:r>
              <w:rPr>
                <w:rFonts w:hint="default" w:ascii="Times New Roman" w:hAnsi="Times New Roman" w:eastAsia="宋体" w:cs="Times New Roman"/>
                <w:sz w:val="24"/>
                <w:lang w:val="en-US" w:eastAsia="zh-CN"/>
              </w:rPr>
              <w:t>Ⅰ</w:t>
            </w:r>
            <w:r>
              <w:rPr>
                <w:rFonts w:hint="default" w:ascii="Times New Roman" w:hAnsi="Times New Roman" w:eastAsia="宋体" w:cs="Times New Roman"/>
                <w:color w:val="auto"/>
                <w:sz w:val="24"/>
              </w:rPr>
              <w:t>类标准，标准值见表3-</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w:t>
            </w:r>
          </w:p>
          <w:p w14:paraId="3750F532">
            <w:pPr>
              <w:pStyle w:val="5"/>
              <w:bidi w:val="0"/>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4</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地表水环境质量标准   单位：mg/L</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231"/>
              <w:gridCol w:w="1336"/>
              <w:gridCol w:w="1332"/>
              <w:gridCol w:w="1336"/>
              <w:gridCol w:w="1332"/>
              <w:gridCol w:w="1321"/>
            </w:tblGrid>
            <w:tr w14:paraId="05504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0" w:type="pct"/>
                  <w:tcBorders>
                    <w:tl2br w:val="nil"/>
                    <w:tr2bl w:val="nil"/>
                  </w:tcBorders>
                  <w:noWrap w:val="0"/>
                  <w:vAlign w:val="center"/>
                </w:tcPr>
                <w:p w14:paraId="5B730E9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687" w:type="pct"/>
                  <w:tcBorders>
                    <w:tl2br w:val="nil"/>
                    <w:tr2bl w:val="nil"/>
                  </w:tcBorders>
                  <w:noWrap w:val="0"/>
                  <w:vAlign w:val="center"/>
                </w:tcPr>
                <w:p w14:paraId="37D0CB9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pH值</w:t>
                  </w:r>
                </w:p>
              </w:tc>
              <w:tc>
                <w:tcPr>
                  <w:tcW w:w="745" w:type="pct"/>
                  <w:tcBorders>
                    <w:tl2br w:val="nil"/>
                    <w:tr2bl w:val="nil"/>
                  </w:tcBorders>
                  <w:noWrap w:val="0"/>
                  <w:vAlign w:val="center"/>
                </w:tcPr>
                <w:p w14:paraId="152DAB8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COD</w:t>
                  </w:r>
                </w:p>
              </w:tc>
              <w:tc>
                <w:tcPr>
                  <w:tcW w:w="743" w:type="pct"/>
                  <w:tcBorders>
                    <w:tl2br w:val="nil"/>
                    <w:tr2bl w:val="nil"/>
                  </w:tcBorders>
                  <w:noWrap w:val="0"/>
                  <w:vAlign w:val="center"/>
                </w:tcPr>
                <w:p w14:paraId="589DE43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BOD</w:t>
                  </w:r>
                  <w:r>
                    <w:rPr>
                      <w:rFonts w:hint="default" w:ascii="Times New Roman" w:hAnsi="Times New Roman" w:cs="Times New Roman"/>
                      <w:b/>
                      <w:color w:val="auto"/>
                      <w:sz w:val="21"/>
                      <w:szCs w:val="21"/>
                      <w:vertAlign w:val="subscript"/>
                    </w:rPr>
                    <w:t>5</w:t>
                  </w:r>
                </w:p>
              </w:tc>
              <w:tc>
                <w:tcPr>
                  <w:tcW w:w="745" w:type="pct"/>
                  <w:tcBorders>
                    <w:tl2br w:val="nil"/>
                    <w:tr2bl w:val="nil"/>
                  </w:tcBorders>
                  <w:noWrap w:val="0"/>
                  <w:vAlign w:val="center"/>
                </w:tcPr>
                <w:p w14:paraId="0740FDC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TN</w:t>
                  </w:r>
                </w:p>
              </w:tc>
              <w:tc>
                <w:tcPr>
                  <w:tcW w:w="743" w:type="pct"/>
                  <w:tcBorders>
                    <w:tl2br w:val="nil"/>
                    <w:tr2bl w:val="nil"/>
                  </w:tcBorders>
                  <w:noWrap w:val="0"/>
                  <w:vAlign w:val="center"/>
                </w:tcPr>
                <w:p w14:paraId="47C8A9F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TP</w:t>
                  </w:r>
                </w:p>
              </w:tc>
              <w:tc>
                <w:tcPr>
                  <w:tcW w:w="736" w:type="pct"/>
                  <w:tcBorders>
                    <w:tl2br w:val="nil"/>
                    <w:tr2bl w:val="nil"/>
                  </w:tcBorders>
                  <w:noWrap w:val="0"/>
                  <w:vAlign w:val="center"/>
                </w:tcPr>
                <w:p w14:paraId="71857F9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NH</w:t>
                  </w:r>
                  <w:r>
                    <w:rPr>
                      <w:rFonts w:hint="default" w:ascii="Times New Roman" w:hAnsi="Times New Roman" w:cs="Times New Roman"/>
                      <w:b/>
                      <w:color w:val="auto"/>
                      <w:sz w:val="21"/>
                      <w:szCs w:val="21"/>
                      <w:vertAlign w:val="subscript"/>
                    </w:rPr>
                    <w:t>3</w:t>
                  </w:r>
                  <w:r>
                    <w:rPr>
                      <w:rFonts w:hint="default" w:ascii="Times New Roman" w:hAnsi="Times New Roman" w:cs="Times New Roman"/>
                      <w:b/>
                      <w:color w:val="auto"/>
                      <w:sz w:val="21"/>
                      <w:szCs w:val="21"/>
                    </w:rPr>
                    <w:t>-N</w:t>
                  </w:r>
                </w:p>
              </w:tc>
            </w:tr>
            <w:tr w14:paraId="14986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0" w:type="pct"/>
                  <w:tcBorders>
                    <w:tl2br w:val="nil"/>
                    <w:tr2bl w:val="nil"/>
                  </w:tcBorders>
                  <w:noWrap w:val="0"/>
                  <w:vAlign w:val="center"/>
                </w:tcPr>
                <w:p w14:paraId="753A200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sz w:val="21"/>
                      <w:szCs w:val="21"/>
                      <w:lang w:val="en-US" w:eastAsia="zh-CN"/>
                    </w:rPr>
                    <w:t>Ⅰ</w:t>
                  </w:r>
                  <w:r>
                    <w:rPr>
                      <w:rFonts w:hint="default" w:ascii="Times New Roman" w:hAnsi="Times New Roman" w:cs="Times New Roman"/>
                      <w:color w:val="auto"/>
                      <w:sz w:val="21"/>
                      <w:szCs w:val="21"/>
                    </w:rPr>
                    <w:t>类</w:t>
                  </w:r>
                </w:p>
              </w:tc>
              <w:tc>
                <w:tcPr>
                  <w:tcW w:w="687" w:type="pct"/>
                  <w:tcBorders>
                    <w:tl2br w:val="nil"/>
                    <w:tr2bl w:val="nil"/>
                  </w:tcBorders>
                  <w:noWrap w:val="0"/>
                  <w:vAlign w:val="center"/>
                </w:tcPr>
                <w:p w14:paraId="537C0A8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745" w:type="pct"/>
                  <w:tcBorders>
                    <w:tl2br w:val="nil"/>
                    <w:tr2bl w:val="nil"/>
                  </w:tcBorders>
                  <w:noWrap w:val="0"/>
                  <w:vAlign w:val="center"/>
                </w:tcPr>
                <w:p w14:paraId="16A2695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743" w:type="pct"/>
                  <w:tcBorders>
                    <w:tl2br w:val="nil"/>
                    <w:tr2bl w:val="nil"/>
                  </w:tcBorders>
                  <w:noWrap w:val="0"/>
                  <w:vAlign w:val="center"/>
                </w:tcPr>
                <w:p w14:paraId="200BD4B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45" w:type="pct"/>
                  <w:tcBorders>
                    <w:tl2br w:val="nil"/>
                    <w:tr2bl w:val="nil"/>
                  </w:tcBorders>
                  <w:noWrap w:val="0"/>
                  <w:vAlign w:val="center"/>
                </w:tcPr>
                <w:p w14:paraId="006A752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2</w:t>
                  </w:r>
                </w:p>
              </w:tc>
              <w:tc>
                <w:tcPr>
                  <w:tcW w:w="743" w:type="pct"/>
                  <w:tcBorders>
                    <w:tl2br w:val="nil"/>
                    <w:tr2bl w:val="nil"/>
                  </w:tcBorders>
                  <w:noWrap w:val="0"/>
                  <w:vAlign w:val="center"/>
                </w:tcPr>
                <w:p w14:paraId="2E14967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736" w:type="pct"/>
                  <w:tcBorders>
                    <w:tl2br w:val="nil"/>
                    <w:tr2bl w:val="nil"/>
                  </w:tcBorders>
                  <w:noWrap w:val="0"/>
                  <w:vAlign w:val="center"/>
                </w:tcPr>
                <w:p w14:paraId="25B7394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5</w:t>
                  </w:r>
                </w:p>
              </w:tc>
            </w:tr>
          </w:tbl>
          <w:p w14:paraId="6209071B">
            <w:pPr>
              <w:pStyle w:val="4"/>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声环境</w:t>
            </w:r>
          </w:p>
          <w:p w14:paraId="5CD1B3B8">
            <w:pPr>
              <w:keepNext w:val="0"/>
              <w:keepLines w:val="0"/>
              <w:widowControl/>
              <w:suppressLineNumbers w:val="0"/>
              <w:jc w:val="left"/>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根据《声环境质量标准》（GB3096-2008）中声环境功能区分类原则：</w:t>
            </w:r>
            <w:r>
              <w:rPr>
                <w:rFonts w:hint="eastAsia" w:ascii="Times New Roman" w:hAnsi="Times New Roman" w:eastAsia="宋体" w:cs="Times New Roman"/>
                <w:color w:val="FF0000"/>
                <w:sz w:val="24"/>
                <w:lang w:val="en-US" w:eastAsia="zh-CN"/>
              </w:rPr>
              <w:t>“</w:t>
            </w:r>
            <w:r>
              <w:rPr>
                <w:rFonts w:hint="default" w:ascii="Times New Roman" w:hAnsi="Times New Roman" w:eastAsia="宋体" w:cs="Times New Roman"/>
                <w:color w:val="FF0000"/>
                <w:sz w:val="24"/>
                <w:lang w:val="en-US" w:eastAsia="zh-CN"/>
              </w:rPr>
              <w:t>村庄原则上执行</w:t>
            </w:r>
            <w:r>
              <w:rPr>
                <w:rFonts w:hint="eastAsia" w:ascii="Times New Roman" w:hAnsi="Times New Roman" w:eastAsia="宋体" w:cs="Times New Roman"/>
                <w:color w:val="FF0000"/>
                <w:sz w:val="24"/>
                <w:lang w:val="en-US" w:eastAsia="zh-CN"/>
              </w:rPr>
              <w:t>1</w:t>
            </w:r>
            <w:r>
              <w:rPr>
                <w:rFonts w:hint="default" w:ascii="Times New Roman" w:hAnsi="Times New Roman" w:eastAsia="宋体" w:cs="Times New Roman"/>
                <w:color w:val="FF0000"/>
                <w:sz w:val="24"/>
                <w:lang w:val="en-US" w:eastAsia="zh-CN"/>
              </w:rPr>
              <w:t>类声环境功能区要求，工业活动较多的村庄以及有交通干线经过的村庄（指执行</w:t>
            </w:r>
            <w:r>
              <w:rPr>
                <w:rFonts w:hint="eastAsia" w:ascii="Times New Roman" w:hAnsi="Times New Roman" w:eastAsia="宋体" w:cs="Times New Roman"/>
                <w:color w:val="FF0000"/>
                <w:sz w:val="24"/>
                <w:lang w:val="en-US" w:eastAsia="zh-CN"/>
              </w:rPr>
              <w:t>4</w:t>
            </w:r>
            <w:r>
              <w:rPr>
                <w:rFonts w:hint="default" w:ascii="Times New Roman" w:hAnsi="Times New Roman" w:eastAsia="宋体" w:cs="Times New Roman"/>
                <w:color w:val="FF0000"/>
                <w:sz w:val="24"/>
                <w:lang w:val="en-US" w:eastAsia="zh-CN"/>
              </w:rPr>
              <w:t>类声环境功能区要求以外的地区）可局部或全部执行</w:t>
            </w:r>
            <w:r>
              <w:rPr>
                <w:rFonts w:hint="eastAsia" w:ascii="Times New Roman" w:hAnsi="Times New Roman" w:eastAsia="宋体" w:cs="Times New Roman"/>
                <w:color w:val="FF0000"/>
                <w:sz w:val="24"/>
                <w:lang w:val="en-US" w:eastAsia="zh-CN"/>
              </w:rPr>
              <w:t>2</w:t>
            </w:r>
            <w:r>
              <w:rPr>
                <w:rFonts w:hint="default" w:ascii="Times New Roman" w:hAnsi="Times New Roman" w:eastAsia="宋体" w:cs="Times New Roman"/>
                <w:color w:val="FF0000"/>
                <w:sz w:val="24"/>
                <w:lang w:val="en-US" w:eastAsia="zh-CN"/>
              </w:rPr>
              <w:t>类声环境功能区要求</w:t>
            </w:r>
            <w:r>
              <w:rPr>
                <w:rFonts w:hint="eastAsia" w:ascii="Times New Roman" w:hAnsi="Times New Roman" w:eastAsia="宋体" w:cs="Times New Roman"/>
                <w:color w:val="FF0000"/>
                <w:sz w:val="24"/>
                <w:lang w:val="en-US" w:eastAsia="zh-CN"/>
              </w:rPr>
              <w:t>”</w:t>
            </w:r>
            <w:r>
              <w:rPr>
                <w:rFonts w:hint="default" w:ascii="Times New Roman" w:hAnsi="Times New Roman" w:eastAsia="宋体" w:cs="Times New Roman"/>
                <w:color w:val="FF0000"/>
                <w:sz w:val="24"/>
                <w:lang w:val="en-US" w:eastAsia="zh-CN"/>
              </w:rPr>
              <w:t>，本项目声环境质量执行《声环境质量标准》（GB3096-2008）中2类标准要求。具体标准限值见下表。</w:t>
            </w:r>
          </w:p>
          <w:p w14:paraId="26A8C3A9">
            <w:pPr>
              <w:pStyle w:val="5"/>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表3-5  声环境质量标准    单位：dB（A）</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34"/>
              <w:gridCol w:w="2412"/>
              <w:gridCol w:w="2815"/>
            </w:tblGrid>
            <w:tr w14:paraId="3F037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083" w:type="pct"/>
                  <w:tcBorders>
                    <w:tl2br w:val="nil"/>
                    <w:tr2bl w:val="nil"/>
                  </w:tcBorders>
                  <w:noWrap w:val="0"/>
                  <w:vAlign w:val="center"/>
                </w:tcPr>
                <w:p w14:paraId="38A4842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声环境功能区类别</w:t>
                  </w:r>
                </w:p>
              </w:tc>
              <w:tc>
                <w:tcPr>
                  <w:tcW w:w="1346" w:type="pct"/>
                  <w:tcBorders>
                    <w:tl2br w:val="nil"/>
                    <w:tr2bl w:val="nil"/>
                  </w:tcBorders>
                  <w:noWrap w:val="0"/>
                  <w:vAlign w:val="center"/>
                </w:tcPr>
                <w:p w14:paraId="027570F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昼间</w:t>
                  </w:r>
                </w:p>
              </w:tc>
              <w:tc>
                <w:tcPr>
                  <w:tcW w:w="1570" w:type="pct"/>
                  <w:tcBorders>
                    <w:tl2br w:val="nil"/>
                    <w:tr2bl w:val="nil"/>
                  </w:tcBorders>
                  <w:noWrap w:val="0"/>
                  <w:vAlign w:val="center"/>
                </w:tcPr>
                <w:p w14:paraId="6CA18C8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夜间</w:t>
                  </w:r>
                </w:p>
              </w:tc>
            </w:tr>
            <w:tr w14:paraId="68910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083" w:type="pct"/>
                  <w:tcBorders>
                    <w:tl2br w:val="nil"/>
                    <w:tr2bl w:val="nil"/>
                  </w:tcBorders>
                  <w:noWrap w:val="0"/>
                  <w:vAlign w:val="center"/>
                </w:tcPr>
                <w:p w14:paraId="2614A9E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2</w:t>
                  </w:r>
                </w:p>
              </w:tc>
              <w:tc>
                <w:tcPr>
                  <w:tcW w:w="1346" w:type="pct"/>
                  <w:tcBorders>
                    <w:tl2br w:val="nil"/>
                    <w:tr2bl w:val="nil"/>
                  </w:tcBorders>
                  <w:noWrap w:val="0"/>
                  <w:vAlign w:val="center"/>
                </w:tcPr>
                <w:p w14:paraId="07DE6F7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60</w:t>
                  </w:r>
                </w:p>
              </w:tc>
              <w:tc>
                <w:tcPr>
                  <w:tcW w:w="1570" w:type="pct"/>
                  <w:tcBorders>
                    <w:tl2br w:val="nil"/>
                    <w:tr2bl w:val="nil"/>
                  </w:tcBorders>
                  <w:noWrap w:val="0"/>
                  <w:vAlign w:val="center"/>
                </w:tcPr>
                <w:p w14:paraId="32CDED5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50</w:t>
                  </w:r>
                </w:p>
              </w:tc>
            </w:tr>
          </w:tbl>
          <w:p w14:paraId="067B00C3">
            <w:pPr>
              <w:pStyle w:val="4"/>
              <w:bidi w:val="0"/>
              <w:rPr>
                <w:rFonts w:hint="default" w:ascii="Times New Roman" w:hAnsi="Times New Roman" w:cs="Times New Roman"/>
                <w:lang w:eastAsia="zh-CN"/>
              </w:rPr>
            </w:pPr>
            <w:bookmarkStart w:id="10" w:name="_Toc32018"/>
            <w:bookmarkStart w:id="11" w:name="_Toc20611"/>
            <w:r>
              <w:rPr>
                <w:rFonts w:hint="default" w:ascii="Times New Roman" w:hAnsi="Times New Roman" w:cs="Times New Roman"/>
                <w:lang w:val="en-US" w:eastAsia="zh-CN"/>
              </w:rPr>
              <w:t>（4）</w:t>
            </w:r>
            <w:r>
              <w:rPr>
                <w:rFonts w:hint="default" w:ascii="Times New Roman" w:hAnsi="Times New Roman" w:cs="Times New Roman"/>
                <w:lang w:eastAsia="zh-CN"/>
              </w:rPr>
              <w:t>生态环境</w:t>
            </w:r>
          </w:p>
          <w:p w14:paraId="240D4463">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依据《生态环境影响评价技术导则 生态影响》（HJ19-2022），以植被盖度、植被类型、种类和土壤等现状值作为生态评价技术指标。</w:t>
            </w:r>
          </w:p>
          <w:p w14:paraId="6F4BD5D2">
            <w:pPr>
              <w:pStyle w:val="5"/>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表3-6  生态环境现状</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7495"/>
            </w:tblGrid>
            <w:tr w14:paraId="36046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pct"/>
                  <w:tcBorders>
                    <w:tl2br w:val="nil"/>
                    <w:tr2bl w:val="nil"/>
                  </w:tcBorders>
                  <w:noWrap w:val="0"/>
                  <w:vAlign w:val="center"/>
                </w:tcPr>
                <w:p w14:paraId="29C8493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color w:val="FF0000"/>
                      <w:sz w:val="21"/>
                      <w:szCs w:val="21"/>
                      <w:lang w:val="en-US" w:eastAsia="zh-CN"/>
                    </w:rPr>
                  </w:pPr>
                  <w:r>
                    <w:rPr>
                      <w:rFonts w:hint="default" w:ascii="Times New Roman" w:hAnsi="Times New Roman" w:eastAsia="宋体" w:cs="Times New Roman"/>
                      <w:b/>
                      <w:bCs w:val="0"/>
                      <w:color w:val="FF0000"/>
                      <w:sz w:val="21"/>
                      <w:szCs w:val="21"/>
                      <w:lang w:val="en-US" w:eastAsia="zh-CN"/>
                    </w:rPr>
                    <w:t>生态因子</w:t>
                  </w:r>
                </w:p>
              </w:tc>
              <w:tc>
                <w:tcPr>
                  <w:tcW w:w="4183" w:type="pct"/>
                  <w:tcBorders>
                    <w:tl2br w:val="nil"/>
                    <w:tr2bl w:val="nil"/>
                  </w:tcBorders>
                  <w:noWrap w:val="0"/>
                  <w:vAlign w:val="center"/>
                </w:tcPr>
                <w:p w14:paraId="5DC550D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color w:val="FF0000"/>
                      <w:sz w:val="21"/>
                      <w:szCs w:val="21"/>
                      <w:lang w:val="en-US" w:eastAsia="zh-CN"/>
                    </w:rPr>
                  </w:pPr>
                  <w:r>
                    <w:rPr>
                      <w:rFonts w:hint="default" w:ascii="Times New Roman" w:hAnsi="Times New Roman" w:eastAsia="宋体" w:cs="Times New Roman"/>
                      <w:b/>
                      <w:bCs w:val="0"/>
                      <w:color w:val="FF0000"/>
                      <w:sz w:val="21"/>
                      <w:szCs w:val="21"/>
                      <w:lang w:val="en-US" w:eastAsia="zh-CN"/>
                    </w:rPr>
                    <w:t>生态环境现状</w:t>
                  </w:r>
                </w:p>
              </w:tc>
            </w:tr>
            <w:tr w14:paraId="1B7FE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pct"/>
                  <w:vMerge w:val="restart"/>
                  <w:tcBorders>
                    <w:tl2br w:val="nil"/>
                    <w:tr2bl w:val="nil"/>
                  </w:tcBorders>
                  <w:noWrap w:val="0"/>
                  <w:vAlign w:val="center"/>
                </w:tcPr>
                <w:p w14:paraId="013440E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植被覆盖度</w:t>
                  </w:r>
                </w:p>
              </w:tc>
              <w:tc>
                <w:tcPr>
                  <w:tcW w:w="4183" w:type="pct"/>
                  <w:tcBorders>
                    <w:tl2br w:val="nil"/>
                    <w:tr2bl w:val="nil"/>
                  </w:tcBorders>
                  <w:noWrap w:val="0"/>
                  <w:vAlign w:val="center"/>
                </w:tcPr>
                <w:p w14:paraId="071EFF4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矿区整体植被覆盖率约</w:t>
                  </w:r>
                  <w:r>
                    <w:rPr>
                      <w:rFonts w:hint="default" w:ascii="Times New Roman" w:hAnsi="Times New Roman" w:eastAsia="宋体" w:cs="Times New Roman"/>
                      <w:b w:val="0"/>
                      <w:bCs/>
                      <w:color w:val="FF0000"/>
                      <w:sz w:val="21"/>
                      <w:szCs w:val="21"/>
                      <w:lang w:val="en-US" w:eastAsia="zh-CN"/>
                    </w:rPr>
                    <w:t>55%</w:t>
                  </w:r>
                  <w:r>
                    <w:rPr>
                      <w:rFonts w:hint="eastAsia" w:ascii="Times New Roman" w:hAnsi="Times New Roman" w:eastAsia="宋体" w:cs="Times New Roman"/>
                      <w:b w:val="0"/>
                      <w:bCs/>
                      <w:color w:val="FF0000"/>
                      <w:sz w:val="21"/>
                      <w:szCs w:val="21"/>
                      <w:lang w:val="en-US" w:eastAsia="zh-CN"/>
                    </w:rPr>
                    <w:t>，植被覆盖度较高</w:t>
                  </w:r>
                </w:p>
              </w:tc>
            </w:tr>
            <w:tr w14:paraId="612FC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pct"/>
                  <w:vMerge w:val="continue"/>
                  <w:tcBorders>
                    <w:tl2br w:val="nil"/>
                    <w:tr2bl w:val="nil"/>
                  </w:tcBorders>
                  <w:noWrap w:val="0"/>
                  <w:vAlign w:val="center"/>
                </w:tcPr>
                <w:p w14:paraId="7378F96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4183" w:type="pct"/>
                  <w:tcBorders>
                    <w:tl2br w:val="nil"/>
                    <w:tr2bl w:val="nil"/>
                  </w:tcBorders>
                  <w:noWrap w:val="0"/>
                  <w:vAlign w:val="center"/>
                </w:tcPr>
                <w:p w14:paraId="6F17F69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cs="Times New Roman"/>
                      <w:b w:val="0"/>
                      <w:bCs/>
                      <w:color w:val="FF0000"/>
                      <w:sz w:val="21"/>
                      <w:szCs w:val="21"/>
                      <w:lang w:val="en-US" w:eastAsia="zh-CN"/>
                    </w:rPr>
                    <w:t>办公生活加工区</w:t>
                  </w:r>
                  <w:r>
                    <w:rPr>
                      <w:rFonts w:hint="default" w:ascii="Times New Roman" w:hAnsi="Times New Roman" w:eastAsia="宋体" w:cs="Times New Roman"/>
                      <w:b w:val="0"/>
                      <w:bCs/>
                      <w:color w:val="FF0000"/>
                      <w:sz w:val="21"/>
                      <w:szCs w:val="21"/>
                      <w:lang w:val="en-US" w:eastAsia="zh-CN"/>
                    </w:rPr>
                    <w:t>植被覆盖率约65%，植被覆盖度较高</w:t>
                  </w:r>
                </w:p>
              </w:tc>
            </w:tr>
            <w:tr w14:paraId="2D822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pct"/>
                  <w:vMerge w:val="restart"/>
                  <w:tcBorders>
                    <w:tl2br w:val="nil"/>
                    <w:tr2bl w:val="nil"/>
                  </w:tcBorders>
                  <w:noWrap w:val="0"/>
                  <w:vAlign w:val="center"/>
                </w:tcPr>
                <w:p w14:paraId="3E370F8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植被类型</w:t>
                  </w:r>
                </w:p>
              </w:tc>
              <w:tc>
                <w:tcPr>
                  <w:tcW w:w="4183" w:type="pct"/>
                  <w:tcBorders>
                    <w:tl2br w:val="nil"/>
                    <w:tr2bl w:val="nil"/>
                  </w:tcBorders>
                  <w:noWrap w:val="0"/>
                  <w:vAlign w:val="center"/>
                </w:tcPr>
                <w:p w14:paraId="2104B9A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矿区内植被类型主要以紫花针茅高山苔草草原为主</w:t>
                  </w:r>
                </w:p>
              </w:tc>
            </w:tr>
            <w:tr w14:paraId="71A7C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pct"/>
                  <w:vMerge w:val="continue"/>
                  <w:tcBorders>
                    <w:tl2br w:val="nil"/>
                    <w:tr2bl w:val="nil"/>
                  </w:tcBorders>
                  <w:noWrap w:val="0"/>
                  <w:vAlign w:val="center"/>
                </w:tcPr>
                <w:p w14:paraId="20EF4AE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4183" w:type="pct"/>
                  <w:tcBorders>
                    <w:tl2br w:val="nil"/>
                    <w:tr2bl w:val="nil"/>
                  </w:tcBorders>
                  <w:noWrap w:val="0"/>
                  <w:vAlign w:val="center"/>
                </w:tcPr>
                <w:p w14:paraId="438D380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加工区和办公生活区</w:t>
                  </w:r>
                  <w:r>
                    <w:rPr>
                      <w:rFonts w:hint="default" w:ascii="Times New Roman" w:hAnsi="Times New Roman" w:eastAsia="宋体" w:cs="Times New Roman"/>
                      <w:b w:val="0"/>
                      <w:bCs/>
                      <w:color w:val="FF0000"/>
                      <w:sz w:val="21"/>
                      <w:szCs w:val="21"/>
                      <w:lang w:val="en-US" w:eastAsia="zh-CN"/>
                    </w:rPr>
                    <w:t>内植被类型主要以高山苔草草原为主</w:t>
                  </w:r>
                </w:p>
              </w:tc>
            </w:tr>
            <w:tr w14:paraId="1B90C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pct"/>
                  <w:vMerge w:val="restart"/>
                  <w:tcBorders>
                    <w:tl2br w:val="nil"/>
                    <w:tr2bl w:val="nil"/>
                  </w:tcBorders>
                  <w:noWrap w:val="0"/>
                  <w:vAlign w:val="center"/>
                </w:tcPr>
                <w:p w14:paraId="7277EBF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植被种类</w:t>
                  </w:r>
                </w:p>
              </w:tc>
              <w:tc>
                <w:tcPr>
                  <w:tcW w:w="4183" w:type="pct"/>
                  <w:tcBorders>
                    <w:tl2br w:val="nil"/>
                    <w:tr2bl w:val="nil"/>
                  </w:tcBorders>
                  <w:noWrap w:val="0"/>
                  <w:vAlign w:val="center"/>
                </w:tcPr>
                <w:p w14:paraId="749C49C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现场调查时主要为草类植被主要为高山嵩草及针茅草，灌木植被主要为金露梅</w:t>
                  </w:r>
                </w:p>
              </w:tc>
            </w:tr>
            <w:tr w14:paraId="3E6E1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pct"/>
                  <w:vMerge w:val="continue"/>
                  <w:tcBorders>
                    <w:tl2br w:val="nil"/>
                    <w:tr2bl w:val="nil"/>
                  </w:tcBorders>
                  <w:noWrap w:val="0"/>
                  <w:vAlign w:val="center"/>
                </w:tcPr>
                <w:p w14:paraId="3873ABD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4183" w:type="pct"/>
                  <w:tcBorders>
                    <w:tl2br w:val="nil"/>
                    <w:tr2bl w:val="nil"/>
                  </w:tcBorders>
                  <w:noWrap w:val="0"/>
                  <w:vAlign w:val="center"/>
                </w:tcPr>
                <w:p w14:paraId="398C35D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现场调查时主要为草类植被主要为高山嵩草及针茅草</w:t>
                  </w:r>
                  <w:r>
                    <w:rPr>
                      <w:rFonts w:hint="eastAsia" w:cs="Times New Roman"/>
                      <w:b w:val="0"/>
                      <w:bCs/>
                      <w:color w:val="FF0000"/>
                      <w:sz w:val="21"/>
                      <w:szCs w:val="21"/>
                      <w:lang w:val="en-US" w:eastAsia="zh-CN"/>
                    </w:rPr>
                    <w:t>，冰草等</w:t>
                  </w:r>
                </w:p>
              </w:tc>
            </w:tr>
            <w:tr w14:paraId="4726F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pct"/>
                  <w:vMerge w:val="restart"/>
                  <w:tcBorders>
                    <w:tl2br w:val="nil"/>
                    <w:tr2bl w:val="nil"/>
                  </w:tcBorders>
                  <w:noWrap w:val="0"/>
                  <w:vAlign w:val="center"/>
                </w:tcPr>
                <w:p w14:paraId="33AD93F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土壤类型</w:t>
                  </w:r>
                </w:p>
              </w:tc>
              <w:tc>
                <w:tcPr>
                  <w:tcW w:w="4183" w:type="pct"/>
                  <w:tcBorders>
                    <w:tl2br w:val="nil"/>
                    <w:tr2bl w:val="nil"/>
                  </w:tcBorders>
                  <w:noWrap w:val="0"/>
                  <w:vAlign w:val="center"/>
                </w:tcPr>
                <w:p w14:paraId="790396B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cs="Times New Roman"/>
                      <w:b w:val="0"/>
                      <w:bCs/>
                      <w:color w:val="FF0000"/>
                      <w:sz w:val="21"/>
                      <w:szCs w:val="21"/>
                      <w:lang w:val="en-US" w:eastAsia="zh-CN"/>
                    </w:rPr>
                    <w:t>矿区</w:t>
                  </w:r>
                  <w:r>
                    <w:rPr>
                      <w:rFonts w:hint="default" w:ascii="Times New Roman" w:hAnsi="Times New Roman" w:eastAsia="宋体" w:cs="Times New Roman"/>
                      <w:b w:val="0"/>
                      <w:bCs/>
                      <w:color w:val="FF0000"/>
                      <w:sz w:val="21"/>
                      <w:szCs w:val="21"/>
                      <w:lang w:val="en-US" w:eastAsia="zh-CN"/>
                    </w:rPr>
                    <w:t>土壤类型为高山草甸土，分布于全区，土壤有机质含量丰富。高山草甸土有明显的腐殖质积聚，</w:t>
                  </w:r>
                  <w:r>
                    <w:rPr>
                      <w:rFonts w:hint="default" w:ascii="Times New Roman" w:hAnsi="Times New Roman" w:eastAsia="宋体" w:cs="Times New Roman"/>
                      <w:b w:val="0"/>
                      <w:bCs/>
                      <w:color w:val="0000FF"/>
                      <w:sz w:val="21"/>
                      <w:szCs w:val="21"/>
                      <w:lang w:val="en-US" w:eastAsia="zh-CN"/>
                    </w:rPr>
                    <w:t>腐殖质</w:t>
                  </w:r>
                  <w:r>
                    <w:rPr>
                      <w:rFonts w:hint="eastAsia" w:cs="Times New Roman"/>
                      <w:b w:val="0"/>
                      <w:bCs/>
                      <w:color w:val="0000FF"/>
                      <w:sz w:val="21"/>
                      <w:szCs w:val="21"/>
                      <w:lang w:val="en-US" w:eastAsia="zh-CN"/>
                    </w:rPr>
                    <w:t>层</w:t>
                  </w:r>
                  <w:r>
                    <w:rPr>
                      <w:rFonts w:hint="default" w:ascii="Times New Roman" w:hAnsi="Times New Roman" w:eastAsia="宋体" w:cs="Times New Roman"/>
                      <w:b w:val="0"/>
                      <w:bCs/>
                      <w:color w:val="0000FF"/>
                      <w:sz w:val="21"/>
                      <w:szCs w:val="21"/>
                      <w:lang w:val="en-US" w:eastAsia="zh-CN"/>
                    </w:rPr>
                    <w:t>厚8～20cm</w:t>
                  </w:r>
                  <w:r>
                    <w:rPr>
                      <w:rFonts w:hint="eastAsia" w:cs="Times New Roman"/>
                      <w:b w:val="0"/>
                      <w:bCs/>
                      <w:color w:val="0000FF"/>
                      <w:sz w:val="21"/>
                      <w:szCs w:val="21"/>
                      <w:lang w:val="en-US" w:eastAsia="zh-CN"/>
                    </w:rPr>
                    <w:t>，</w:t>
                  </w:r>
                  <w:r>
                    <w:rPr>
                      <w:rFonts w:hint="default" w:ascii="Times New Roman" w:hAnsi="Times New Roman" w:eastAsia="宋体" w:cs="Times New Roman"/>
                      <w:b w:val="0"/>
                      <w:bCs/>
                      <w:color w:val="0000FF"/>
                      <w:sz w:val="21"/>
                      <w:szCs w:val="21"/>
                      <w:lang w:val="en-US" w:eastAsia="zh-CN"/>
                    </w:rPr>
                    <w:t>呈灰棕至黑褐色粒状－扁核状结构</w:t>
                  </w:r>
                  <w:r>
                    <w:rPr>
                      <w:rFonts w:hint="eastAsia" w:cs="Times New Roman"/>
                      <w:b w:val="0"/>
                      <w:bCs/>
                      <w:color w:val="0000FF"/>
                      <w:sz w:val="21"/>
                      <w:szCs w:val="21"/>
                      <w:lang w:val="en-US" w:eastAsia="zh-CN"/>
                    </w:rPr>
                    <w:t>，矿山剥离表土厚度平均5m</w:t>
                  </w:r>
                </w:p>
              </w:tc>
            </w:tr>
            <w:tr w14:paraId="21984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pct"/>
                  <w:vMerge w:val="continue"/>
                  <w:tcBorders>
                    <w:tl2br w:val="nil"/>
                    <w:tr2bl w:val="nil"/>
                  </w:tcBorders>
                  <w:noWrap w:val="0"/>
                  <w:vAlign w:val="center"/>
                </w:tcPr>
                <w:p w14:paraId="71F320B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4183" w:type="pct"/>
                  <w:tcBorders>
                    <w:tl2br w:val="nil"/>
                    <w:tr2bl w:val="nil"/>
                  </w:tcBorders>
                  <w:noWrap w:val="0"/>
                  <w:vAlign w:val="center"/>
                </w:tcPr>
                <w:p w14:paraId="4592C69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办公生活区和加工区的</w:t>
                  </w:r>
                  <w:r>
                    <w:rPr>
                      <w:rFonts w:hint="default" w:ascii="Times New Roman" w:hAnsi="Times New Roman" w:eastAsia="宋体" w:cs="Times New Roman"/>
                      <w:b w:val="0"/>
                      <w:bCs/>
                      <w:color w:val="FF0000"/>
                      <w:sz w:val="21"/>
                      <w:szCs w:val="21"/>
                      <w:lang w:val="en-US" w:eastAsia="zh-CN"/>
                    </w:rPr>
                    <w:t>土地类型为天然牧草地</w:t>
                  </w:r>
                  <w:r>
                    <w:rPr>
                      <w:rFonts w:hint="eastAsia" w:ascii="Times New Roman" w:hAnsi="Times New Roman" w:eastAsia="宋体" w:cs="Times New Roman"/>
                      <w:b w:val="0"/>
                      <w:bCs/>
                      <w:color w:val="FF0000"/>
                      <w:sz w:val="21"/>
                      <w:szCs w:val="21"/>
                      <w:lang w:val="en-US" w:eastAsia="zh-CN"/>
                    </w:rPr>
                    <w:t>，</w:t>
                  </w:r>
                  <w:r>
                    <w:rPr>
                      <w:rFonts w:hint="default" w:ascii="Times New Roman" w:hAnsi="Times New Roman" w:eastAsia="宋体" w:cs="Times New Roman"/>
                      <w:b w:val="0"/>
                      <w:bCs/>
                      <w:color w:val="FF0000"/>
                      <w:sz w:val="21"/>
                      <w:szCs w:val="21"/>
                      <w:lang w:val="en-US" w:eastAsia="zh-CN"/>
                    </w:rPr>
                    <w:t>土壤类型为高山草甸土，高山草甸土有明显的腐殖质积聚，</w:t>
                  </w:r>
                  <w:r>
                    <w:rPr>
                      <w:rFonts w:hint="default" w:ascii="Times New Roman" w:hAnsi="Times New Roman" w:eastAsia="宋体" w:cs="Times New Roman"/>
                      <w:b w:val="0"/>
                      <w:bCs/>
                      <w:color w:val="0000FF"/>
                      <w:sz w:val="21"/>
                      <w:szCs w:val="21"/>
                      <w:lang w:val="en-US" w:eastAsia="zh-CN"/>
                    </w:rPr>
                    <w:t>腐殖质</w:t>
                  </w:r>
                  <w:r>
                    <w:rPr>
                      <w:rFonts w:hint="eastAsia" w:cs="Times New Roman"/>
                      <w:b w:val="0"/>
                      <w:bCs/>
                      <w:color w:val="0000FF"/>
                      <w:sz w:val="21"/>
                      <w:szCs w:val="21"/>
                      <w:lang w:val="en-US" w:eastAsia="zh-CN"/>
                    </w:rPr>
                    <w:t>层</w:t>
                  </w:r>
                  <w:r>
                    <w:rPr>
                      <w:rFonts w:hint="default" w:ascii="Times New Roman" w:hAnsi="Times New Roman" w:eastAsia="宋体" w:cs="Times New Roman"/>
                      <w:b w:val="0"/>
                      <w:bCs/>
                      <w:color w:val="0000FF"/>
                      <w:sz w:val="21"/>
                      <w:szCs w:val="21"/>
                      <w:lang w:val="en-US" w:eastAsia="zh-CN"/>
                    </w:rPr>
                    <w:t>厚8～20cm，呈灰棕至黑褐色粒状－扁核状结构</w:t>
                  </w:r>
                  <w:r>
                    <w:rPr>
                      <w:rFonts w:hint="eastAsia" w:cs="Times New Roman"/>
                      <w:b w:val="0"/>
                      <w:bCs/>
                      <w:color w:val="0000FF"/>
                      <w:sz w:val="21"/>
                      <w:szCs w:val="21"/>
                      <w:lang w:val="en-US" w:eastAsia="zh-CN"/>
                    </w:rPr>
                    <w:t>，办公生活区和加工区剥离表土厚度平均0.5m</w:t>
                  </w:r>
                </w:p>
              </w:tc>
            </w:tr>
            <w:tr w14:paraId="53FF7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6" w:type="pct"/>
                  <w:vMerge w:val="restart"/>
                  <w:tcBorders>
                    <w:tl2br w:val="nil"/>
                    <w:tr2bl w:val="nil"/>
                  </w:tcBorders>
                  <w:noWrap w:val="0"/>
                  <w:vAlign w:val="center"/>
                </w:tcPr>
                <w:p w14:paraId="0C5B7F8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动物</w:t>
                  </w:r>
                </w:p>
              </w:tc>
              <w:tc>
                <w:tcPr>
                  <w:tcW w:w="4183" w:type="pct"/>
                  <w:tcBorders>
                    <w:tl2br w:val="nil"/>
                    <w:tr2bl w:val="nil"/>
                  </w:tcBorders>
                  <w:noWrap w:val="0"/>
                  <w:vAlign w:val="center"/>
                </w:tcPr>
                <w:p w14:paraId="2FA8884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矿山</w:t>
                  </w:r>
                  <w:r>
                    <w:rPr>
                      <w:rFonts w:hint="eastAsia" w:ascii="Times New Roman" w:hAnsi="Times New Roman" w:eastAsia="宋体" w:cs="Times New Roman"/>
                      <w:b w:val="0"/>
                      <w:bCs/>
                      <w:color w:val="FF0000"/>
                      <w:sz w:val="21"/>
                      <w:szCs w:val="21"/>
                      <w:lang w:val="en-US" w:eastAsia="zh-CN"/>
                    </w:rPr>
                    <w:t>灌木丛内可能</w:t>
                  </w:r>
                  <w:r>
                    <w:rPr>
                      <w:rFonts w:hint="default" w:ascii="Times New Roman" w:hAnsi="Times New Roman" w:eastAsia="宋体" w:cs="Times New Roman"/>
                      <w:b w:val="0"/>
                      <w:bCs/>
                      <w:color w:val="FF0000"/>
                      <w:sz w:val="21"/>
                      <w:szCs w:val="21"/>
                      <w:lang w:val="en-US" w:eastAsia="zh-CN"/>
                    </w:rPr>
                    <w:t>有</w:t>
                  </w:r>
                  <w:r>
                    <w:rPr>
                      <w:rFonts w:hint="eastAsia" w:ascii="Times New Roman" w:hAnsi="Times New Roman" w:eastAsia="宋体" w:cs="Times New Roman"/>
                      <w:b w:val="0"/>
                      <w:bCs/>
                      <w:color w:val="FF0000"/>
                      <w:sz w:val="21"/>
                      <w:szCs w:val="21"/>
                      <w:lang w:val="en-US" w:eastAsia="zh-CN"/>
                    </w:rPr>
                    <w:t>狼等大型动物出没，草地仅有</w:t>
                  </w:r>
                  <w:r>
                    <w:rPr>
                      <w:rFonts w:hint="default" w:ascii="Times New Roman" w:hAnsi="Times New Roman" w:eastAsia="宋体" w:cs="Times New Roman"/>
                      <w:b w:val="0"/>
                      <w:bCs/>
                      <w:color w:val="FF0000"/>
                      <w:sz w:val="21"/>
                      <w:szCs w:val="21"/>
                      <w:lang w:val="en-US" w:eastAsia="zh-CN"/>
                    </w:rPr>
                    <w:t>山雀、野兔、高原鼠等小型动物偶尔出现等</w:t>
                  </w:r>
                </w:p>
              </w:tc>
            </w:tr>
            <w:tr w14:paraId="17DB2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pct"/>
                  <w:vMerge w:val="continue"/>
                  <w:tcBorders>
                    <w:tl2br w:val="nil"/>
                    <w:tr2bl w:val="nil"/>
                  </w:tcBorders>
                  <w:noWrap w:val="0"/>
                  <w:vAlign w:val="center"/>
                </w:tcPr>
                <w:p w14:paraId="4D4A7A7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bookmarkStart w:id="12" w:name="_Toc12718"/>
                </w:p>
              </w:tc>
              <w:tc>
                <w:tcPr>
                  <w:tcW w:w="4183" w:type="pct"/>
                  <w:tcBorders>
                    <w:tl2br w:val="nil"/>
                    <w:tr2bl w:val="nil"/>
                  </w:tcBorders>
                  <w:noWrap w:val="0"/>
                  <w:vAlign w:val="center"/>
                </w:tcPr>
                <w:p w14:paraId="47DA5A3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办公生活区和加工区仅有</w:t>
                  </w:r>
                  <w:r>
                    <w:rPr>
                      <w:rFonts w:hint="default" w:ascii="Times New Roman" w:hAnsi="Times New Roman" w:eastAsia="宋体" w:cs="Times New Roman"/>
                      <w:b w:val="0"/>
                      <w:bCs/>
                      <w:color w:val="FF0000"/>
                      <w:sz w:val="21"/>
                      <w:szCs w:val="21"/>
                      <w:lang w:val="en-US" w:eastAsia="zh-CN"/>
                    </w:rPr>
                    <w:t>山雀、野兔、高原鼠等小型动物偶尔出现等</w:t>
                  </w:r>
                </w:p>
              </w:tc>
            </w:tr>
          </w:tbl>
          <w:p w14:paraId="52A12A46">
            <w:pPr>
              <w:pStyle w:val="4"/>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污染物排放标准</w:t>
            </w:r>
            <w:bookmarkEnd w:id="10"/>
            <w:bookmarkEnd w:id="11"/>
            <w:bookmarkEnd w:id="12"/>
            <w:r>
              <w:rPr>
                <w:rFonts w:hint="default" w:ascii="Times New Roman" w:hAnsi="Times New Roman" w:cs="Times New Roman"/>
              </w:rPr>
              <w:t xml:space="preserve"> </w:t>
            </w:r>
          </w:p>
          <w:p w14:paraId="50F97D46">
            <w:pPr>
              <w:bidi w:val="0"/>
              <w:rPr>
                <w:rFonts w:hint="default" w:ascii="Times New Roman" w:hAnsi="Times New Roman" w:cs="Times New Roman"/>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1</w:t>
            </w:r>
            <w:r>
              <w:rPr>
                <w:rFonts w:hint="default" w:ascii="Times New Roman" w:hAnsi="Times New Roman" w:cs="Times New Roman"/>
                <w:b/>
                <w:bCs/>
                <w:lang w:eastAsia="zh-CN"/>
              </w:rPr>
              <w:t>）</w:t>
            </w:r>
            <w:r>
              <w:rPr>
                <w:rFonts w:hint="default" w:ascii="Times New Roman" w:hAnsi="Times New Roman" w:cs="Times New Roman"/>
                <w:b/>
                <w:bCs/>
              </w:rPr>
              <w:t>废气</w:t>
            </w:r>
          </w:p>
          <w:p w14:paraId="1E57CDEE">
            <w:pPr>
              <w:bidi w:val="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无组织废气粉尘</w:t>
            </w:r>
            <w:r>
              <w:rPr>
                <w:rFonts w:hint="default" w:ascii="Times New Roman" w:hAnsi="Times New Roman" w:cs="Times New Roman"/>
              </w:rPr>
              <w:t>执行《大气污染物综合排放标准》（GB16297）中相关限值要求，详见</w:t>
            </w:r>
            <w:r>
              <w:rPr>
                <w:rFonts w:hint="default" w:ascii="Times New Roman" w:hAnsi="Times New Roman" w:cs="Times New Roman"/>
                <w:lang w:val="en-US" w:eastAsia="zh-CN"/>
              </w:rPr>
              <w:t>下表</w:t>
            </w:r>
            <w:r>
              <w:rPr>
                <w:rFonts w:hint="eastAsia" w:ascii="Times New Roman" w:hAnsi="Times New Roman" w:cs="Times New Roman"/>
                <w:lang w:val="en-US" w:eastAsia="zh-CN"/>
              </w:rPr>
              <w:t>3-7</w:t>
            </w:r>
            <w:r>
              <w:rPr>
                <w:rFonts w:hint="default" w:ascii="Times New Roman" w:hAnsi="Times New Roman" w:cs="Times New Roman"/>
              </w:rPr>
              <w:t>。</w:t>
            </w:r>
          </w:p>
          <w:p w14:paraId="0DC9ACC7">
            <w:pPr>
              <w:pStyle w:val="5"/>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3-7</w:t>
            </w:r>
            <w:r>
              <w:rPr>
                <w:rFonts w:hint="default" w:ascii="Times New Roman" w:hAnsi="Times New Roman" w:cs="Times New Roman"/>
              </w:rPr>
              <w:t xml:space="preserve">  大气污染物排放标准限值  mg/m</w:t>
            </w:r>
            <w:r>
              <w:rPr>
                <w:rFonts w:hint="default" w:ascii="Times New Roman" w:hAnsi="Times New Roman" w:cs="Times New Roman"/>
                <w:vertAlign w:val="superscript"/>
              </w:rPr>
              <w:t>3</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90"/>
              <w:gridCol w:w="4970"/>
            </w:tblGrid>
            <w:tr w14:paraId="2DBF1E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26" w:type="pct"/>
                  <w:tcBorders>
                    <w:tl2br w:val="nil"/>
                    <w:tr2bl w:val="nil"/>
                  </w:tcBorders>
                  <w:noWrap w:val="0"/>
                  <w:vAlign w:val="center"/>
                </w:tcPr>
                <w:p w14:paraId="74F987EF">
                  <w:pPr>
                    <w:keepNext w:val="0"/>
                    <w:keepLines/>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2773" w:type="pct"/>
                  <w:tcBorders>
                    <w:tl2br w:val="nil"/>
                    <w:tr2bl w:val="nil"/>
                  </w:tcBorders>
                  <w:noWrap w:val="0"/>
                  <w:vAlign w:val="center"/>
                </w:tcPr>
                <w:p w14:paraId="7810B90A">
                  <w:pPr>
                    <w:keepNext w:val="0"/>
                    <w:keepLines/>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无组织浓度监控限值</w:t>
                  </w:r>
                </w:p>
              </w:tc>
            </w:tr>
            <w:tr w14:paraId="15C986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26" w:type="pct"/>
                  <w:tcBorders>
                    <w:tl2br w:val="nil"/>
                    <w:tr2bl w:val="nil"/>
                  </w:tcBorders>
                  <w:noWrap w:val="0"/>
                  <w:vAlign w:val="center"/>
                </w:tcPr>
                <w:p w14:paraId="3042EE5D">
                  <w:pPr>
                    <w:keepNext w:val="0"/>
                    <w:keepLines/>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颗粒物</w:t>
                  </w:r>
                </w:p>
              </w:tc>
              <w:tc>
                <w:tcPr>
                  <w:tcW w:w="2773" w:type="pct"/>
                  <w:tcBorders>
                    <w:tl2br w:val="nil"/>
                    <w:tr2bl w:val="nil"/>
                  </w:tcBorders>
                  <w:noWrap w:val="0"/>
                  <w:vAlign w:val="center"/>
                </w:tcPr>
                <w:p w14:paraId="04FE08DB">
                  <w:pPr>
                    <w:keepNext w:val="0"/>
                    <w:keepLines/>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周界外最高浓度点：1.0mg/m</w:t>
                  </w:r>
                  <w:r>
                    <w:rPr>
                      <w:rFonts w:hint="default" w:ascii="Times New Roman" w:hAnsi="Times New Roman" w:eastAsia="宋体" w:cs="Times New Roman"/>
                      <w:b w:val="0"/>
                      <w:bCs w:val="0"/>
                      <w:color w:val="auto"/>
                      <w:szCs w:val="21"/>
                      <w:vertAlign w:val="superscript"/>
                      <w:lang w:val="en-US" w:eastAsia="zh-CN"/>
                    </w:rPr>
                    <w:t>3</w:t>
                  </w:r>
                </w:p>
              </w:tc>
            </w:tr>
          </w:tbl>
          <w:p w14:paraId="6A1813F4">
            <w:pPr>
              <w:pStyle w:val="9"/>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auto"/>
                <w:sz w:val="24"/>
                <w:szCs w:val="24"/>
              </w:rPr>
              <w:t>（2）废水</w:t>
            </w:r>
          </w:p>
          <w:p w14:paraId="361BF3E0">
            <w:pPr>
              <w:pStyle w:val="54"/>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sz w:val="24"/>
                <w:lang w:val="en-US" w:eastAsia="zh-CN"/>
              </w:rPr>
            </w:pPr>
            <w:r>
              <w:rPr>
                <w:rFonts w:hint="default" w:ascii="Times New Roman" w:hAnsi="Times New Roman" w:cs="Times New Roman"/>
                <w:b w:val="0"/>
                <w:bCs/>
                <w:sz w:val="24"/>
              </w:rPr>
              <w:t>由于本项目运营期产生废水主要包含</w:t>
            </w:r>
            <w:r>
              <w:rPr>
                <w:rFonts w:hint="default" w:ascii="Times New Roman" w:hAnsi="Times New Roman" w:cs="Times New Roman"/>
                <w:b w:val="0"/>
                <w:bCs/>
                <w:sz w:val="24"/>
                <w:lang w:val="en-US" w:eastAsia="zh-CN"/>
              </w:rPr>
              <w:t>职工生活污水、机械和车辆冲洗废水</w:t>
            </w:r>
            <w:r>
              <w:rPr>
                <w:rFonts w:hint="default" w:ascii="Times New Roman" w:hAnsi="Times New Roman" w:cs="Times New Roman"/>
                <w:b w:val="0"/>
                <w:bCs/>
                <w:sz w:val="24"/>
              </w:rPr>
              <w:t>。其中，</w:t>
            </w:r>
            <w:r>
              <w:rPr>
                <w:rFonts w:hint="default" w:ascii="Times New Roman" w:hAnsi="Times New Roman" w:cs="Times New Roman"/>
                <w:b w:val="0"/>
                <w:bCs/>
                <w:color w:val="FF0000"/>
                <w:sz w:val="24"/>
                <w:lang w:val="en-US" w:eastAsia="zh-CN"/>
              </w:rPr>
              <w:t>职工盥洗废水和淋浴废水经管道进入化粪池，职工人员如厕采用干式环保厕所，旁边设置化粪池，粪便进入化粪池后，</w:t>
            </w:r>
            <w:r>
              <w:rPr>
                <w:rFonts w:hint="eastAsia" w:ascii="Times New Roman" w:hAnsi="Times New Roman" w:cs="Times New Roman"/>
                <w:b w:val="0"/>
                <w:bCs/>
                <w:color w:val="FF0000"/>
                <w:sz w:val="24"/>
                <w:lang w:val="en-US" w:eastAsia="zh-CN"/>
              </w:rPr>
              <w:t>定期委托</w:t>
            </w:r>
            <w:r>
              <w:rPr>
                <w:rFonts w:hint="eastAsia" w:cs="Times New Roman"/>
                <w:b w:val="0"/>
                <w:bCs/>
                <w:color w:val="FF0000"/>
                <w:sz w:val="24"/>
                <w:lang w:val="en-US" w:eastAsia="zh-CN"/>
              </w:rPr>
              <w:t>专业公司</w:t>
            </w:r>
            <w:r>
              <w:rPr>
                <w:rFonts w:hint="eastAsia" w:ascii="Times New Roman" w:hAnsi="Times New Roman" w:cs="Times New Roman"/>
                <w:b w:val="0"/>
                <w:bCs/>
                <w:color w:val="FF0000"/>
                <w:sz w:val="24"/>
                <w:lang w:val="en-US" w:eastAsia="zh-CN"/>
              </w:rPr>
              <w:t>吸污车抽吸拉运至污水处理厂深度处理</w:t>
            </w:r>
            <w:r>
              <w:rPr>
                <w:rFonts w:hint="default" w:ascii="Times New Roman" w:hAnsi="Times New Roman" w:cs="Times New Roman"/>
                <w:b w:val="0"/>
                <w:bCs/>
                <w:color w:val="FF0000"/>
                <w:sz w:val="24"/>
              </w:rPr>
              <w:t>；</w:t>
            </w:r>
            <w:r>
              <w:rPr>
                <w:rFonts w:hint="default" w:ascii="Times New Roman" w:hAnsi="Times New Roman" w:cs="Times New Roman"/>
                <w:b w:val="0"/>
                <w:bCs/>
                <w:sz w:val="24"/>
                <w:lang w:val="en-US" w:eastAsia="zh-CN"/>
              </w:rPr>
              <w:t>机械和车辆</w:t>
            </w:r>
            <w:r>
              <w:rPr>
                <w:rFonts w:hint="default" w:ascii="Times New Roman" w:hAnsi="Times New Roman" w:cs="Times New Roman"/>
                <w:b w:val="0"/>
                <w:bCs/>
                <w:sz w:val="24"/>
              </w:rPr>
              <w:t>冲洗</w:t>
            </w:r>
            <w:r>
              <w:rPr>
                <w:rFonts w:hint="default" w:ascii="Times New Roman" w:hAnsi="Times New Roman" w:eastAsia="宋体" w:cs="Times New Roman"/>
                <w:b w:val="0"/>
                <w:bCs/>
                <w:sz w:val="24"/>
                <w:lang w:val="en-US" w:eastAsia="zh-CN"/>
              </w:rPr>
              <w:t>设置沉淀池一座，冲洗水沉淀后全部</w:t>
            </w:r>
            <w:r>
              <w:rPr>
                <w:rFonts w:hint="eastAsia" w:cs="Times New Roman"/>
                <w:b w:val="0"/>
                <w:bCs/>
                <w:sz w:val="24"/>
                <w:lang w:val="en-US" w:eastAsia="zh-CN"/>
              </w:rPr>
              <w:t>循环</w:t>
            </w:r>
            <w:r>
              <w:rPr>
                <w:rFonts w:hint="default" w:ascii="Times New Roman" w:hAnsi="Times New Roman" w:eastAsia="宋体" w:cs="Times New Roman"/>
                <w:b w:val="0"/>
                <w:bCs/>
                <w:sz w:val="24"/>
                <w:lang w:val="en-US" w:eastAsia="zh-CN"/>
              </w:rPr>
              <w:t>回用，不外排。故不执行相关标准。</w:t>
            </w:r>
          </w:p>
          <w:p w14:paraId="6611CA81">
            <w:pPr>
              <w:pStyle w:val="9"/>
              <w:pageBreakBefore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（3）噪声</w:t>
            </w:r>
          </w:p>
          <w:p w14:paraId="1BAE4E95">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施工期噪声执行《建筑施工场界环境噪声排放标准》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GB12523-2011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，具体标准值见</w:t>
            </w:r>
            <w:r>
              <w:rPr>
                <w:rFonts w:hint="default" w:ascii="Times New Roman" w:hAnsi="Times New Roman" w:eastAsia="宋体" w:cs="Times New Roman"/>
                <w:sz w:val="24"/>
                <w:szCs w:val="24"/>
                <w:lang w:val="en-US" w:eastAsia="zh-CN"/>
              </w:rPr>
              <w:t>下</w:t>
            </w:r>
            <w:r>
              <w:rPr>
                <w:rFonts w:hint="default" w:ascii="Times New Roman" w:hAnsi="Times New Roman" w:eastAsia="宋体" w:cs="Times New Roman"/>
                <w:sz w:val="24"/>
                <w:szCs w:val="24"/>
              </w:rPr>
              <w:t>表</w:t>
            </w:r>
            <w:r>
              <w:rPr>
                <w:rFonts w:hint="eastAsia" w:ascii="Times New Roman" w:hAnsi="Times New Roman" w:cs="Times New Roman"/>
                <w:sz w:val="24"/>
                <w:szCs w:val="24"/>
                <w:lang w:val="en-US" w:eastAsia="zh-CN"/>
              </w:rPr>
              <w:t>3-8</w:t>
            </w:r>
            <w:r>
              <w:rPr>
                <w:rFonts w:hint="default" w:ascii="Times New Roman" w:hAnsi="Times New Roman" w:eastAsia="宋体" w:cs="Times New Roman"/>
                <w:sz w:val="24"/>
                <w:szCs w:val="24"/>
              </w:rPr>
              <w:t>。</w:t>
            </w:r>
          </w:p>
          <w:p w14:paraId="1892A1F0">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表3-8  建筑施工场界环境噪声排放限值  单位：dB（A）</w:t>
            </w:r>
          </w:p>
          <w:tbl>
            <w:tblPr>
              <w:tblStyle w:val="23"/>
              <w:tblW w:w="894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73"/>
              <w:gridCol w:w="4473"/>
            </w:tblGrid>
            <w:tr w14:paraId="203F10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4473" w:type="dxa"/>
                  <w:tcBorders>
                    <w:tl2br w:val="nil"/>
                    <w:tr2bl w:val="nil"/>
                  </w:tcBorders>
                  <w:noWrap w:val="0"/>
                  <w:vAlign w:val="top"/>
                </w:tcPr>
                <w:p w14:paraId="5701E460">
                  <w:pPr>
                    <w:keepNext w:val="0"/>
                    <w:keepLines/>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4473" w:type="dxa"/>
                  <w:tcBorders>
                    <w:tl2br w:val="nil"/>
                    <w:tr2bl w:val="nil"/>
                  </w:tcBorders>
                  <w:noWrap w:val="0"/>
                  <w:vAlign w:val="top"/>
                </w:tcPr>
                <w:p w14:paraId="580D8988">
                  <w:pPr>
                    <w:keepNext w:val="0"/>
                    <w:keepLines/>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r>
            <w:tr w14:paraId="7BC23E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473" w:type="dxa"/>
                  <w:tcBorders>
                    <w:tl2br w:val="nil"/>
                    <w:tr2bl w:val="nil"/>
                  </w:tcBorders>
                  <w:noWrap w:val="0"/>
                  <w:vAlign w:val="top"/>
                </w:tcPr>
                <w:p w14:paraId="30FFF7B4">
                  <w:pPr>
                    <w:keepNext w:val="0"/>
                    <w:keepLines/>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70</w:t>
                  </w:r>
                </w:p>
              </w:tc>
              <w:tc>
                <w:tcPr>
                  <w:tcW w:w="4473" w:type="dxa"/>
                  <w:tcBorders>
                    <w:tl2br w:val="nil"/>
                    <w:tr2bl w:val="nil"/>
                  </w:tcBorders>
                  <w:noWrap w:val="0"/>
                  <w:vAlign w:val="top"/>
                </w:tcPr>
                <w:p w14:paraId="5DDB4A66">
                  <w:pPr>
                    <w:keepNext w:val="0"/>
                    <w:keepLines/>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55</w:t>
                  </w:r>
                </w:p>
              </w:tc>
            </w:tr>
          </w:tbl>
          <w:p w14:paraId="6BD6E1E6">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运营期噪声执行《工业企业厂界环境噪声排放标准》（GB12348-2008）</w:t>
            </w:r>
            <w:r>
              <w:rPr>
                <w:rFonts w:hint="eastAsia"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类</w:t>
            </w:r>
            <w:r>
              <w:rPr>
                <w:rFonts w:hint="default" w:ascii="Times New Roman" w:hAnsi="Times New Roman" w:eastAsia="宋体" w:cs="Times New Roman"/>
                <w:color w:val="000000"/>
                <w:sz w:val="24"/>
                <w:szCs w:val="24"/>
              </w:rPr>
              <w:t>标准，具体标准值见</w:t>
            </w:r>
            <w:r>
              <w:rPr>
                <w:rFonts w:hint="default" w:ascii="Times New Roman" w:hAnsi="Times New Roman" w:eastAsia="宋体" w:cs="Times New Roman"/>
                <w:color w:val="000000"/>
                <w:sz w:val="24"/>
                <w:szCs w:val="24"/>
                <w:lang w:val="en-US" w:eastAsia="zh-CN"/>
              </w:rPr>
              <w:t>下</w:t>
            </w:r>
            <w:r>
              <w:rPr>
                <w:rFonts w:hint="default" w:ascii="Times New Roman" w:hAnsi="Times New Roman" w:eastAsia="宋体" w:cs="Times New Roman"/>
                <w:color w:val="000000"/>
                <w:sz w:val="24"/>
                <w:szCs w:val="24"/>
              </w:rPr>
              <w:t>表</w:t>
            </w:r>
            <w:r>
              <w:rPr>
                <w:rFonts w:hint="eastAsia" w:ascii="Times New Roman" w:hAnsi="Times New Roman" w:cs="Times New Roman"/>
                <w:color w:val="000000"/>
                <w:sz w:val="24"/>
                <w:szCs w:val="24"/>
                <w:lang w:val="en-US" w:eastAsia="zh-CN"/>
              </w:rPr>
              <w:t>3-9</w:t>
            </w:r>
            <w:r>
              <w:rPr>
                <w:rFonts w:hint="default" w:ascii="Times New Roman" w:hAnsi="Times New Roman" w:eastAsia="宋体" w:cs="Times New Roman"/>
                <w:color w:val="000000"/>
                <w:sz w:val="24"/>
                <w:szCs w:val="24"/>
              </w:rPr>
              <w:t>。</w:t>
            </w:r>
          </w:p>
          <w:p w14:paraId="6F4EBA4D">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表3-9  工业企业厂界环境噪声排放标准    单位：dB（A）</w:t>
            </w:r>
          </w:p>
          <w:tbl>
            <w:tblPr>
              <w:tblStyle w:val="23"/>
              <w:tblW w:w="894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82"/>
              <w:gridCol w:w="2982"/>
              <w:gridCol w:w="2982"/>
            </w:tblGrid>
            <w:tr w14:paraId="3494C9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2982" w:type="dxa"/>
                  <w:tcBorders>
                    <w:tl2br w:val="nil"/>
                    <w:tr2bl w:val="nil"/>
                  </w:tcBorders>
                  <w:noWrap w:val="0"/>
                  <w:vAlign w:val="top"/>
                </w:tcPr>
                <w:p w14:paraId="0D663042">
                  <w:pPr>
                    <w:keepNext w:val="0"/>
                    <w:keepLines/>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（GB12348-2008）</w:t>
                  </w:r>
                </w:p>
              </w:tc>
              <w:tc>
                <w:tcPr>
                  <w:tcW w:w="2982" w:type="dxa"/>
                  <w:tcBorders>
                    <w:tl2br w:val="nil"/>
                    <w:tr2bl w:val="nil"/>
                  </w:tcBorders>
                  <w:noWrap w:val="0"/>
                  <w:vAlign w:val="top"/>
                </w:tcPr>
                <w:p w14:paraId="1FB4F563">
                  <w:pPr>
                    <w:keepNext w:val="0"/>
                    <w:keepLines/>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2982" w:type="dxa"/>
                  <w:tcBorders>
                    <w:tl2br w:val="nil"/>
                    <w:tr2bl w:val="nil"/>
                  </w:tcBorders>
                  <w:noWrap w:val="0"/>
                  <w:vAlign w:val="top"/>
                </w:tcPr>
                <w:p w14:paraId="5F35E3C4">
                  <w:pPr>
                    <w:keepNext w:val="0"/>
                    <w:keepLines/>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r>
            <w:tr w14:paraId="795328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2982" w:type="dxa"/>
                  <w:tcBorders>
                    <w:tl2br w:val="nil"/>
                    <w:tr2bl w:val="nil"/>
                  </w:tcBorders>
                  <w:noWrap w:val="0"/>
                  <w:vAlign w:val="top"/>
                </w:tcPr>
                <w:p w14:paraId="6FEE63B9">
                  <w:pPr>
                    <w:keepNext w:val="0"/>
                    <w:keepLines/>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val="0"/>
                      <w:bCs w:val="0"/>
                      <w:color w:val="auto"/>
                      <w:szCs w:val="21"/>
                    </w:rPr>
                  </w:pPr>
                  <w:r>
                    <w:rPr>
                      <w:rFonts w:hint="eastAsia" w:ascii="Times New Roman" w:hAnsi="Times New Roman" w:cs="Times New Roman"/>
                      <w:b w:val="0"/>
                      <w:bCs w:val="0"/>
                      <w:color w:val="auto"/>
                      <w:szCs w:val="21"/>
                      <w:lang w:val="en-US" w:eastAsia="zh-CN"/>
                    </w:rPr>
                    <w:t>2</w:t>
                  </w:r>
                  <w:r>
                    <w:rPr>
                      <w:rFonts w:hint="default" w:ascii="Times New Roman" w:hAnsi="Times New Roman" w:eastAsia="宋体" w:cs="Times New Roman"/>
                      <w:b w:val="0"/>
                      <w:bCs w:val="0"/>
                      <w:color w:val="auto"/>
                      <w:szCs w:val="21"/>
                    </w:rPr>
                    <w:t>类</w:t>
                  </w:r>
                </w:p>
              </w:tc>
              <w:tc>
                <w:tcPr>
                  <w:tcW w:w="2982" w:type="dxa"/>
                  <w:tcBorders>
                    <w:tl2br w:val="nil"/>
                    <w:tr2bl w:val="nil"/>
                  </w:tcBorders>
                  <w:noWrap w:val="0"/>
                  <w:vAlign w:val="top"/>
                </w:tcPr>
                <w:p w14:paraId="7D9AD31E">
                  <w:pPr>
                    <w:keepNext w:val="0"/>
                    <w:keepLines/>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60</w:t>
                  </w:r>
                </w:p>
              </w:tc>
              <w:tc>
                <w:tcPr>
                  <w:tcW w:w="2982" w:type="dxa"/>
                  <w:tcBorders>
                    <w:tl2br w:val="nil"/>
                    <w:tr2bl w:val="nil"/>
                  </w:tcBorders>
                  <w:noWrap w:val="0"/>
                  <w:vAlign w:val="top"/>
                </w:tcPr>
                <w:p w14:paraId="15F2B41D">
                  <w:pPr>
                    <w:keepNext w:val="0"/>
                    <w:keepLines/>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50</w:t>
                  </w:r>
                </w:p>
              </w:tc>
            </w:tr>
          </w:tbl>
          <w:p w14:paraId="5D757F78">
            <w:pPr>
              <w:pStyle w:val="9"/>
              <w:keepNext w:val="0"/>
              <w:keepLines w:val="0"/>
              <w:pageBreakBefore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（4）固体废物</w:t>
            </w:r>
          </w:p>
          <w:p w14:paraId="7C0870EF">
            <w:pPr>
              <w:keepNext w:val="0"/>
              <w:keepLines w:val="0"/>
              <w:widowControl/>
              <w:suppressLineNumbers w:val="0"/>
              <w:jc w:val="left"/>
              <w:rPr>
                <w:rFonts w:hint="default" w:ascii="Times New Roman" w:hAnsi="Times New Roman" w:cs="Times New Roman"/>
                <w:kern w:val="0"/>
                <w:szCs w:val="21"/>
              </w:rPr>
            </w:pPr>
            <w:r>
              <w:rPr>
                <w:rFonts w:hint="default" w:ascii="Times New Roman" w:hAnsi="Times New Roman" w:eastAsia="宋体" w:cs="Times New Roman"/>
                <w:color w:val="000000"/>
                <w:sz w:val="24"/>
                <w:szCs w:val="24"/>
                <w:lang w:val="en-US" w:eastAsia="zh-CN"/>
              </w:rPr>
              <w:t>职工生活产生的生活垃圾经收集后由当地环卫部门统一拉运处置；</w:t>
            </w:r>
            <w:r>
              <w:rPr>
                <w:rFonts w:hint="eastAsia" w:ascii="Times New Roman" w:hAnsi="Times New Roman" w:cs="Times New Roman"/>
                <w:color w:val="FF0000"/>
                <w:sz w:val="24"/>
                <w:szCs w:val="24"/>
                <w:lang w:val="en-US" w:eastAsia="zh-CN"/>
              </w:rPr>
              <w:t>剥离表土和废石采用边开采边恢复的制度，下一台阶开采的表土用于上一已终了平台的土地恢复，剩余少量表土和废石暂存于排土场用于后期恢复利用；</w:t>
            </w:r>
            <w:r>
              <w:rPr>
                <w:rFonts w:hint="eastAsia" w:ascii="Times New Roman" w:hAnsi="Times New Roman" w:eastAsia="宋体" w:cs="Times New Roman"/>
                <w:color w:val="FF0000"/>
                <w:sz w:val="24"/>
                <w:szCs w:val="24"/>
                <w:lang w:val="en-US" w:eastAsia="zh-CN"/>
              </w:rPr>
              <w:t>项目沉淀池产生的污泥属于一般工业固体废弃物，属于“SW07污泥”废物代码：900-099-S07</w:t>
            </w:r>
            <w:r>
              <w:rPr>
                <w:rFonts w:hint="default" w:ascii="Times New Roman" w:hAnsi="Times New Roman" w:eastAsia="宋体" w:cs="Times New Roman"/>
                <w:color w:val="FF0000"/>
                <w:sz w:val="24"/>
                <w:szCs w:val="24"/>
                <w:lang w:eastAsia="zh-CN"/>
              </w:rPr>
              <w:t>执行</w:t>
            </w:r>
            <w:r>
              <w:rPr>
                <w:rFonts w:hint="default" w:ascii="Times New Roman" w:hAnsi="Times New Roman" w:eastAsia="宋体" w:cs="Times New Roman"/>
                <w:color w:val="FF0000"/>
                <w:sz w:val="24"/>
                <w:szCs w:val="24"/>
              </w:rPr>
              <w:t>《一般工业固体废物贮存、处置场污染控制标准》（GB18599-2001）中相应标准</w:t>
            </w:r>
            <w:r>
              <w:rPr>
                <w:rFonts w:hint="default" w:ascii="Times New Roman" w:hAnsi="Times New Roman" w:eastAsia="宋体" w:cs="Times New Roman"/>
                <w:color w:val="FF0000"/>
                <w:sz w:val="24"/>
                <w:szCs w:val="24"/>
                <w:lang w:val="en-US" w:eastAsia="zh-CN"/>
              </w:rPr>
              <w:t>要求</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危险废物</w:t>
            </w:r>
            <w:r>
              <w:rPr>
                <w:rFonts w:hint="default" w:ascii="Times New Roman" w:hAnsi="Times New Roman" w:eastAsia="宋体" w:cs="Times New Roman"/>
                <w:color w:val="000000"/>
                <w:sz w:val="24"/>
                <w:szCs w:val="24"/>
                <w:lang w:val="en-US" w:eastAsia="zh-CN"/>
              </w:rPr>
              <w:t>经收集后暂存于危险废物贮存库，定期委托有资质的单位进行处置，</w:t>
            </w:r>
            <w:r>
              <w:rPr>
                <w:rFonts w:hint="default" w:ascii="Times New Roman" w:hAnsi="Times New Roman" w:eastAsia="宋体" w:cs="Times New Roman"/>
                <w:color w:val="000000"/>
                <w:sz w:val="24"/>
                <w:szCs w:val="24"/>
              </w:rPr>
              <w:t>贮</w:t>
            </w:r>
            <w:r>
              <w:rPr>
                <w:rFonts w:hint="default" w:ascii="Times New Roman" w:hAnsi="Times New Roman" w:eastAsia="宋体" w:cs="Times New Roman"/>
                <w:color w:val="000000"/>
                <w:sz w:val="24"/>
                <w:szCs w:val="24"/>
                <w:lang w:val="en-US" w:eastAsia="zh-CN"/>
              </w:rPr>
              <w:t>存应符合《危险废物贮存污染控制标准》（GB18597-2023）。</w:t>
            </w:r>
          </w:p>
        </w:tc>
      </w:tr>
      <w:tr w14:paraId="0F7CB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38" w:type="dxa"/>
            <w:noWrap w:val="0"/>
            <w:vAlign w:val="center"/>
          </w:tcPr>
          <w:p w14:paraId="00E134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其</w:t>
            </w:r>
            <w:r>
              <w:rPr>
                <w:rFonts w:hint="default" w:ascii="宋体" w:hAnsi="宋体" w:eastAsia="宋体" w:cs="宋体"/>
                <w:bCs/>
                <w:spacing w:val="10"/>
                <w:kern w:val="2"/>
                <w:sz w:val="21"/>
                <w:szCs w:val="21"/>
                <w:lang w:val="en-US" w:eastAsia="zh-CN" w:bidi="ar-SA"/>
              </w:rPr>
              <w:t>他</w:t>
            </w:r>
          </w:p>
        </w:tc>
        <w:tc>
          <w:tcPr>
            <w:tcW w:w="9180" w:type="dxa"/>
            <w:noWrap w:val="0"/>
            <w:vAlign w:val="center"/>
          </w:tcPr>
          <w:p w14:paraId="4D7F4734">
            <w:pPr>
              <w:pStyle w:val="4"/>
              <w:bidi w:val="0"/>
              <w:rPr>
                <w:rFonts w:hint="default" w:ascii="Times New Roman" w:hAnsi="Times New Roman" w:cs="Times New Roman"/>
                <w:lang w:val="en-US" w:eastAsia="zh-CN"/>
              </w:rPr>
            </w:pPr>
            <w:r>
              <w:rPr>
                <w:rFonts w:hint="default" w:ascii="Times New Roman" w:hAnsi="Times New Roman" w:cs="Times New Roman"/>
                <w:b w:val="0"/>
                <w:bCs w:val="0"/>
                <w:color w:val="FF0000"/>
                <w:lang w:val="en-US" w:eastAsia="zh-CN"/>
              </w:rPr>
              <w:t>本项目运营过程中不涉及大气污染物SO</w:t>
            </w:r>
            <w:r>
              <w:rPr>
                <w:rFonts w:hint="default" w:ascii="Times New Roman" w:hAnsi="Times New Roman" w:cs="Times New Roman"/>
                <w:b w:val="0"/>
                <w:bCs w:val="0"/>
                <w:color w:val="FF0000"/>
                <w:vertAlign w:val="subscript"/>
                <w:lang w:val="en-US" w:eastAsia="zh-CN"/>
              </w:rPr>
              <w:t>2</w:t>
            </w:r>
            <w:r>
              <w:rPr>
                <w:rFonts w:hint="default" w:ascii="Times New Roman" w:hAnsi="Times New Roman" w:cs="Times New Roman"/>
                <w:b w:val="0"/>
                <w:bCs w:val="0"/>
                <w:color w:val="FF0000"/>
                <w:lang w:val="en-US" w:eastAsia="zh-CN"/>
              </w:rPr>
              <w:t>、NOx、VOCs排放；项目</w:t>
            </w:r>
            <w:r>
              <w:rPr>
                <w:rFonts w:hint="eastAsia" w:ascii="Times New Roman" w:hAnsi="Times New Roman" w:cs="Times New Roman"/>
                <w:b w:val="0"/>
                <w:bCs w:val="0"/>
                <w:color w:val="FF0000"/>
                <w:lang w:val="en-US" w:eastAsia="zh-CN"/>
              </w:rPr>
              <w:t>冲洗废水循环利用，喷淋废水部分进入产品，部分蒸发；</w:t>
            </w:r>
            <w:r>
              <w:rPr>
                <w:rFonts w:hint="default" w:ascii="Times New Roman" w:hAnsi="Times New Roman" w:cs="Times New Roman"/>
                <w:b w:val="0"/>
                <w:bCs w:val="0"/>
                <w:color w:val="FF0000"/>
                <w:lang w:val="en-US" w:eastAsia="zh-CN"/>
              </w:rPr>
              <w:t>生活污水</w:t>
            </w:r>
            <w:r>
              <w:rPr>
                <w:rFonts w:hint="eastAsia" w:ascii="Times New Roman" w:hAnsi="Times New Roman" w:cs="Times New Roman"/>
                <w:b w:val="0"/>
                <w:bCs w:val="0"/>
                <w:color w:val="FF0000"/>
                <w:lang w:val="en-US" w:eastAsia="zh-CN"/>
              </w:rPr>
              <w:t>进入化粪池</w:t>
            </w:r>
            <w:r>
              <w:rPr>
                <w:rFonts w:hint="default" w:ascii="Times New Roman" w:hAnsi="Times New Roman" w:cs="Times New Roman"/>
                <w:b w:val="0"/>
                <w:bCs w:val="0"/>
                <w:color w:val="FF0000"/>
                <w:lang w:val="en-US" w:eastAsia="zh-CN"/>
              </w:rPr>
              <w:t>，</w:t>
            </w:r>
            <w:r>
              <w:rPr>
                <w:rFonts w:hint="eastAsia" w:ascii="Times New Roman" w:hAnsi="Times New Roman" w:cs="Times New Roman"/>
                <w:b w:val="0"/>
                <w:bCs w:val="0"/>
                <w:color w:val="FF0000"/>
                <w:lang w:val="en-US" w:eastAsia="zh-CN"/>
              </w:rPr>
              <w:t>定期委托</w:t>
            </w:r>
            <w:r>
              <w:rPr>
                <w:rFonts w:hint="eastAsia" w:cs="Times New Roman"/>
                <w:b w:val="0"/>
                <w:bCs w:val="0"/>
                <w:color w:val="FF0000"/>
                <w:lang w:val="en-US" w:eastAsia="zh-CN"/>
              </w:rPr>
              <w:t>专业公司</w:t>
            </w:r>
            <w:r>
              <w:rPr>
                <w:rFonts w:hint="eastAsia" w:ascii="Times New Roman" w:hAnsi="Times New Roman" w:cs="Times New Roman"/>
                <w:b w:val="0"/>
                <w:bCs w:val="0"/>
                <w:color w:val="FF0000"/>
                <w:lang w:val="en-US" w:eastAsia="zh-CN"/>
              </w:rPr>
              <w:t>吸污车抽吸拉运至污水处理厂深度处理，其污水总量指标涵盖在污水处理厂总量指标内，故</w:t>
            </w:r>
            <w:r>
              <w:rPr>
                <w:rFonts w:hint="default" w:ascii="Times New Roman" w:hAnsi="Times New Roman" w:cs="Times New Roman"/>
                <w:b w:val="0"/>
                <w:bCs w:val="0"/>
                <w:color w:val="FF0000"/>
                <w:lang w:val="en-US" w:eastAsia="zh-CN"/>
              </w:rPr>
              <w:t>本项目不涉及污染物排放总量控制指标。</w:t>
            </w:r>
          </w:p>
        </w:tc>
      </w:tr>
    </w:tbl>
    <w:p w14:paraId="2FFEC9B2">
      <w:pPr>
        <w:pStyle w:val="20"/>
        <w:adjustRightInd w:val="0"/>
        <w:snapToGrid w:val="0"/>
        <w:spacing w:before="0" w:beforeAutospacing="0" w:after="0" w:afterAutospacing="0" w:line="14" w:lineRule="auto"/>
        <w:jc w:val="center"/>
        <w:outlineLvl w:val="0"/>
        <w:rPr>
          <w:rFonts w:ascii="黑体" w:hAnsi="黑体" w:eastAsia="黑体"/>
          <w:snapToGrid w:val="0"/>
          <w:kern w:val="2"/>
          <w:sz w:val="36"/>
          <w:szCs w:val="36"/>
        </w:rPr>
      </w:pPr>
    </w:p>
    <w:p w14:paraId="7DE7384B">
      <w:pPr>
        <w:pStyle w:val="2"/>
        <w:keepNext/>
        <w:keepLines w:val="0"/>
        <w:pageBreakBefore w:val="0"/>
        <w:widowControl w:val="0"/>
        <w:kinsoku/>
        <w:wordWrap/>
        <w:overflowPunct w:val="0"/>
        <w:topLinePunct w:val="0"/>
        <w:autoSpaceDE/>
        <w:autoSpaceDN/>
        <w:bidi w:val="0"/>
        <w:adjustRightInd/>
        <w:snapToGrid w:val="0"/>
        <w:spacing w:line="260" w:lineRule="auto"/>
        <w:ind w:left="431" w:firstLine="0" w:firstLineChars="0"/>
        <w:textAlignment w:val="auto"/>
        <w:rPr>
          <w:rFonts w:hint="eastAsia" w:ascii="Times New Roman" w:hAnsi="Times New Roman" w:cs="Times New Roman"/>
          <w:b/>
          <w:bCs/>
        </w:rPr>
      </w:pPr>
      <w:r>
        <w:rPr>
          <w:rFonts w:ascii="黑体" w:hAnsi="黑体" w:eastAsia="黑体"/>
          <w:snapToGrid w:val="0"/>
          <w:kern w:val="2"/>
          <w:sz w:val="36"/>
          <w:szCs w:val="36"/>
        </w:rPr>
        <w:br w:type="page"/>
      </w:r>
      <w:r>
        <w:rPr>
          <w:rFonts w:hint="eastAsia" w:ascii="Times New Roman" w:hAnsi="Times New Roman" w:cs="Times New Roman"/>
          <w:b/>
          <w:bCs/>
        </w:rPr>
        <w:t>四、生态环境影响分析</w:t>
      </w:r>
    </w:p>
    <w:tbl>
      <w:tblPr>
        <w:tblStyle w:val="23"/>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8671"/>
      </w:tblGrid>
      <w:tr w14:paraId="5C08A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2" w:hRule="atLeast"/>
          <w:jc w:val="center"/>
        </w:trPr>
        <w:tc>
          <w:tcPr>
            <w:tcW w:w="571" w:type="dxa"/>
            <w:noWrap w:val="0"/>
            <w:tcMar>
              <w:left w:w="28" w:type="dxa"/>
              <w:right w:w="28" w:type="dxa"/>
            </w:tcMar>
            <w:vAlign w:val="center"/>
          </w:tcPr>
          <w:p w14:paraId="72DD556C">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cs="宋体"/>
                <w:bCs/>
                <w:kern w:val="2"/>
                <w:sz w:val="21"/>
                <w:szCs w:val="21"/>
              </w:rPr>
            </w:pPr>
            <w:bookmarkStart w:id="13" w:name="_Hlk49796138"/>
            <w:r>
              <w:rPr>
                <w:rFonts w:hint="eastAsia" w:cs="宋体"/>
                <w:bCs/>
                <w:spacing w:val="10"/>
                <w:kern w:val="2"/>
                <w:sz w:val="21"/>
                <w:szCs w:val="21"/>
              </w:rPr>
              <w:t>施工期生态环境影响分析</w:t>
            </w:r>
            <w:bookmarkEnd w:id="13"/>
          </w:p>
        </w:tc>
        <w:tc>
          <w:tcPr>
            <w:tcW w:w="8671" w:type="dxa"/>
            <w:noWrap w:val="0"/>
            <w:vAlign w:val="top"/>
          </w:tcPr>
          <w:p w14:paraId="58A99189">
            <w:pPr>
              <w:pStyle w:val="10"/>
              <w:spacing w:after="0" w:line="360" w:lineRule="auto"/>
              <w:ind w:left="0" w:leftChars="0" w:firstLine="480" w:firstLineChars="200"/>
              <w:jc w:val="left"/>
              <w:rPr>
                <w:rFonts w:hint="eastAsia" w:ascii="Times New Roman" w:hAnsi="Times New Roman" w:eastAsia="宋体" w:cs="Times New Roman"/>
                <w:color w:val="000000"/>
                <w:sz w:val="24"/>
              </w:rPr>
            </w:pPr>
            <w:bookmarkStart w:id="14" w:name="_Toc530010228"/>
            <w:bookmarkStart w:id="15" w:name="_Toc530008295"/>
            <w:r>
              <w:rPr>
                <w:rFonts w:hint="eastAsia" w:ascii="Times New Roman" w:hAnsi="Times New Roman" w:eastAsia="宋体" w:cs="Times New Roman"/>
                <w:color w:val="000000"/>
                <w:sz w:val="24"/>
                <w:lang w:val="en-US" w:eastAsia="zh-CN"/>
              </w:rPr>
              <w:t>施工期建设内容</w:t>
            </w:r>
            <w:r>
              <w:rPr>
                <w:rFonts w:hint="eastAsia" w:ascii="Times New Roman" w:hAnsi="Times New Roman" w:eastAsia="宋体" w:cs="Times New Roman"/>
                <w:color w:val="000000"/>
                <w:sz w:val="24"/>
              </w:rPr>
              <w:t>主要包括基建水平、矿山道路工程、露天采场防排水设施等。基建水平为+4005m水平和+3945m水平，对+4005m水平和+3945m水平进行拓宽，形成最小工作平台</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矿山道路由生产加工区连接至+4005m水平和+3945m水平</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排水设施为采场外围、生活营地区外围及开采境界外围排水沟工程</w:t>
            </w:r>
            <w:r>
              <w:rPr>
                <w:rFonts w:hint="eastAsia" w:cs="Times New Roman"/>
                <w:color w:val="000000"/>
                <w:sz w:val="24"/>
                <w:lang w:eastAsia="zh-CN"/>
              </w:rPr>
              <w:t>；</w:t>
            </w:r>
            <w:r>
              <w:rPr>
                <w:rFonts w:hint="eastAsia" w:cs="Times New Roman"/>
                <w:color w:val="000000"/>
                <w:sz w:val="24"/>
                <w:lang w:val="en-US" w:eastAsia="zh-CN"/>
              </w:rPr>
              <w:t>修筑加工车间、办公生活住房等</w:t>
            </w:r>
            <w:r>
              <w:rPr>
                <w:rFonts w:hint="eastAsia" w:ascii="Times New Roman" w:hAnsi="Times New Roman" w:eastAsia="宋体" w:cs="Times New Roman"/>
                <w:color w:val="000000"/>
                <w:sz w:val="24"/>
              </w:rPr>
              <w:t>。</w:t>
            </w:r>
          </w:p>
          <w:p w14:paraId="134B201C">
            <w:r>
              <w:rPr>
                <w:rFonts w:hint="eastAsia"/>
              </w:rPr>
              <w:t>基建方式为公司自营施工，基建时间约需6个月。</w:t>
            </w:r>
          </w:p>
          <w:p w14:paraId="5F593271">
            <w:pPr>
              <w:adjustRightInd w:val="0"/>
              <w:snapToGrid w:val="0"/>
              <w:spacing w:line="360" w:lineRule="auto"/>
              <w:ind w:firstLine="482" w:firstLineChars="200"/>
              <w:jc w:val="left"/>
              <w:rPr>
                <w:b/>
                <w:bCs/>
                <w:color w:val="000000"/>
                <w:sz w:val="24"/>
              </w:rPr>
            </w:pPr>
            <w:r>
              <w:rPr>
                <w:rFonts w:hint="eastAsia"/>
                <w:b/>
                <w:bCs/>
                <w:color w:val="000000"/>
                <w:sz w:val="24"/>
                <w:lang w:val="en-US" w:eastAsia="zh-CN"/>
              </w:rPr>
              <w:t>1</w:t>
            </w:r>
            <w:r>
              <w:rPr>
                <w:b/>
                <w:bCs/>
                <w:color w:val="000000"/>
                <w:sz w:val="24"/>
              </w:rPr>
              <w:t>、施工期环境空气影响分析</w:t>
            </w:r>
          </w:p>
          <w:p w14:paraId="2FCC38C5">
            <w:pPr>
              <w:pStyle w:val="10"/>
              <w:spacing w:after="0" w:line="360" w:lineRule="auto"/>
              <w:ind w:left="0" w:leftChars="0" w:firstLine="480" w:firstLineChars="200"/>
              <w:jc w:val="left"/>
              <w:rPr>
                <w:rFonts w:hint="eastAsia" w:eastAsia="宋体"/>
                <w:color w:val="000000"/>
                <w:sz w:val="24"/>
                <w:lang w:eastAsia="zh-CN"/>
              </w:rPr>
            </w:pPr>
            <w:r>
              <w:rPr>
                <w:color w:val="000000"/>
                <w:sz w:val="24"/>
              </w:rPr>
              <w:t>本项目施工期废气有施工扬尘及施工机械、车辆燃油废气</w:t>
            </w:r>
            <w:r>
              <w:rPr>
                <w:rFonts w:hint="eastAsia"/>
                <w:color w:val="000000"/>
                <w:sz w:val="24"/>
                <w:lang w:eastAsia="zh-CN"/>
              </w:rPr>
              <w:t>。</w:t>
            </w:r>
          </w:p>
          <w:p w14:paraId="2E4719BE">
            <w:pPr>
              <w:pStyle w:val="10"/>
              <w:spacing w:after="0" w:line="360" w:lineRule="auto"/>
              <w:ind w:left="0" w:leftChars="0" w:firstLine="482" w:firstLineChars="200"/>
              <w:jc w:val="left"/>
              <w:rPr>
                <w:b/>
                <w:color w:val="000000"/>
                <w:sz w:val="24"/>
              </w:rPr>
            </w:pPr>
            <w:r>
              <w:rPr>
                <w:b/>
                <w:color w:val="000000"/>
                <w:sz w:val="24"/>
              </w:rPr>
              <w:t>（一）施工扬尘</w:t>
            </w:r>
          </w:p>
          <w:p w14:paraId="22BF6072">
            <w:pPr>
              <w:pStyle w:val="10"/>
              <w:spacing w:after="0" w:line="360" w:lineRule="auto"/>
              <w:ind w:left="0" w:leftChars="0" w:firstLine="482" w:firstLineChars="200"/>
              <w:jc w:val="left"/>
              <w:rPr>
                <w:b/>
                <w:color w:val="000000"/>
                <w:sz w:val="24"/>
              </w:rPr>
            </w:pPr>
            <w:r>
              <w:rPr>
                <w:b/>
                <w:color w:val="000000"/>
                <w:sz w:val="24"/>
              </w:rPr>
              <w:t>（1）车辆行驶扬尘</w:t>
            </w:r>
          </w:p>
          <w:p w14:paraId="5A71802A">
            <w:pPr>
              <w:spacing w:line="360" w:lineRule="auto"/>
              <w:ind w:firstLine="480" w:firstLineChars="200"/>
              <w:jc w:val="left"/>
              <w:rPr>
                <w:color w:val="000000"/>
                <w:sz w:val="24"/>
              </w:rPr>
            </w:pPr>
            <w:r>
              <w:rPr>
                <w:color w:val="000000"/>
                <w:sz w:val="24"/>
              </w:rPr>
              <w:t>施工工地的扬尘主要是由工程建设中所需的砂、石等材料装卸、运输等工序产生的车辆行驶扬尘</w:t>
            </w:r>
            <w:r>
              <w:rPr>
                <w:rFonts w:hint="eastAsia"/>
                <w:color w:val="000000"/>
                <w:sz w:val="24"/>
                <w:lang w:eastAsia="zh-CN"/>
              </w:rPr>
              <w:t>。</w:t>
            </w:r>
            <w:r>
              <w:rPr>
                <w:color w:val="000000"/>
                <w:sz w:val="24"/>
              </w:rPr>
              <w:t>如果在施工期间对车辆行驶的路面实施洒水抑尘，每天洒水4～5次，可使扬尘减少70%左右。</w:t>
            </w:r>
            <w:r>
              <w:rPr>
                <w:rFonts w:hint="eastAsia"/>
                <w:color w:val="000000"/>
                <w:sz w:val="24"/>
                <w:lang w:val="en-US" w:eastAsia="zh-CN"/>
              </w:rPr>
              <w:t>根据</w:t>
            </w:r>
            <w:r>
              <w:rPr>
                <w:color w:val="000000"/>
                <w:sz w:val="24"/>
              </w:rPr>
              <w:t>施工场地洒水抑尘的试验结果，结果表明实施每天洒水4～5次进行抑尘，可有效地控制施工扬尘，可将TSP污染距离缩小到20～50m范围。因此，限速行驶及保持路面清洁，同时适当洒水是减少汽车扬尘的有效手段。</w:t>
            </w:r>
          </w:p>
          <w:p w14:paraId="1786897F">
            <w:pPr>
              <w:pStyle w:val="10"/>
              <w:spacing w:after="0" w:line="360" w:lineRule="auto"/>
              <w:ind w:left="0" w:leftChars="0" w:firstLine="482" w:firstLineChars="200"/>
              <w:jc w:val="left"/>
              <w:rPr>
                <w:b/>
                <w:color w:val="000000"/>
                <w:sz w:val="24"/>
              </w:rPr>
            </w:pPr>
            <w:r>
              <w:rPr>
                <w:b/>
                <w:color w:val="000000"/>
                <w:sz w:val="24"/>
              </w:rPr>
              <w:t>（2）施工扬尘</w:t>
            </w:r>
          </w:p>
          <w:p w14:paraId="69319B94">
            <w:pPr>
              <w:pStyle w:val="10"/>
              <w:adjustRightInd w:val="0"/>
              <w:snapToGrid w:val="0"/>
              <w:spacing w:after="0" w:line="360" w:lineRule="auto"/>
              <w:ind w:left="0" w:leftChars="0" w:firstLine="480" w:firstLineChars="200"/>
              <w:jc w:val="left"/>
              <w:rPr>
                <w:color w:val="000000"/>
                <w:sz w:val="24"/>
              </w:rPr>
            </w:pPr>
            <w:r>
              <w:rPr>
                <w:color w:val="000000"/>
                <w:sz w:val="24"/>
              </w:rPr>
              <w:t>由于施工的需要，一些砂、石等建材需露天堆放；一些施工点表层土壤需人工开挖、堆放，在气候干燥又有风的情况下，会产生扬尘，根据现场的气候情况不同，其影响范围也有所不同。因此禁止在大风天气进行此类作业，并对施工材料采用密目网进行临时苫盖，以减少施工扬尘对周围环境的影响。</w:t>
            </w:r>
          </w:p>
          <w:p w14:paraId="637C1F2A">
            <w:pPr>
              <w:pStyle w:val="10"/>
              <w:spacing w:after="0" w:line="360" w:lineRule="auto"/>
              <w:ind w:left="0" w:leftChars="0" w:firstLine="482" w:firstLineChars="200"/>
              <w:jc w:val="left"/>
              <w:rPr>
                <w:rFonts w:hint="default" w:ascii="Times New Roman" w:hAnsi="Times New Roman" w:cs="Times New Roman"/>
                <w:b/>
                <w:color w:val="000000"/>
                <w:sz w:val="24"/>
              </w:rPr>
            </w:pPr>
            <w:r>
              <w:rPr>
                <w:rFonts w:hint="default" w:ascii="Times New Roman" w:hAnsi="Times New Roman" w:cs="Times New Roman"/>
                <w:b/>
                <w:color w:val="000000"/>
                <w:sz w:val="24"/>
              </w:rPr>
              <w:t>（二）机械尾气</w:t>
            </w:r>
          </w:p>
          <w:p w14:paraId="0CBF97B1">
            <w:pPr>
              <w:pStyle w:val="22"/>
              <w:spacing w:after="0" w:line="360" w:lineRule="auto"/>
              <w:ind w:left="0" w:leftChars="0" w:firstLine="480"/>
              <w:jc w:val="left"/>
              <w:rPr>
                <w:color w:val="000000"/>
                <w:sz w:val="24"/>
              </w:rPr>
            </w:pPr>
            <w:r>
              <w:rPr>
                <w:rFonts w:hint="default" w:ascii="Times New Roman" w:hAnsi="Times New Roman" w:cs="Times New Roman"/>
                <w:color w:val="000000"/>
                <w:sz w:val="24"/>
              </w:rPr>
              <w:t>施工机械及车辆在施工场地附近会排放一定量的燃油废气，主要包括NOx、CO和碳氢化合物（THC）等污染物。</w:t>
            </w:r>
          </w:p>
          <w:p w14:paraId="5A458A88">
            <w:pPr>
              <w:adjustRightInd w:val="0"/>
              <w:snapToGrid w:val="0"/>
              <w:spacing w:line="360" w:lineRule="auto"/>
              <w:ind w:firstLine="482" w:firstLineChars="200"/>
              <w:rPr>
                <w:b/>
                <w:bCs/>
                <w:color w:val="000000"/>
                <w:sz w:val="24"/>
              </w:rPr>
            </w:pPr>
            <w:r>
              <w:rPr>
                <w:rFonts w:hint="eastAsia"/>
                <w:b/>
                <w:bCs/>
                <w:color w:val="000000"/>
                <w:sz w:val="24"/>
                <w:lang w:val="en-US" w:eastAsia="zh-CN"/>
              </w:rPr>
              <w:t>2</w:t>
            </w:r>
            <w:r>
              <w:rPr>
                <w:b/>
                <w:bCs/>
                <w:color w:val="000000"/>
                <w:sz w:val="24"/>
              </w:rPr>
              <w:t>、施工期水环境影响分析</w:t>
            </w:r>
          </w:p>
          <w:p w14:paraId="2BC0CD4E">
            <w:pPr>
              <w:pStyle w:val="10"/>
              <w:adjustRightInd w:val="0"/>
              <w:snapToGrid w:val="0"/>
              <w:spacing w:after="0" w:line="360" w:lineRule="auto"/>
              <w:ind w:left="0" w:leftChars="0" w:firstLine="480" w:firstLineChars="200"/>
              <w:rPr>
                <w:color w:val="000000"/>
                <w:sz w:val="24"/>
              </w:rPr>
            </w:pPr>
            <w:r>
              <w:rPr>
                <w:color w:val="000000"/>
                <w:sz w:val="24"/>
              </w:rPr>
              <w:t>施工期废水主要为施工废水和施工人员生活污水。</w:t>
            </w:r>
          </w:p>
          <w:p w14:paraId="2658EC2F">
            <w:pPr>
              <w:adjustRightInd w:val="0"/>
              <w:snapToGrid w:val="0"/>
              <w:spacing w:line="360" w:lineRule="auto"/>
              <w:ind w:firstLine="482" w:firstLineChars="200"/>
              <w:rPr>
                <w:b/>
                <w:color w:val="000000"/>
                <w:sz w:val="24"/>
              </w:rPr>
            </w:pPr>
            <w:r>
              <w:rPr>
                <w:b/>
                <w:color w:val="000000"/>
                <w:sz w:val="24"/>
              </w:rPr>
              <w:t>（1）施工废水</w:t>
            </w:r>
          </w:p>
          <w:p w14:paraId="371DCD23">
            <w:pPr>
              <w:adjustRightInd w:val="0"/>
              <w:snapToGrid w:val="0"/>
              <w:spacing w:line="360" w:lineRule="auto"/>
              <w:ind w:firstLine="480" w:firstLineChars="200"/>
              <w:rPr>
                <w:rFonts w:ascii="Times New Roman" w:hAnsi="Times New Roman"/>
                <w:bCs/>
                <w:color w:val="000000"/>
                <w:szCs w:val="24"/>
                <w:lang w:eastAsia="zh-CN"/>
              </w:rPr>
            </w:pPr>
            <w:r>
              <w:rPr>
                <w:color w:val="000000"/>
                <w:sz w:val="24"/>
              </w:rPr>
              <w:t>设备冲洗废水：项目施工机械设备冲洗</w:t>
            </w:r>
            <w:r>
              <w:rPr>
                <w:rFonts w:hint="eastAsia"/>
                <w:color w:val="000000"/>
                <w:sz w:val="24"/>
                <w:lang w:val="en-US" w:eastAsia="zh-CN"/>
              </w:rPr>
              <w:t>废水</w:t>
            </w:r>
            <w:r>
              <w:rPr>
                <w:color w:val="000000"/>
                <w:sz w:val="24"/>
              </w:rPr>
              <w:t>，主要污染物为SS。本工程设置一座</w:t>
            </w:r>
            <w:r>
              <w:rPr>
                <w:rFonts w:hint="eastAsia"/>
                <w:color w:val="000000"/>
                <w:sz w:val="24"/>
                <w:lang w:val="en-US" w:eastAsia="zh-CN"/>
              </w:rPr>
              <w:t>临时</w:t>
            </w:r>
            <w:r>
              <w:rPr>
                <w:color w:val="000000"/>
                <w:sz w:val="24"/>
              </w:rPr>
              <w:t>沉淀池，施工废水经沉淀池预处理后，回用于施工场地洒水降尘不外排，并定期对沉淀池的沉淀物进行清掏，晒干后用于土石方回填。</w:t>
            </w:r>
          </w:p>
          <w:p w14:paraId="18D98AF4">
            <w:pPr>
              <w:pStyle w:val="52"/>
              <w:adjustRightInd w:val="0"/>
              <w:snapToGrid w:val="0"/>
              <w:ind w:firstLine="482"/>
              <w:rPr>
                <w:rFonts w:eastAsia="宋体"/>
                <w:b/>
                <w:color w:val="000000"/>
              </w:rPr>
            </w:pPr>
            <w:r>
              <w:rPr>
                <w:rFonts w:eastAsia="宋体"/>
                <w:b/>
                <w:color w:val="000000"/>
                <w:szCs w:val="24"/>
              </w:rPr>
              <w:t>（</w:t>
            </w:r>
            <w:r>
              <w:rPr>
                <w:rFonts w:hint="eastAsia"/>
                <w:b/>
                <w:color w:val="000000"/>
                <w:szCs w:val="24"/>
                <w:lang w:val="en-US" w:eastAsia="zh-CN"/>
              </w:rPr>
              <w:t>2</w:t>
            </w:r>
            <w:r>
              <w:rPr>
                <w:rFonts w:eastAsia="宋体"/>
                <w:b/>
                <w:color w:val="000000"/>
                <w:szCs w:val="24"/>
              </w:rPr>
              <w:t>）</w:t>
            </w:r>
            <w:r>
              <w:rPr>
                <w:rFonts w:eastAsia="宋体"/>
                <w:b/>
                <w:color w:val="000000"/>
              </w:rPr>
              <w:t>施工人员生活污水</w:t>
            </w:r>
          </w:p>
          <w:p w14:paraId="3A3957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000000"/>
                <w:kern w:val="0"/>
                <w:sz w:val="24"/>
                <w:lang w:eastAsia="zh-CN" w:bidi="en-US"/>
              </w:rPr>
            </w:pPr>
            <w:r>
              <w:rPr>
                <w:color w:val="000000"/>
                <w:kern w:val="0"/>
                <w:sz w:val="24"/>
              </w:rPr>
              <w:t>施工人员</w:t>
            </w:r>
            <w:r>
              <w:rPr>
                <w:rFonts w:hint="eastAsia"/>
                <w:color w:val="000000"/>
                <w:kern w:val="0"/>
                <w:sz w:val="24"/>
                <w:lang w:val="en-US" w:eastAsia="zh-CN"/>
              </w:rPr>
              <w:t>盥洗废水泼洒降尘</w:t>
            </w:r>
            <w:r>
              <w:rPr>
                <w:color w:val="000000"/>
                <w:kern w:val="0"/>
                <w:sz w:val="24"/>
              </w:rPr>
              <w:t>，施工区修建</w:t>
            </w:r>
            <w:r>
              <w:rPr>
                <w:rFonts w:hint="eastAsia"/>
                <w:color w:val="000000"/>
                <w:kern w:val="0"/>
                <w:sz w:val="24"/>
                <w:lang w:val="en-US" w:eastAsia="zh-CN"/>
              </w:rPr>
              <w:t>干式环保厕所</w:t>
            </w:r>
            <w:r>
              <w:rPr>
                <w:color w:val="000000"/>
                <w:kern w:val="0"/>
                <w:sz w:val="24"/>
              </w:rPr>
              <w:t>，粪便定期清掏清运，待施工结束后</w:t>
            </w:r>
            <w:r>
              <w:rPr>
                <w:rFonts w:hint="eastAsia"/>
                <w:color w:val="000000"/>
                <w:kern w:val="0"/>
                <w:sz w:val="24"/>
                <w:lang w:val="en-US" w:eastAsia="zh-CN"/>
              </w:rPr>
              <w:t>可继续用于运营期职工人员如厕</w:t>
            </w:r>
            <w:r>
              <w:rPr>
                <w:color w:val="000000"/>
                <w:kern w:val="0"/>
                <w:sz w:val="24"/>
              </w:rPr>
              <w:t>。</w:t>
            </w:r>
          </w:p>
          <w:p w14:paraId="08CE7B06">
            <w:pPr>
              <w:adjustRightInd w:val="0"/>
              <w:snapToGrid w:val="0"/>
              <w:spacing w:line="360" w:lineRule="auto"/>
              <w:ind w:firstLine="482" w:firstLineChars="200"/>
              <w:jc w:val="left"/>
              <w:rPr>
                <w:b/>
                <w:bCs/>
                <w:color w:val="000000"/>
                <w:sz w:val="24"/>
              </w:rPr>
            </w:pPr>
            <w:r>
              <w:rPr>
                <w:rFonts w:hint="eastAsia"/>
                <w:b/>
                <w:bCs/>
                <w:color w:val="000000"/>
                <w:sz w:val="24"/>
                <w:lang w:val="en-US" w:eastAsia="zh-CN"/>
              </w:rPr>
              <w:t>3</w:t>
            </w:r>
            <w:r>
              <w:rPr>
                <w:b/>
                <w:bCs/>
                <w:color w:val="000000"/>
                <w:sz w:val="24"/>
              </w:rPr>
              <w:t>、声环境影响分析</w:t>
            </w:r>
          </w:p>
          <w:p w14:paraId="4A7D77BC">
            <w:pPr>
              <w:pStyle w:val="53"/>
              <w:adjustRightInd/>
              <w:spacing w:line="360" w:lineRule="auto"/>
              <w:ind w:firstLine="480" w:firstLineChars="200"/>
              <w:rPr>
                <w:rFonts w:ascii="Times New Roman" w:cs="Times New Roman"/>
                <w:kern w:val="2"/>
              </w:rPr>
            </w:pPr>
            <w:r>
              <w:rPr>
                <w:color w:val="000000"/>
                <w:sz w:val="24"/>
              </w:rPr>
              <w:t>施工期噪声主要为施工机械产生噪声。施工期噪声包括各建筑机械和运输车辆噪声，声级值一般在85～100dB（A）。</w:t>
            </w:r>
            <w:r>
              <w:rPr>
                <w:color w:val="000000"/>
                <w:kern w:val="0"/>
                <w:sz w:val="24"/>
                <w:lang w:bidi="ar"/>
              </w:rPr>
              <w:t>施工过程采用的挖掘机、挖土机、振捣棒等机械设备以及运输车辆在运行时会产生一定量的噪声</w:t>
            </w:r>
            <w:r>
              <w:rPr>
                <w:rFonts w:hint="eastAsia"/>
                <w:color w:val="000000"/>
                <w:kern w:val="0"/>
                <w:sz w:val="24"/>
                <w:lang w:eastAsia="zh-CN" w:bidi="ar"/>
              </w:rPr>
              <w:t>，</w:t>
            </w:r>
            <w:r>
              <w:rPr>
                <w:rFonts w:ascii="Times New Roman" w:cs="Times New Roman"/>
                <w:kern w:val="2"/>
              </w:rPr>
              <w:t>均为间歇性噪声源。根据同类型施工的噪声监测数据，噪声影响随施工结束而结束。</w:t>
            </w:r>
          </w:p>
          <w:p w14:paraId="0715C6B6">
            <w:pPr>
              <w:adjustRightInd w:val="0"/>
              <w:snapToGrid w:val="0"/>
              <w:spacing w:line="360" w:lineRule="auto"/>
              <w:ind w:firstLine="482" w:firstLineChars="200"/>
              <w:jc w:val="left"/>
              <w:rPr>
                <w:b/>
                <w:bCs/>
                <w:color w:val="000000"/>
                <w:sz w:val="24"/>
              </w:rPr>
            </w:pPr>
            <w:r>
              <w:rPr>
                <w:rFonts w:hint="eastAsia"/>
                <w:b/>
                <w:bCs/>
                <w:color w:val="000000"/>
                <w:sz w:val="24"/>
                <w:lang w:val="en-US" w:eastAsia="zh-CN"/>
              </w:rPr>
              <w:t>4</w:t>
            </w:r>
            <w:r>
              <w:rPr>
                <w:b/>
                <w:bCs/>
                <w:color w:val="000000"/>
                <w:sz w:val="24"/>
              </w:rPr>
              <w:t>、施工期固体废物环境影响分析</w:t>
            </w:r>
          </w:p>
          <w:p w14:paraId="48751E04">
            <w:pPr>
              <w:spacing w:line="360" w:lineRule="auto"/>
              <w:ind w:firstLine="480" w:firstLineChars="200"/>
              <w:rPr>
                <w:rFonts w:hint="default" w:eastAsia="宋体"/>
                <w:b w:val="0"/>
                <w:color w:val="000000"/>
                <w:sz w:val="24"/>
                <w:szCs w:val="24"/>
                <w:highlight w:val="yellow"/>
                <w:lang w:val="en-US" w:eastAsia="zh-CN"/>
              </w:rPr>
            </w:pPr>
            <w:r>
              <w:rPr>
                <w:rFonts w:ascii="Times New Roman" w:hAnsi="Times New Roman" w:eastAsia="宋体" w:cs="Times New Roman"/>
                <w:color w:val="000000"/>
                <w:sz w:val="24"/>
              </w:rPr>
              <w:t>根据本工程的建设内容及施工特点，工程施工过程中产生的固体废物主要为</w:t>
            </w:r>
            <w:r>
              <w:rPr>
                <w:rFonts w:hint="eastAsia" w:ascii="Times New Roman" w:hAnsi="Times New Roman" w:eastAsia="宋体" w:cs="Times New Roman"/>
                <w:color w:val="000000"/>
                <w:sz w:val="24"/>
                <w:lang w:val="en-US" w:eastAsia="zh-CN"/>
              </w:rPr>
              <w:t>剥离表土</w:t>
            </w:r>
            <w:r>
              <w:rPr>
                <w:rFonts w:ascii="Times New Roman" w:hAnsi="Times New Roman" w:eastAsia="宋体" w:cs="Times New Roman"/>
                <w:color w:val="000000"/>
                <w:sz w:val="24"/>
              </w:rPr>
              <w:t>、建筑垃圾和施工人员产生的生活垃圾。</w:t>
            </w:r>
            <w:r>
              <w:rPr>
                <w:rFonts w:hint="eastAsia" w:ascii="Times New Roman" w:hAnsi="Times New Roman" w:eastAsia="宋体" w:cs="Times New Roman"/>
                <w:color w:val="000000"/>
                <w:sz w:val="24"/>
                <w:lang w:val="en-US" w:eastAsia="zh-CN"/>
              </w:rPr>
              <w:t>剥离表土和矿石运至排土场，可全部利用；建筑垃圾能回收利用的回收利用，不能回收的运至指定场所；生活垃圾经收集后由当地环卫部门统一清运处置。</w:t>
            </w:r>
          </w:p>
          <w:p w14:paraId="449CD303">
            <w:pPr>
              <w:adjustRightInd w:val="0"/>
              <w:snapToGrid w:val="0"/>
              <w:spacing w:line="360" w:lineRule="auto"/>
              <w:ind w:firstLine="482" w:firstLineChars="200"/>
              <w:jc w:val="left"/>
              <w:rPr>
                <w:b/>
                <w:bCs/>
                <w:color w:val="000000"/>
                <w:sz w:val="24"/>
              </w:rPr>
            </w:pPr>
            <w:r>
              <w:rPr>
                <w:rFonts w:hint="eastAsia"/>
                <w:b/>
                <w:bCs/>
                <w:color w:val="000000"/>
                <w:sz w:val="24"/>
                <w:lang w:val="en-US" w:eastAsia="zh-CN"/>
              </w:rPr>
              <w:t>5</w:t>
            </w:r>
            <w:r>
              <w:rPr>
                <w:b/>
                <w:bCs/>
                <w:color w:val="000000"/>
                <w:sz w:val="24"/>
              </w:rPr>
              <w:t>、施工期</w:t>
            </w:r>
            <w:r>
              <w:rPr>
                <w:rFonts w:hint="eastAsia"/>
                <w:b/>
                <w:bCs/>
                <w:color w:val="000000"/>
                <w:sz w:val="24"/>
                <w:lang w:val="en-US" w:eastAsia="zh-CN"/>
              </w:rPr>
              <w:t>生态</w:t>
            </w:r>
            <w:r>
              <w:rPr>
                <w:b/>
                <w:bCs/>
                <w:color w:val="000000"/>
                <w:sz w:val="24"/>
              </w:rPr>
              <w:t>环境影响分析</w:t>
            </w:r>
          </w:p>
          <w:p w14:paraId="0F4A31CE">
            <w:pPr>
              <w:spacing w:line="360" w:lineRule="auto"/>
              <w:ind w:firstLine="480" w:firstLineChars="200"/>
              <w:rPr>
                <w:b w:val="0"/>
                <w:sz w:val="24"/>
                <w:szCs w:val="24"/>
              </w:rPr>
            </w:pPr>
            <w:r>
              <w:rPr>
                <w:b w:val="0"/>
                <w:color w:val="000000"/>
                <w:sz w:val="24"/>
                <w:szCs w:val="24"/>
              </w:rPr>
              <w:t>本项目施工期对环境影响的主要因素是</w:t>
            </w:r>
            <w:r>
              <w:rPr>
                <w:rFonts w:hint="eastAsia" w:ascii="Times New Roman" w:hAnsi="Times New Roman" w:eastAsia="宋体" w:cs="Times New Roman"/>
                <w:color w:val="000000"/>
                <w:sz w:val="24"/>
              </w:rPr>
              <w:t>基建水平、矿山道路工程、露天采场防排水设施</w:t>
            </w:r>
            <w:r>
              <w:rPr>
                <w:rFonts w:hint="eastAsia"/>
                <w:b w:val="0"/>
                <w:color w:val="000000"/>
                <w:sz w:val="24"/>
                <w:szCs w:val="24"/>
                <w:lang w:eastAsia="zh-CN"/>
              </w:rPr>
              <w:t>等，</w:t>
            </w:r>
            <w:r>
              <w:rPr>
                <w:b w:val="0"/>
                <w:color w:val="000000"/>
                <w:sz w:val="24"/>
                <w:szCs w:val="24"/>
              </w:rPr>
              <w:t>工程建设将造成局部地段植被破坏，对生态环境产生干扰与影响。</w:t>
            </w:r>
            <w:r>
              <w:rPr>
                <w:b w:val="0"/>
                <w:sz w:val="24"/>
                <w:szCs w:val="24"/>
              </w:rPr>
              <w:t>施工期场地平整、基建采场的形成及占地对生态环境影响。</w:t>
            </w:r>
          </w:p>
          <w:p w14:paraId="5171D798">
            <w:pPr>
              <w:spacing w:line="360" w:lineRule="auto"/>
              <w:ind w:firstLine="480" w:firstLineChars="200"/>
              <w:rPr>
                <w:rFonts w:hint="eastAsia"/>
                <w:sz w:val="24"/>
                <w:szCs w:val="24"/>
              </w:rPr>
            </w:pPr>
            <w:r>
              <w:rPr>
                <w:rFonts w:hint="eastAsia"/>
                <w:sz w:val="24"/>
                <w:szCs w:val="24"/>
              </w:rPr>
              <w:t>项目区</w:t>
            </w:r>
            <w:r>
              <w:rPr>
                <w:rFonts w:hint="eastAsia"/>
                <w:sz w:val="24"/>
                <w:szCs w:val="24"/>
                <w:lang w:val="en-US" w:eastAsia="zh-CN"/>
              </w:rPr>
              <w:t>外</w:t>
            </w:r>
            <w:r>
              <w:rPr>
                <w:rFonts w:hint="eastAsia"/>
                <w:sz w:val="24"/>
                <w:szCs w:val="24"/>
              </w:rPr>
              <w:t>运输道路</w:t>
            </w:r>
            <w:r>
              <w:rPr>
                <w:rFonts w:hint="eastAsia"/>
                <w:sz w:val="24"/>
                <w:szCs w:val="24"/>
                <w:lang w:eastAsia="zh-CN"/>
              </w:rPr>
              <w:t>利用</w:t>
            </w:r>
            <w:r>
              <w:rPr>
                <w:rFonts w:hint="eastAsia"/>
                <w:sz w:val="24"/>
                <w:szCs w:val="24"/>
                <w:lang w:val="en-US" w:eastAsia="zh-CN"/>
              </w:rPr>
              <w:t>现</w:t>
            </w:r>
            <w:r>
              <w:rPr>
                <w:rFonts w:hint="eastAsia"/>
                <w:sz w:val="24"/>
                <w:szCs w:val="24"/>
                <w:lang w:eastAsia="zh-CN"/>
              </w:rPr>
              <w:t>有</w:t>
            </w:r>
            <w:r>
              <w:rPr>
                <w:rFonts w:hint="eastAsia"/>
                <w:sz w:val="24"/>
                <w:szCs w:val="24"/>
                <w:lang w:val="en-US" w:eastAsia="zh-CN"/>
              </w:rPr>
              <w:t>硬化村道</w:t>
            </w:r>
            <w:r>
              <w:rPr>
                <w:rFonts w:hint="eastAsia"/>
                <w:sz w:val="24"/>
                <w:szCs w:val="24"/>
              </w:rPr>
              <w:t>，</w:t>
            </w:r>
            <w:r>
              <w:rPr>
                <w:rFonts w:hint="eastAsia"/>
                <w:sz w:val="24"/>
                <w:szCs w:val="24"/>
                <w:lang w:val="en-US" w:eastAsia="zh-CN"/>
              </w:rPr>
              <w:t>矿区内运输修建临时道路，</w:t>
            </w:r>
            <w:r>
              <w:rPr>
                <w:rFonts w:hint="eastAsia"/>
                <w:sz w:val="24"/>
                <w:szCs w:val="24"/>
              </w:rPr>
              <w:t>车辆来往行驶</w:t>
            </w:r>
            <w:r>
              <w:rPr>
                <w:rFonts w:hint="eastAsia"/>
                <w:sz w:val="24"/>
                <w:szCs w:val="24"/>
                <w:lang w:val="en-US" w:eastAsia="zh-CN"/>
              </w:rPr>
              <w:t>会</w:t>
            </w:r>
            <w:r>
              <w:rPr>
                <w:rFonts w:hint="eastAsia"/>
                <w:sz w:val="24"/>
                <w:szCs w:val="24"/>
              </w:rPr>
              <w:t>改变土壤结构、土壤理化性质，降低土壤肥力，进而对项目区植被的生长和产量造成一定影响。</w:t>
            </w:r>
          </w:p>
          <w:p w14:paraId="2BC573DE">
            <w:pPr>
              <w:spacing w:line="360" w:lineRule="auto"/>
              <w:ind w:firstLine="480" w:firstLineChars="200"/>
            </w:pPr>
            <w:r>
              <w:rPr>
                <w:rFonts w:hint="eastAsia"/>
                <w:sz w:val="24"/>
                <w:szCs w:val="24"/>
                <w:lang w:val="en-US" w:eastAsia="zh-CN"/>
              </w:rPr>
              <w:t>此外，本</w:t>
            </w:r>
            <w:r>
              <w:rPr>
                <w:rFonts w:hint="eastAsia"/>
                <w:sz w:val="24"/>
                <w:szCs w:val="24"/>
              </w:rPr>
              <w:t>项目排土场、</w:t>
            </w:r>
            <w:r>
              <w:rPr>
                <w:rFonts w:hint="eastAsia"/>
                <w:sz w:val="24"/>
                <w:szCs w:val="24"/>
                <w:lang w:val="en-US" w:eastAsia="zh-CN"/>
              </w:rPr>
              <w:t>加工</w:t>
            </w:r>
            <w:r>
              <w:rPr>
                <w:rFonts w:hint="eastAsia"/>
                <w:sz w:val="24"/>
                <w:szCs w:val="24"/>
              </w:rPr>
              <w:t>生活区</w:t>
            </w:r>
            <w:r>
              <w:rPr>
                <w:rFonts w:hint="eastAsia"/>
                <w:sz w:val="24"/>
                <w:szCs w:val="24"/>
                <w:lang w:val="en-US" w:eastAsia="zh-CN"/>
              </w:rPr>
              <w:t>的建设</w:t>
            </w:r>
            <w:r>
              <w:rPr>
                <w:rFonts w:hint="eastAsia"/>
                <w:sz w:val="24"/>
                <w:szCs w:val="24"/>
                <w:lang w:eastAsia="zh-CN"/>
              </w:rPr>
              <w:t>在生产过程中可能会</w:t>
            </w:r>
            <w:r>
              <w:rPr>
                <w:rFonts w:hint="eastAsia"/>
                <w:sz w:val="24"/>
                <w:szCs w:val="24"/>
              </w:rPr>
              <w:t>使</w:t>
            </w:r>
            <w:r>
              <w:rPr>
                <w:rFonts w:hint="eastAsia"/>
                <w:sz w:val="24"/>
                <w:szCs w:val="24"/>
                <w:lang w:eastAsia="zh-CN"/>
              </w:rPr>
              <w:t>周边</w:t>
            </w:r>
            <w:r>
              <w:rPr>
                <w:rFonts w:hint="eastAsia"/>
                <w:sz w:val="24"/>
                <w:szCs w:val="24"/>
              </w:rPr>
              <w:t>区域植被覆盖和植物多样性下降，导致生态系统的结构和功能下降。以上项目均为临时占地，项目结束后对其进行平整和恢复绿化，该影响可逆。</w:t>
            </w:r>
            <w:bookmarkEnd w:id="14"/>
            <w:bookmarkEnd w:id="15"/>
          </w:p>
        </w:tc>
      </w:tr>
      <w:tr w14:paraId="15775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dxa"/>
            <w:noWrap w:val="0"/>
            <w:tcMar>
              <w:left w:w="28" w:type="dxa"/>
              <w:right w:w="28" w:type="dxa"/>
            </w:tcMar>
            <w:vAlign w:val="center"/>
          </w:tcPr>
          <w:p w14:paraId="0FB5105F">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cs="宋体"/>
                <w:bCs/>
                <w:kern w:val="2"/>
                <w:sz w:val="21"/>
                <w:szCs w:val="21"/>
              </w:rPr>
            </w:pPr>
            <w:r>
              <w:rPr>
                <w:rFonts w:hint="eastAsia" w:cs="宋体"/>
                <w:bCs/>
                <w:spacing w:val="10"/>
                <w:kern w:val="2"/>
                <w:sz w:val="21"/>
                <w:szCs w:val="21"/>
              </w:rPr>
              <w:t>运营期生态环境影响分析</w:t>
            </w:r>
          </w:p>
        </w:tc>
        <w:tc>
          <w:tcPr>
            <w:tcW w:w="8671" w:type="dxa"/>
            <w:noWrap w:val="0"/>
            <w:vAlign w:val="top"/>
          </w:tcPr>
          <w:p w14:paraId="5C6C9D3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b/>
                <w:sz w:val="24"/>
                <w:szCs w:val="24"/>
                <w:lang w:val="en-US" w:eastAsia="zh-CN"/>
              </w:rPr>
            </w:pPr>
            <w:r>
              <w:rPr>
                <w:rFonts w:hint="eastAsia"/>
                <w:b/>
                <w:sz w:val="24"/>
                <w:szCs w:val="24"/>
                <w:lang w:val="en-US" w:eastAsia="zh-CN"/>
              </w:rPr>
              <w:t>1、</w:t>
            </w:r>
            <w:r>
              <w:rPr>
                <w:rFonts w:hint="eastAsia"/>
                <w:b/>
                <w:sz w:val="24"/>
                <w:szCs w:val="24"/>
                <w:lang w:eastAsia="zh-CN"/>
              </w:rPr>
              <w:t>生态环境</w:t>
            </w:r>
            <w:r>
              <w:rPr>
                <w:rFonts w:hint="eastAsia"/>
                <w:b/>
                <w:sz w:val="24"/>
                <w:szCs w:val="24"/>
                <w:lang w:val="en-US" w:eastAsia="zh-CN"/>
              </w:rPr>
              <w:t>影响分析</w:t>
            </w:r>
          </w:p>
          <w:p w14:paraId="17009E44">
            <w:pPr>
              <w:spacing w:line="360" w:lineRule="auto"/>
              <w:ind w:firstLine="480" w:firstLineChars="200"/>
              <w:rPr>
                <w:rFonts w:hint="eastAsia"/>
                <w:sz w:val="24"/>
                <w:szCs w:val="24"/>
              </w:rPr>
            </w:pPr>
            <w:r>
              <w:rPr>
                <w:rFonts w:hint="eastAsia"/>
                <w:sz w:val="24"/>
                <w:szCs w:val="24"/>
              </w:rPr>
              <w:t>本项目</w:t>
            </w:r>
            <w:r>
              <w:rPr>
                <w:rFonts w:hint="eastAsia"/>
                <w:sz w:val="24"/>
                <w:szCs w:val="24"/>
                <w:lang w:eastAsia="zh-CN"/>
              </w:rPr>
              <w:t>运营期</w:t>
            </w:r>
            <w:r>
              <w:rPr>
                <w:rFonts w:hint="eastAsia"/>
                <w:sz w:val="24"/>
                <w:szCs w:val="24"/>
              </w:rPr>
              <w:t>间对生态造成的影响主要表现在矿山开采、排土场</w:t>
            </w:r>
            <w:r>
              <w:rPr>
                <w:rFonts w:hint="eastAsia"/>
                <w:sz w:val="24"/>
                <w:szCs w:val="24"/>
                <w:lang w:val="en-US" w:eastAsia="zh-CN"/>
              </w:rPr>
              <w:t>堆存表层土</w:t>
            </w:r>
            <w:r>
              <w:rPr>
                <w:rFonts w:hint="eastAsia"/>
                <w:sz w:val="24"/>
                <w:szCs w:val="24"/>
              </w:rPr>
              <w:t>、生活办公区</w:t>
            </w:r>
            <w:r>
              <w:rPr>
                <w:rFonts w:hint="eastAsia"/>
                <w:sz w:val="24"/>
                <w:szCs w:val="24"/>
                <w:lang w:val="en-US" w:eastAsia="zh-CN"/>
              </w:rPr>
              <w:t>建设等</w:t>
            </w:r>
            <w:r>
              <w:rPr>
                <w:rFonts w:hint="eastAsia"/>
                <w:sz w:val="24"/>
                <w:szCs w:val="24"/>
              </w:rPr>
              <w:t>造成的压占土地，破坏植被，改变地表形态，</w:t>
            </w:r>
            <w:r>
              <w:rPr>
                <w:rFonts w:hint="eastAsia"/>
                <w:sz w:val="24"/>
                <w:szCs w:val="24"/>
                <w:lang w:val="en-US" w:eastAsia="zh-CN"/>
              </w:rPr>
              <w:t>引起</w:t>
            </w:r>
            <w:r>
              <w:rPr>
                <w:rFonts w:hint="eastAsia"/>
                <w:sz w:val="24"/>
                <w:szCs w:val="24"/>
              </w:rPr>
              <w:t>水土流失。具体表现为如下：</w:t>
            </w:r>
          </w:p>
          <w:p w14:paraId="2FD08D79">
            <w:pPr>
              <w:spacing w:line="360" w:lineRule="auto"/>
              <w:ind w:firstLine="482" w:firstLineChars="200"/>
              <w:rPr>
                <w:rFonts w:hint="default" w:eastAsia="宋体"/>
                <w:sz w:val="24"/>
                <w:szCs w:val="24"/>
                <w:lang w:val="en-US" w:eastAsia="zh-CN"/>
              </w:rPr>
            </w:pPr>
            <w:r>
              <w:rPr>
                <w:rFonts w:hint="eastAsia"/>
                <w:b/>
                <w:bCs/>
                <w:sz w:val="24"/>
                <w:szCs w:val="24"/>
              </w:rPr>
              <w:t>（1）</w:t>
            </w:r>
            <w:r>
              <w:rPr>
                <w:rFonts w:hint="eastAsia"/>
                <w:b/>
                <w:bCs/>
                <w:sz w:val="24"/>
                <w:szCs w:val="24"/>
                <w:lang w:val="en-US" w:eastAsia="zh-CN"/>
              </w:rPr>
              <w:t>露天采场运营期对生态环境的影响</w:t>
            </w:r>
          </w:p>
          <w:p w14:paraId="081589AC">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color w:val="FF0000"/>
                <w:sz w:val="24"/>
                <w:szCs w:val="24"/>
                <w:lang w:eastAsia="zh-CN"/>
              </w:rPr>
            </w:pPr>
            <w:r>
              <w:rPr>
                <w:rFonts w:hint="eastAsia" w:ascii="Times New Roman" w:hAnsi="Times New Roman" w:eastAsia="宋体"/>
                <w:color w:val="FF0000"/>
                <w:sz w:val="24"/>
                <w:szCs w:val="24"/>
              </w:rPr>
              <w:fldChar w:fldCharType="begin"/>
            </w:r>
            <w:r>
              <w:rPr>
                <w:rFonts w:hint="eastAsia" w:ascii="Times New Roman" w:hAnsi="Times New Roman" w:eastAsia="宋体"/>
                <w:color w:val="FF0000"/>
                <w:sz w:val="24"/>
                <w:szCs w:val="24"/>
              </w:rPr>
              <w:instrText xml:space="preserve"> = 1 \* GB3 \* MERGEFORMAT </w:instrText>
            </w:r>
            <w:r>
              <w:rPr>
                <w:rFonts w:hint="eastAsia" w:ascii="Times New Roman" w:hAnsi="Times New Roman" w:eastAsia="宋体"/>
                <w:color w:val="FF0000"/>
                <w:sz w:val="24"/>
                <w:szCs w:val="24"/>
              </w:rPr>
              <w:fldChar w:fldCharType="separate"/>
            </w:r>
            <w:r>
              <w:rPr>
                <w:color w:val="FF0000"/>
              </w:rPr>
              <w:t>①</w:t>
            </w:r>
            <w:r>
              <w:rPr>
                <w:rFonts w:hint="eastAsia" w:ascii="Times New Roman" w:hAnsi="Times New Roman" w:eastAsia="宋体"/>
                <w:color w:val="FF0000"/>
                <w:sz w:val="24"/>
                <w:szCs w:val="24"/>
              </w:rPr>
              <w:fldChar w:fldCharType="end"/>
            </w:r>
            <w:r>
              <w:rPr>
                <w:rFonts w:hint="eastAsia" w:ascii="Times New Roman" w:hAnsi="Times New Roman" w:eastAsia="宋体"/>
                <w:color w:val="FF0000"/>
                <w:sz w:val="24"/>
                <w:szCs w:val="24"/>
                <w:lang w:eastAsia="zh-CN"/>
              </w:rPr>
              <w:t>对地表植被的破坏</w:t>
            </w:r>
          </w:p>
          <w:p w14:paraId="0FB14F57">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color w:val="FF0000"/>
                <w:sz w:val="24"/>
                <w:szCs w:val="24"/>
              </w:rPr>
            </w:pPr>
            <w:r>
              <w:rPr>
                <w:rFonts w:hint="eastAsia" w:ascii="Times New Roman" w:hAnsi="Times New Roman" w:eastAsia="宋体"/>
                <w:color w:val="FF0000"/>
                <w:sz w:val="24"/>
                <w:szCs w:val="24"/>
              </w:rPr>
              <w:t>本项目矿山开采过程中表土剥离，砂石开挖将破坏其地表植被，改变地表形态。露天开采对植被的破坏，一方面会造成地表的裸露，对该区景观造成不良的视觉效应；另一方面可能会引发该区水土流失等地质灾害；再者植被的破坏也打破了该区域生态系统的平衡，降低其景观异质性。</w:t>
            </w:r>
          </w:p>
          <w:p w14:paraId="713A2133">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color w:val="FF0000"/>
                <w:sz w:val="24"/>
                <w:szCs w:val="24"/>
                <w:lang w:eastAsia="zh-CN"/>
              </w:rPr>
            </w:pPr>
            <w:r>
              <w:rPr>
                <w:rFonts w:hint="eastAsia" w:ascii="Times New Roman" w:hAnsi="Times New Roman" w:eastAsia="宋体"/>
                <w:color w:val="FF0000"/>
                <w:sz w:val="24"/>
                <w:szCs w:val="24"/>
              </w:rPr>
              <w:t>经过</w:t>
            </w:r>
            <w:r>
              <w:rPr>
                <w:rFonts w:hint="eastAsia" w:ascii="Times New Roman" w:hAnsi="Times New Roman" w:eastAsia="宋体"/>
                <w:color w:val="FF0000"/>
                <w:sz w:val="24"/>
                <w:szCs w:val="24"/>
                <w:lang w:eastAsia="zh-CN"/>
              </w:rPr>
              <w:t>现场踏勘</w:t>
            </w:r>
            <w:r>
              <w:rPr>
                <w:rFonts w:hint="eastAsia" w:ascii="Times New Roman" w:hAnsi="Times New Roman" w:eastAsia="宋体"/>
                <w:color w:val="FF0000"/>
                <w:sz w:val="24"/>
                <w:szCs w:val="24"/>
              </w:rPr>
              <w:t>，</w:t>
            </w:r>
            <w:r>
              <w:rPr>
                <w:rFonts w:hint="eastAsia" w:ascii="Times New Roman" w:hAnsi="Times New Roman" w:eastAsia="宋体"/>
                <w:color w:val="FF0000"/>
                <w:sz w:val="24"/>
                <w:szCs w:val="24"/>
                <w:lang w:eastAsia="zh-CN"/>
              </w:rPr>
              <w:t>项目</w:t>
            </w:r>
            <w:r>
              <w:rPr>
                <w:rFonts w:hint="eastAsia" w:ascii="Times New Roman" w:hAnsi="Times New Roman" w:eastAsia="宋体"/>
                <w:color w:val="FF0000"/>
                <w:sz w:val="24"/>
                <w:szCs w:val="24"/>
              </w:rPr>
              <w:t>露天采场区主要</w:t>
            </w:r>
            <w:r>
              <w:rPr>
                <w:rFonts w:hint="eastAsia" w:ascii="Times New Roman" w:hAnsi="Times New Roman" w:eastAsia="宋体"/>
                <w:color w:val="FF0000"/>
                <w:sz w:val="24"/>
                <w:szCs w:val="24"/>
                <w:lang w:val="en-US" w:eastAsia="zh-CN"/>
              </w:rPr>
              <w:t>芨芨草</w:t>
            </w:r>
            <w:r>
              <w:rPr>
                <w:rFonts w:hint="eastAsia" w:ascii="Times New Roman" w:hAnsi="Times New Roman" w:eastAsia="宋体"/>
                <w:color w:val="FF0000"/>
                <w:sz w:val="24"/>
                <w:szCs w:val="24"/>
              </w:rPr>
              <w:t>、短花针茅等植物，项目区域内植被均为常见物种，种群分布广泛，适应性强</w:t>
            </w:r>
            <w:r>
              <w:rPr>
                <w:rFonts w:hint="eastAsia" w:ascii="Times New Roman" w:hAnsi="Times New Roman" w:eastAsia="宋体"/>
                <w:color w:val="FF0000"/>
                <w:sz w:val="24"/>
                <w:szCs w:val="24"/>
                <w:lang w:eastAsia="zh-CN"/>
              </w:rPr>
              <w:t>，无</w:t>
            </w:r>
            <w:r>
              <w:rPr>
                <w:rFonts w:hint="eastAsia" w:ascii="Times New Roman" w:hAnsi="Times New Roman" w:eastAsia="宋体"/>
                <w:color w:val="FF0000"/>
                <w:sz w:val="24"/>
                <w:szCs w:val="24"/>
              </w:rPr>
              <w:t>国家、省重点保护植物</w:t>
            </w:r>
            <w:r>
              <w:rPr>
                <w:rFonts w:hint="eastAsia" w:ascii="Times New Roman" w:hAnsi="Times New Roman" w:eastAsia="宋体"/>
                <w:color w:val="FF0000"/>
                <w:sz w:val="24"/>
                <w:szCs w:val="24"/>
                <w:lang w:eastAsia="zh-CN"/>
              </w:rPr>
              <w:t>分布</w:t>
            </w:r>
            <w:r>
              <w:rPr>
                <w:rFonts w:hint="eastAsia" w:ascii="Times New Roman" w:hAnsi="Times New Roman" w:eastAsia="宋体"/>
                <w:color w:val="FF0000"/>
                <w:sz w:val="24"/>
                <w:szCs w:val="24"/>
              </w:rPr>
              <w:t>。</w:t>
            </w:r>
            <w:r>
              <w:rPr>
                <w:rFonts w:hint="eastAsia" w:ascii="Times New Roman" w:hAnsi="Times New Roman" w:eastAsia="宋体"/>
                <w:color w:val="FF0000"/>
                <w:sz w:val="24"/>
                <w:szCs w:val="24"/>
                <w:lang w:eastAsia="zh-CN"/>
              </w:rPr>
              <w:t>加之本项目服务期满后将进行植被恢复、生态治理工作，可进一步消除其影响。</w:t>
            </w:r>
          </w:p>
          <w:p w14:paraId="73332840">
            <w:pPr>
              <w:spacing w:line="360" w:lineRule="auto"/>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lang w:val="en-US" w:eastAsia="zh-CN"/>
              </w:rPr>
              <w:t>工程施工中的工程占地、材料堆放等施工行为占地内的植被遭到了铲除、掩埋等一系列的人为干扰，根据上述项目区域内的植被类型知，受影响的自然植物在周边均有广泛分布，为当地常见种和广布种，故项目工程占地没有造成受影响的植物类型在该区域内没有消失，也没有显著改变区域内植被分布格局，待闭矿后进行植被恢复，而临时占地处破坏的植被，待施工结束后能及时进行恢复。</w:t>
            </w:r>
          </w:p>
          <w:p w14:paraId="79101115">
            <w:pPr>
              <w:spacing w:line="360" w:lineRule="auto"/>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lang w:val="en-US" w:eastAsia="zh-CN"/>
              </w:rPr>
              <w:t>鉴于此，项目施工期采取了严格控制施工作业面宽度，禁止砍伐、践踏或破坏施工征地红线范围外的植被；对工程建设中形成的次生裸地及时覆土；边施工边恢复，施工结束的区域及时覆土整地，并恢复绿化植被。</w:t>
            </w:r>
          </w:p>
          <w:p w14:paraId="4F41FDB5">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color w:val="FF0000"/>
                <w:sz w:val="24"/>
                <w:szCs w:val="24"/>
                <w:lang w:eastAsia="zh-CN"/>
              </w:rPr>
            </w:pPr>
            <w:r>
              <w:rPr>
                <w:rFonts w:hint="eastAsia" w:ascii="Times New Roman" w:hAnsi="Times New Roman" w:eastAsia="宋体"/>
                <w:color w:val="FF0000"/>
                <w:sz w:val="24"/>
                <w:szCs w:val="24"/>
              </w:rPr>
              <w:fldChar w:fldCharType="begin"/>
            </w:r>
            <w:r>
              <w:rPr>
                <w:rFonts w:hint="eastAsia" w:ascii="Times New Roman" w:hAnsi="Times New Roman" w:eastAsia="宋体"/>
                <w:color w:val="FF0000"/>
                <w:sz w:val="24"/>
                <w:szCs w:val="24"/>
              </w:rPr>
              <w:instrText xml:space="preserve"> = 2 \* GB3 \* MERGEFORMAT </w:instrText>
            </w:r>
            <w:r>
              <w:rPr>
                <w:rFonts w:hint="eastAsia" w:ascii="Times New Roman" w:hAnsi="Times New Roman" w:eastAsia="宋体"/>
                <w:color w:val="FF0000"/>
                <w:sz w:val="24"/>
                <w:szCs w:val="24"/>
              </w:rPr>
              <w:fldChar w:fldCharType="separate"/>
            </w:r>
            <w:r>
              <w:rPr>
                <w:color w:val="FF0000"/>
              </w:rPr>
              <w:t>②</w:t>
            </w:r>
            <w:r>
              <w:rPr>
                <w:rFonts w:hint="eastAsia" w:ascii="Times New Roman" w:hAnsi="Times New Roman" w:eastAsia="宋体"/>
                <w:color w:val="FF0000"/>
                <w:sz w:val="24"/>
                <w:szCs w:val="24"/>
              </w:rPr>
              <w:fldChar w:fldCharType="end"/>
            </w:r>
            <w:r>
              <w:rPr>
                <w:rFonts w:hint="eastAsia" w:ascii="Times New Roman" w:hAnsi="Times New Roman" w:eastAsia="宋体"/>
                <w:color w:val="FF0000"/>
                <w:sz w:val="24"/>
                <w:szCs w:val="24"/>
                <w:lang w:eastAsia="zh-CN"/>
              </w:rPr>
              <w:t>对土壤的扰动</w:t>
            </w:r>
          </w:p>
          <w:p w14:paraId="2A8445F4">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color w:val="FF0000"/>
                <w:sz w:val="24"/>
                <w:szCs w:val="24"/>
              </w:rPr>
            </w:pPr>
            <w:r>
              <w:rPr>
                <w:rFonts w:hint="eastAsia" w:ascii="Times New Roman" w:hAnsi="Times New Roman" w:eastAsia="宋体"/>
                <w:color w:val="FF0000"/>
                <w:sz w:val="24"/>
                <w:szCs w:val="24"/>
              </w:rPr>
              <w:t>对土壤的作用主要表现在开挖、堆放、运输过程中</w:t>
            </w:r>
            <w:r>
              <w:rPr>
                <w:rFonts w:hint="eastAsia" w:ascii="Times New Roman" w:hAnsi="Times New Roman" w:eastAsia="宋体"/>
                <w:color w:val="FF0000"/>
                <w:sz w:val="24"/>
                <w:szCs w:val="24"/>
                <w:lang w:eastAsia="zh-CN"/>
              </w:rPr>
              <w:t>占压、</w:t>
            </w:r>
            <w:r>
              <w:rPr>
                <w:rFonts w:hint="eastAsia" w:ascii="Times New Roman" w:hAnsi="Times New Roman" w:eastAsia="宋体"/>
                <w:color w:val="FF0000"/>
                <w:sz w:val="24"/>
                <w:szCs w:val="24"/>
              </w:rPr>
              <w:t>踩踏、机械设备夯实或碾压等物理作用，对土壤最大的影响是扰乱和破坏土壤结构。土壤结构是经过较长的历史时期形成的，一旦遭到破坏，短期内很难恢复。项目所占地主要为荒</w:t>
            </w:r>
            <w:r>
              <w:rPr>
                <w:rFonts w:hint="eastAsia" w:ascii="Times New Roman" w:hAnsi="Times New Roman" w:eastAsia="宋体"/>
                <w:color w:val="FF0000"/>
                <w:sz w:val="24"/>
                <w:szCs w:val="24"/>
                <w:lang w:val="en-US" w:eastAsia="zh-CN"/>
              </w:rPr>
              <w:t>坡</w:t>
            </w:r>
            <w:r>
              <w:rPr>
                <w:rFonts w:hint="eastAsia" w:ascii="Times New Roman" w:hAnsi="Times New Roman" w:eastAsia="宋体"/>
                <w:color w:val="FF0000"/>
                <w:sz w:val="24"/>
                <w:szCs w:val="24"/>
              </w:rPr>
              <w:t>，由于工程开挖及开挖土的堆放，必然扰乱和破坏土壤</w:t>
            </w:r>
            <w:r>
              <w:rPr>
                <w:rFonts w:hint="eastAsia" w:ascii="Times New Roman" w:hAnsi="Times New Roman" w:eastAsia="宋体"/>
                <w:color w:val="FF0000"/>
                <w:sz w:val="24"/>
                <w:szCs w:val="24"/>
                <w:lang w:eastAsia="zh-CN"/>
              </w:rPr>
              <w:t>表土层</w:t>
            </w:r>
            <w:r>
              <w:rPr>
                <w:rFonts w:hint="eastAsia" w:ascii="Times New Roman" w:hAnsi="Times New Roman" w:eastAsia="宋体"/>
                <w:color w:val="FF0000"/>
                <w:sz w:val="24"/>
                <w:szCs w:val="24"/>
              </w:rPr>
              <w:t>，使原有土壤的理化性质发生改变。工程要求的压实作用，会使土壤密度增大、结构破坏、孔隙及孔隙组成发生变化。由于土壤层序被破坏，不同的层次被打乱并混合在一起，影响了土壤的发育，使表土有机质及</w:t>
            </w:r>
            <w:r>
              <w:rPr>
                <w:rFonts w:hint="eastAsia" w:ascii="Times New Roman" w:hAnsi="Times New Roman" w:eastAsia="宋体"/>
                <w:color w:val="FF0000"/>
                <w:sz w:val="24"/>
                <w:szCs w:val="24"/>
                <w:lang w:val="en-US" w:eastAsia="zh-CN"/>
              </w:rPr>
              <w:t>养</w:t>
            </w:r>
            <w:r>
              <w:rPr>
                <w:rFonts w:hint="eastAsia" w:ascii="Times New Roman" w:hAnsi="Times New Roman" w:eastAsia="宋体"/>
                <w:color w:val="FF0000"/>
                <w:sz w:val="24"/>
                <w:szCs w:val="24"/>
              </w:rPr>
              <w:t>分含量降低。</w:t>
            </w:r>
          </w:p>
          <w:p w14:paraId="499A8D6D">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eastAsia="zh-CN"/>
              </w:rPr>
              <w:t>本项目为降低对表土的影响，在开采前对存在表土的区域进行表土剥离作业，剥离量为</w:t>
            </w:r>
            <w:r>
              <w:rPr>
                <w:rFonts w:hint="eastAsia" w:ascii="Times New Roman" w:hAnsi="Times New Roman" w:eastAsia="宋体"/>
                <w:color w:val="FF0000"/>
                <w:sz w:val="24"/>
                <w:szCs w:val="24"/>
                <w:lang w:val="en-US" w:eastAsia="zh-CN"/>
              </w:rPr>
              <w:t>20</w:t>
            </w:r>
            <w:r>
              <w:rPr>
                <w:rFonts w:hint="eastAsia"/>
                <w:color w:val="FF0000"/>
                <w:sz w:val="24"/>
                <w:szCs w:val="24"/>
                <w:lang w:val="en-US" w:eastAsia="zh-CN"/>
              </w:rPr>
              <w:t>～</w:t>
            </w:r>
            <w:r>
              <w:rPr>
                <w:rFonts w:hint="eastAsia" w:ascii="Times New Roman" w:hAnsi="Times New Roman" w:eastAsia="宋体"/>
                <w:color w:val="FF0000"/>
                <w:sz w:val="24"/>
                <w:szCs w:val="24"/>
                <w:lang w:val="en-US" w:eastAsia="zh-CN"/>
              </w:rPr>
              <w:t>30cm。剥离出的表土于排土场单独堆存并进行包网覆盖、洒水养护工作。待项目服务期满后用以回填、进行植被恢复工作。尽量避免土壤层次更迭，保证其土壤结构相似。采取如上措施后，其对土壤的扰动在可接受范围内。</w:t>
            </w:r>
          </w:p>
          <w:p w14:paraId="16C4B95D">
            <w:pPr>
              <w:pageBreakBefore w:val="0"/>
              <w:kinsoku/>
              <w:wordWrap/>
              <w:overflowPunct/>
              <w:topLinePunct w:val="0"/>
              <w:bidi w:val="0"/>
              <w:spacing w:beforeAutospacing="0" w:afterAutospacing="0" w:line="360" w:lineRule="auto"/>
              <w:ind w:firstLine="480" w:firstLineChars="200"/>
              <w:rPr>
                <w:rFonts w:hint="default"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③对</w:t>
            </w:r>
            <w:r>
              <w:rPr>
                <w:rFonts w:hint="default" w:ascii="Times New Roman" w:hAnsi="Times New Roman" w:eastAsia="宋体"/>
                <w:color w:val="FF0000"/>
                <w:sz w:val="24"/>
                <w:szCs w:val="24"/>
              </w:rPr>
              <w:t>野生动物</w:t>
            </w:r>
            <w:r>
              <w:rPr>
                <w:rFonts w:hint="eastAsia" w:ascii="Times New Roman" w:hAnsi="Times New Roman" w:eastAsia="宋体"/>
                <w:color w:val="FF0000"/>
                <w:sz w:val="24"/>
                <w:szCs w:val="24"/>
                <w:lang w:val="en-US" w:eastAsia="zh-CN"/>
              </w:rPr>
              <w:t>的影响</w:t>
            </w:r>
          </w:p>
          <w:p w14:paraId="148192B0">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sz w:val="24"/>
                <w:szCs w:val="24"/>
              </w:rPr>
            </w:pPr>
            <w:r>
              <w:rPr>
                <w:rFonts w:hint="default" w:ascii="Times New Roman" w:hAnsi="Times New Roman" w:cs="Times New Roman"/>
                <w:color w:val="FF0000"/>
                <w:sz w:val="24"/>
              </w:rPr>
              <w:t>工程施工影响区域内无国家和地方保护的野生动物栖息地分布。</w:t>
            </w:r>
            <w:r>
              <w:rPr>
                <w:rFonts w:hint="default" w:ascii="Times New Roman" w:hAnsi="Times New Roman" w:eastAsia="宋体" w:cs="Times New Roman"/>
                <w:color w:val="FF0000"/>
                <w:sz w:val="24"/>
                <w:lang w:val="en-US" w:eastAsia="zh-CN"/>
              </w:rPr>
              <w:t>施工期</w:t>
            </w:r>
            <w:r>
              <w:rPr>
                <w:rFonts w:hint="eastAsia" w:cs="Times New Roman"/>
                <w:color w:val="FF0000"/>
                <w:sz w:val="24"/>
                <w:lang w:val="en-US" w:eastAsia="zh-CN"/>
              </w:rPr>
              <w:t>及运营过程中</w:t>
            </w:r>
            <w:r>
              <w:rPr>
                <w:rFonts w:hint="default" w:ascii="Times New Roman" w:hAnsi="Times New Roman" w:eastAsia="宋体" w:cs="Times New Roman"/>
                <w:color w:val="FF0000"/>
                <w:sz w:val="24"/>
                <w:lang w:val="en-US" w:eastAsia="zh-CN"/>
              </w:rPr>
              <w:t>，工程活动可能扰动原有生态环境的平衡，部分植被的丧失剥夺了影响区内小型兽类如野兔及各种鼠类的生存环境，水、气、声环境的污染、地表的扰动也对动物的栖息环境造成干扰。但因工程区野生动物主要为小型兽类，无珍稀保护动物，且附近与本区相类似的生存环境易于找寻，故项目施工建设对区域陆生动物造成的影响在可接受范围内。为了进一步降低项目施工对陆生动物的影响，项目采取了以下措施：做好爆破方式、数量、时间的优化；禁止人员人为捕杀；加强人员的文明管理，督促安全施工、文明施工等。</w:t>
            </w:r>
          </w:p>
          <w:p w14:paraId="6518E063">
            <w:pPr>
              <w:spacing w:line="360" w:lineRule="auto"/>
              <w:ind w:firstLine="482" w:firstLineChars="200"/>
              <w:rPr>
                <w:rFonts w:hint="eastAsia"/>
                <w:b/>
                <w:bCs/>
                <w:sz w:val="24"/>
                <w:szCs w:val="24"/>
              </w:rPr>
            </w:pPr>
            <w:r>
              <w:rPr>
                <w:rFonts w:hint="eastAsia"/>
                <w:b/>
                <w:bCs/>
                <w:sz w:val="24"/>
                <w:szCs w:val="24"/>
              </w:rPr>
              <w:t>（</w:t>
            </w:r>
            <w:r>
              <w:rPr>
                <w:rFonts w:hint="eastAsia"/>
                <w:b/>
                <w:bCs/>
                <w:sz w:val="24"/>
                <w:szCs w:val="24"/>
                <w:lang w:val="en-US" w:eastAsia="zh-CN"/>
              </w:rPr>
              <w:t>2</w:t>
            </w:r>
            <w:r>
              <w:rPr>
                <w:rFonts w:hint="eastAsia"/>
                <w:b/>
                <w:bCs/>
                <w:sz w:val="24"/>
                <w:szCs w:val="24"/>
              </w:rPr>
              <w:t>）对景观的影响</w:t>
            </w:r>
          </w:p>
          <w:p w14:paraId="1A3F6CFC">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矿山开采对项目区景观的影响主要是对采场原自然景观和生态景观的影响。表现在采矿区矿石开采、土石挖填、堆场的设置，改变了现有地形地貌，造成地表裸露，人工痕迹明显，与项目区周围地形地貌和生物群落不和谐，影响视觉感官。和周围的生态环境对比强烈，使项目区现有的协调性和自然性遭到破坏。</w:t>
            </w:r>
          </w:p>
          <w:p w14:paraId="3EF59689">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t>其中，由于原来开发利用其自然景观已遭到完全破坏，与当地自然景观明显分隔。通过本项目的实施，待服务期满后可进行植被恢复重建工作，播撒符合当地建群种草籽，经自然演替其景观可进一步恢复使之与周边自然景观相适宜。</w:t>
            </w:r>
          </w:p>
          <w:p w14:paraId="7AFD0894">
            <w:pPr>
              <w:pageBreakBefore w:val="0"/>
              <w:kinsoku/>
              <w:wordWrap/>
              <w:overflowPunct/>
              <w:topLinePunct w:val="0"/>
              <w:bidi w:val="0"/>
              <w:spacing w:beforeAutospacing="0" w:afterAutospacing="0" w:line="360" w:lineRule="auto"/>
              <w:ind w:firstLine="480" w:firstLineChars="200"/>
              <w:rPr>
                <w:rFonts w:hint="default" w:ascii="Times New Roman" w:hAnsi="Times New Roman" w:eastAsia="宋体"/>
                <w:sz w:val="24"/>
                <w:szCs w:val="24"/>
                <w:lang w:val="en-US" w:eastAsia="zh-CN"/>
              </w:rPr>
            </w:pPr>
            <w:r>
              <w:rPr>
                <w:rFonts w:hint="eastAsia" w:ascii="Times New Roman" w:hAnsi="Times New Roman" w:eastAsia="宋体"/>
                <w:sz w:val="24"/>
                <w:szCs w:val="24"/>
                <w:lang w:eastAsia="zh-CN"/>
              </w:rPr>
              <w:t>其次，开发过程中不可避免</w:t>
            </w:r>
            <w:r>
              <w:rPr>
                <w:rFonts w:hint="eastAsia"/>
                <w:sz w:val="24"/>
                <w:szCs w:val="24"/>
                <w:lang w:eastAsia="zh-CN"/>
              </w:rPr>
              <w:t>地</w:t>
            </w:r>
            <w:r>
              <w:rPr>
                <w:rFonts w:hint="eastAsia" w:ascii="Times New Roman" w:hAnsi="Times New Roman" w:eastAsia="宋体"/>
                <w:sz w:val="24"/>
                <w:szCs w:val="24"/>
                <w:lang w:eastAsia="zh-CN"/>
              </w:rPr>
              <w:t>改变区域地形地貌。现有采坑坡度</w:t>
            </w:r>
            <w:r>
              <w:rPr>
                <w:rFonts w:hint="eastAsia" w:ascii="Times New Roman" w:hAnsi="Times New Roman" w:eastAsia="宋体"/>
                <w:sz w:val="24"/>
                <w:szCs w:val="24"/>
                <w:lang w:val="en-US" w:eastAsia="zh-CN"/>
              </w:rPr>
              <w:t>近乎垂直，其地形地貌突兀。</w:t>
            </w:r>
            <w:r>
              <w:rPr>
                <w:rFonts w:hint="eastAsia" w:ascii="Times New Roman" w:hAnsi="Times New Roman" w:eastAsia="宋体"/>
                <w:sz w:val="24"/>
                <w:szCs w:val="24"/>
                <w:lang w:eastAsia="zh-CN"/>
              </w:rPr>
              <w:t>通过本项目的实施，待服务期满后将进行削坡作业，最终坡度为</w:t>
            </w:r>
            <w:r>
              <w:rPr>
                <w:rFonts w:hint="eastAsia" w:ascii="Times New Roman" w:hAnsi="Times New Roman" w:eastAsia="宋体"/>
                <w:sz w:val="24"/>
                <w:szCs w:val="24"/>
                <w:lang w:val="en-US" w:eastAsia="zh-CN"/>
              </w:rPr>
              <w:t>40°。经过削坡后洪积扇生态功能得以延续、与周边地形地貌适宜、不突兀。</w:t>
            </w:r>
          </w:p>
          <w:p w14:paraId="19DF21A2">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综上所述，矿区营运期对生态环境的影响范围主要集中在露天采矿区，主要体现在矿区开采和</w:t>
            </w:r>
            <w:r>
              <w:rPr>
                <w:rFonts w:hint="eastAsia" w:ascii="Times New Roman" w:hAnsi="Times New Roman" w:eastAsia="宋体"/>
                <w:sz w:val="24"/>
                <w:szCs w:val="24"/>
                <w:lang w:val="en-US" w:eastAsia="zh-CN"/>
              </w:rPr>
              <w:t>排土</w:t>
            </w:r>
            <w:r>
              <w:rPr>
                <w:rFonts w:hint="eastAsia" w:ascii="Times New Roman" w:hAnsi="Times New Roman" w:eastAsia="宋体"/>
                <w:sz w:val="24"/>
                <w:szCs w:val="24"/>
              </w:rPr>
              <w:t>场等设置对当地生态的破坏。露天开采扰动地表，降低土壤侵蚀能力，引起水土流失，对生态环境产生不利影响。</w:t>
            </w:r>
            <w:r>
              <w:rPr>
                <w:rFonts w:hint="eastAsia" w:ascii="Times New Roman" w:hAnsi="Times New Roman" w:eastAsia="宋体"/>
                <w:sz w:val="24"/>
                <w:szCs w:val="24"/>
                <w:lang w:eastAsia="zh-CN"/>
              </w:rPr>
              <w:t>服务期满后</w:t>
            </w:r>
            <w:r>
              <w:rPr>
                <w:rFonts w:hint="eastAsia" w:ascii="Times New Roman" w:hAnsi="Times New Roman" w:eastAsia="宋体"/>
                <w:sz w:val="24"/>
                <w:szCs w:val="24"/>
              </w:rPr>
              <w:t>进行回填复垦，</w:t>
            </w:r>
            <w:r>
              <w:rPr>
                <w:rFonts w:hint="eastAsia" w:ascii="Times New Roman" w:hAnsi="Times New Roman" w:eastAsia="宋体"/>
                <w:sz w:val="24"/>
                <w:szCs w:val="24"/>
                <w:lang w:eastAsia="zh-CN"/>
              </w:rPr>
              <w:t>可进一步消除影响</w:t>
            </w:r>
            <w:r>
              <w:rPr>
                <w:rFonts w:hint="eastAsia" w:ascii="Times New Roman" w:hAnsi="Times New Roman" w:eastAsia="宋体"/>
                <w:sz w:val="24"/>
                <w:szCs w:val="24"/>
              </w:rPr>
              <w:t>。</w:t>
            </w:r>
          </w:p>
          <w:p w14:paraId="4B0858D4">
            <w:pPr>
              <w:pageBreakBefore w:val="0"/>
              <w:kinsoku/>
              <w:wordWrap/>
              <w:overflowPunct/>
              <w:topLinePunct w:val="0"/>
              <w:bidi w:val="0"/>
              <w:spacing w:beforeAutospacing="0" w:afterAutospacing="0" w:line="360" w:lineRule="auto"/>
              <w:ind w:firstLine="480" w:firstLineChars="200"/>
              <w:rPr>
                <w:rFonts w:hint="default" w:ascii="Times New Roman" w:hAnsi="Times New Roman" w:eastAsia="宋体"/>
                <w:sz w:val="24"/>
                <w:szCs w:val="24"/>
                <w:lang w:val="en-US"/>
              </w:rPr>
            </w:pPr>
            <w:r>
              <w:rPr>
                <w:rFonts w:hint="eastAsia" w:ascii="Times New Roman" w:hAnsi="Times New Roman" w:cs="Times New Roman"/>
                <w:color w:val="0000FC"/>
                <w:sz w:val="24"/>
                <w:szCs w:val="24"/>
                <w:highlight w:val="none"/>
                <w:lang w:val="en-US" w:eastAsia="zh-CN"/>
              </w:rPr>
              <w:t>在</w:t>
            </w:r>
            <w:r>
              <w:rPr>
                <w:rFonts w:hint="eastAsia" w:cs="Times New Roman"/>
                <w:color w:val="0000FC"/>
                <w:sz w:val="24"/>
                <w:szCs w:val="24"/>
                <w:highlight w:val="none"/>
                <w:lang w:val="en-US" w:eastAsia="zh-CN"/>
              </w:rPr>
              <w:t>厂界距离</w:t>
            </w:r>
            <w:r>
              <w:rPr>
                <w:rFonts w:hint="eastAsia" w:ascii="Times New Roman" w:hAnsi="Times New Roman" w:cs="Times New Roman"/>
                <w:color w:val="0000FC"/>
                <w:sz w:val="24"/>
                <w:szCs w:val="24"/>
                <w:highlight w:val="none"/>
                <w:lang w:val="en-US" w:eastAsia="zh-CN"/>
              </w:rPr>
              <w:t>季节性沟谷</w:t>
            </w:r>
            <w:r>
              <w:rPr>
                <w:rFonts w:hint="eastAsia" w:cs="Times New Roman"/>
                <w:color w:val="0000FC"/>
                <w:sz w:val="24"/>
                <w:szCs w:val="24"/>
                <w:highlight w:val="none"/>
                <w:lang w:val="en-US" w:eastAsia="zh-CN"/>
              </w:rPr>
              <w:t>约5m处</w:t>
            </w:r>
            <w:r>
              <w:rPr>
                <w:rFonts w:hint="eastAsia" w:ascii="Times New Roman" w:hAnsi="Times New Roman" w:cs="Times New Roman"/>
                <w:color w:val="0000FC"/>
                <w:sz w:val="24"/>
                <w:szCs w:val="24"/>
                <w:highlight w:val="none"/>
                <w:lang w:val="en-US" w:eastAsia="zh-CN"/>
              </w:rPr>
              <w:t>设置</w:t>
            </w:r>
            <w:r>
              <w:rPr>
                <w:rFonts w:hint="eastAsia" w:cs="Times New Roman"/>
                <w:color w:val="0000FC"/>
                <w:sz w:val="24"/>
                <w:szCs w:val="24"/>
                <w:highlight w:val="none"/>
                <w:lang w:val="en-US" w:eastAsia="zh-CN"/>
              </w:rPr>
              <w:t>围挡</w:t>
            </w:r>
            <w:r>
              <w:rPr>
                <w:rFonts w:hint="eastAsia" w:ascii="Times New Roman" w:hAnsi="Times New Roman" w:cs="Times New Roman"/>
                <w:color w:val="0000FC"/>
                <w:sz w:val="24"/>
                <w:szCs w:val="24"/>
                <w:highlight w:val="none"/>
                <w:lang w:val="en-US" w:eastAsia="zh-CN"/>
              </w:rPr>
              <w:t>，防止职工人员踏入，</w:t>
            </w:r>
            <w:r>
              <w:rPr>
                <w:rFonts w:hint="eastAsia" w:cs="Times New Roman"/>
                <w:color w:val="0000FC"/>
                <w:sz w:val="24"/>
                <w:szCs w:val="24"/>
                <w:highlight w:val="none"/>
                <w:lang w:val="en-US" w:eastAsia="zh-CN"/>
              </w:rPr>
              <w:t>严禁</w:t>
            </w:r>
            <w:r>
              <w:rPr>
                <w:rFonts w:hint="eastAsia" w:ascii="Times New Roman" w:hAnsi="Times New Roman" w:cs="Times New Roman"/>
                <w:color w:val="0000FC"/>
                <w:sz w:val="24"/>
                <w:szCs w:val="24"/>
                <w:highlight w:val="none"/>
                <w:lang w:val="en-US" w:eastAsia="zh-CN"/>
              </w:rPr>
              <w:t>生活垃圾和</w:t>
            </w:r>
            <w:r>
              <w:rPr>
                <w:rFonts w:hint="eastAsia" w:cs="Times New Roman"/>
                <w:color w:val="0000FC"/>
                <w:sz w:val="24"/>
                <w:szCs w:val="24"/>
                <w:highlight w:val="none"/>
                <w:lang w:val="en-US" w:eastAsia="zh-CN"/>
              </w:rPr>
              <w:t>生活污水等排放至沟谷</w:t>
            </w:r>
            <w:r>
              <w:rPr>
                <w:rFonts w:hint="eastAsia" w:ascii="Times New Roman" w:hAnsi="Times New Roman" w:cs="Times New Roman"/>
                <w:color w:val="0000FC"/>
                <w:sz w:val="24"/>
                <w:szCs w:val="24"/>
                <w:highlight w:val="none"/>
                <w:lang w:val="en-US" w:eastAsia="zh-CN"/>
              </w:rPr>
              <w:t>。</w:t>
            </w:r>
            <w:r>
              <w:rPr>
                <w:rFonts w:hint="eastAsia" w:cs="Times New Roman"/>
                <w:color w:val="0000FC"/>
                <w:sz w:val="24"/>
                <w:szCs w:val="24"/>
                <w:highlight w:val="none"/>
                <w:lang w:val="en-US" w:eastAsia="zh-CN"/>
              </w:rPr>
              <w:t>待闭矿后进行拆除，进行自然恢复。</w:t>
            </w:r>
          </w:p>
          <w:p w14:paraId="3B7018E9">
            <w:pPr>
              <w:spacing w:line="360" w:lineRule="auto"/>
              <w:rPr>
                <w:rFonts w:hint="eastAsia"/>
                <w:b/>
                <w:color w:val="auto"/>
                <w:sz w:val="24"/>
                <w:szCs w:val="24"/>
              </w:rPr>
            </w:pPr>
            <w:r>
              <w:rPr>
                <w:rFonts w:hint="eastAsia"/>
                <w:b/>
                <w:color w:val="auto"/>
                <w:sz w:val="24"/>
                <w:szCs w:val="24"/>
                <w:lang w:val="en-US" w:eastAsia="zh-CN"/>
              </w:rPr>
              <w:t>2、</w:t>
            </w:r>
            <w:r>
              <w:rPr>
                <w:rFonts w:hint="eastAsia"/>
                <w:b/>
                <w:color w:val="auto"/>
                <w:sz w:val="24"/>
                <w:szCs w:val="24"/>
              </w:rPr>
              <w:t>运营期大气</w:t>
            </w:r>
            <w:r>
              <w:rPr>
                <w:rFonts w:hint="eastAsia"/>
                <w:b/>
                <w:color w:val="auto"/>
                <w:sz w:val="24"/>
                <w:szCs w:val="24"/>
                <w:lang w:val="en-US" w:eastAsia="zh-CN"/>
              </w:rPr>
              <w:t>环境影响</w:t>
            </w:r>
            <w:r>
              <w:rPr>
                <w:rFonts w:hint="eastAsia"/>
                <w:b/>
                <w:color w:val="auto"/>
                <w:sz w:val="24"/>
                <w:szCs w:val="24"/>
              </w:rPr>
              <w:t>分析</w:t>
            </w:r>
          </w:p>
          <w:p w14:paraId="5F9C6955">
            <w:pPr>
              <w:spacing w:line="360" w:lineRule="auto"/>
              <w:ind w:firstLine="480"/>
              <w:rPr>
                <w:rFonts w:hint="eastAsia" w:hAnsi="宋体"/>
                <w:color w:val="000000"/>
                <w:sz w:val="24"/>
                <w:szCs w:val="24"/>
              </w:rPr>
            </w:pPr>
            <w:r>
              <w:rPr>
                <w:rFonts w:hint="eastAsia" w:hAnsi="宋体"/>
                <w:color w:val="000000"/>
                <w:sz w:val="24"/>
                <w:szCs w:val="24"/>
                <w:lang w:val="en-US" w:eastAsia="zh-CN"/>
              </w:rPr>
              <w:t>本项目废气主要是表土剥离、原矿开采钻孔、爆破、二次破碎、进料、破碎、筛分、排土场、成品堆场、装卸过程中产生的粉尘，道路运输过程中产生的扬尘和机械车辆尾气。</w:t>
            </w:r>
          </w:p>
          <w:p w14:paraId="3CC83732">
            <w:pPr>
              <w:spacing w:line="360" w:lineRule="auto"/>
              <w:ind w:firstLine="480"/>
              <w:rPr>
                <w:rFonts w:hint="eastAsia" w:ascii="Times New Roman" w:hAnsi="Times New Roman" w:eastAsia="宋体"/>
                <w:b/>
                <w:bCs/>
                <w:color w:val="000000"/>
                <w:sz w:val="24"/>
                <w:szCs w:val="24"/>
                <w:lang w:val="en-US" w:eastAsia="zh-CN"/>
              </w:rPr>
            </w:pPr>
            <w:r>
              <w:rPr>
                <w:rFonts w:hint="eastAsia" w:hAnsi="宋体"/>
                <w:b/>
                <w:bCs/>
                <w:color w:val="000000"/>
                <w:sz w:val="24"/>
                <w:szCs w:val="24"/>
                <w:lang w:val="en-US" w:eastAsia="zh-CN"/>
              </w:rPr>
              <w:t>（1）表土剥离扬尘</w:t>
            </w:r>
          </w:p>
          <w:p w14:paraId="4EC54C9B">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b w:val="0"/>
                <w:bCs w:val="0"/>
                <w:color w:val="000000"/>
                <w:sz w:val="24"/>
                <w:szCs w:val="24"/>
                <w:lang w:val="en-US" w:eastAsia="zh-CN"/>
              </w:rPr>
              <w:t>矿山开采需先对表土层进行剥离，采剥过程中主要采用挖掘机开挖表土，采剥粉尘只会在挖掘机运作时产生。有关文献研究结果表明，露大矿山剥离产生的粉尘量受岩土性质、组成结构、天气状况、水分含量等自然因素和挖掘设备、作业方式等人为因素的影响而变化，目前尚未有公认合理的数学模型可以准确计算，同时由于挖掘粉尘属于无组织粉尘，也无法进行有效的对比实测，因此，本次评价采用查阅资料分析法进行分析。</w:t>
            </w:r>
          </w:p>
          <w:p w14:paraId="5C006E4B">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b w:val="0"/>
                <w:bCs w:val="0"/>
                <w:color w:val="000000"/>
                <w:sz w:val="24"/>
                <w:szCs w:val="24"/>
                <w:lang w:val="en-US" w:eastAsia="zh-CN"/>
              </w:rPr>
              <w:t>本项目开采规模为100万m</w:t>
            </w:r>
            <w:r>
              <w:rPr>
                <w:rFonts w:hint="eastAsia" w:ascii="Times New Roman" w:hAnsi="Times New Roman" w:eastAsia="宋体"/>
                <w:b w:val="0"/>
                <w:bCs w:val="0"/>
                <w:color w:val="000000"/>
                <w:sz w:val="24"/>
                <w:szCs w:val="24"/>
                <w:vertAlign w:val="superscript"/>
                <w:lang w:val="en-US" w:eastAsia="zh-CN"/>
              </w:rPr>
              <w:t>3</w:t>
            </w:r>
            <w:r>
              <w:rPr>
                <w:rFonts w:hint="eastAsia" w:ascii="Times New Roman" w:hAnsi="Times New Roman" w:eastAsia="宋体"/>
                <w:b w:val="0"/>
                <w:bCs w:val="0"/>
                <w:color w:val="000000"/>
                <w:sz w:val="24"/>
                <w:szCs w:val="24"/>
                <w:lang w:val="en-US" w:eastAsia="zh-CN"/>
              </w:rPr>
              <w:t>a，</w:t>
            </w:r>
            <w:r>
              <w:rPr>
                <w:rFonts w:hint="eastAsia"/>
                <w:sz w:val="24"/>
              </w:rPr>
              <w:t>矿石密度约为1.6t/m</w:t>
            </w:r>
            <w:r>
              <w:rPr>
                <w:rFonts w:hint="eastAsia"/>
                <w:sz w:val="24"/>
                <w:vertAlign w:val="superscript"/>
              </w:rPr>
              <w:t>3</w:t>
            </w:r>
            <w:r>
              <w:rPr>
                <w:rFonts w:hint="eastAsia"/>
                <w:sz w:val="24"/>
              </w:rPr>
              <w:t>，则年开采矿石量为</w:t>
            </w:r>
            <w:r>
              <w:rPr>
                <w:rFonts w:hint="eastAsia"/>
                <w:sz w:val="24"/>
                <w:lang w:val="en-US" w:eastAsia="zh-CN"/>
              </w:rPr>
              <w:t>1600000</w:t>
            </w:r>
            <w:r>
              <w:rPr>
                <w:rFonts w:hint="eastAsia"/>
                <w:sz w:val="24"/>
              </w:rPr>
              <w:t>t</w:t>
            </w:r>
            <w:r>
              <w:rPr>
                <w:rFonts w:hint="eastAsia" w:ascii="Times New Roman" w:hAnsi="Times New Roman" w:eastAsia="宋体"/>
                <w:b w:val="0"/>
                <w:bCs w:val="0"/>
                <w:color w:val="000000"/>
                <w:sz w:val="24"/>
                <w:szCs w:val="24"/>
                <w:lang w:val="en-US" w:eastAsia="zh-CN"/>
              </w:rPr>
              <w:t>。根据《逸散性工业粉尘控制技术》（丁奥里蒙G.A久兹等编著，中国环境科学出版社出版），在不采取任何抑尘措施时，等高法每采剥1t表土的产生粉尘量约为0.0015kg/t，据此估算得运营期采剥作业产生的总扬尘量为2.4t/a，采剥工作按每年250天，每日8小时工作制，则运营期采剥作业产生的扬尘速率为1.2kg/h。</w:t>
            </w:r>
          </w:p>
          <w:p w14:paraId="563EF549">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bCs/>
                <w:color w:val="000000"/>
                <w:sz w:val="24"/>
                <w:szCs w:val="24"/>
                <w:lang w:val="en-US" w:eastAsia="zh-CN"/>
              </w:rPr>
            </w:pPr>
            <w:r>
              <w:rPr>
                <w:rFonts w:hint="eastAsia" w:ascii="Times New Roman" w:hAnsi="Times New Roman" w:eastAsia="宋体"/>
                <w:b w:val="0"/>
                <w:bCs w:val="0"/>
                <w:color w:val="000000"/>
                <w:sz w:val="24"/>
                <w:szCs w:val="24"/>
                <w:lang w:val="en-US" w:eastAsia="zh-CN"/>
              </w:rPr>
              <w:t>本项目采用在剥离工作面洒水增加土壤持水率、降低挖斗卸料高度等措施防尘，采用以上综合以上防尘措施后，采剥扬尘的抑尘效率可达85%以上（本项目按85%计），则采取措施后的运营期采剥作业粉尘排放量为0.36t/a，0.18kg/h，以无组织形式扩散。</w:t>
            </w:r>
          </w:p>
          <w:p w14:paraId="01B91954">
            <w:pPr>
              <w:pageBreakBefore w:val="0"/>
              <w:kinsoku/>
              <w:wordWrap/>
              <w:overflowPunct/>
              <w:topLinePunct w:val="0"/>
              <w:bidi w:val="0"/>
              <w:spacing w:beforeAutospacing="0" w:afterAutospacing="0" w:line="360" w:lineRule="auto"/>
              <w:ind w:firstLine="482" w:firstLineChars="200"/>
              <w:rPr>
                <w:rFonts w:hint="eastAsia"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lang w:val="en-US" w:eastAsia="zh-CN"/>
              </w:rPr>
              <w:t>（2）钻孔粉尘</w:t>
            </w:r>
          </w:p>
          <w:p w14:paraId="31CC3A56">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b w:val="0"/>
                <w:bCs w:val="0"/>
                <w:color w:val="000000"/>
                <w:sz w:val="24"/>
                <w:szCs w:val="24"/>
                <w:lang w:val="en-US" w:eastAsia="zh-CN"/>
              </w:rPr>
              <w:t>采剥后的矿石需进行钻孔、凿岩，从而将石料从矿体分离，项目进行钻孔作业时，钻机的钻头高速旋转并与岩体发生摩擦，由此产生一定强度的粉尘。根据《中国钼业》2000年第24卷第5期中的《露天矿粉尘污染治理》（毕上刚）一文可知，在没有任何防尘措施的条件下，钻机附近空气中的平均粉尘浓度为129.8mg/m</w:t>
            </w:r>
            <w:r>
              <w:rPr>
                <w:rFonts w:hint="eastAsia" w:ascii="Times New Roman" w:hAnsi="Times New Roman" w:eastAsia="宋体"/>
                <w:b w:val="0"/>
                <w:bCs w:val="0"/>
                <w:color w:val="000000"/>
                <w:sz w:val="24"/>
                <w:szCs w:val="24"/>
                <w:vertAlign w:val="superscript"/>
                <w:lang w:val="en-US" w:eastAsia="zh-CN"/>
              </w:rPr>
              <w:t>3</w:t>
            </w:r>
            <w:r>
              <w:rPr>
                <w:rFonts w:hint="eastAsia" w:ascii="Times New Roman" w:hAnsi="Times New Roman" w:eastAsia="宋体"/>
                <w:b w:val="0"/>
                <w:bCs w:val="0"/>
                <w:color w:val="000000"/>
                <w:sz w:val="24"/>
                <w:szCs w:val="24"/>
                <w:lang w:val="en-US" w:eastAsia="zh-CN"/>
              </w:rPr>
              <w:t>，最高可达448.9mg/m</w:t>
            </w:r>
            <w:r>
              <w:rPr>
                <w:rFonts w:hint="eastAsia" w:ascii="Times New Roman" w:hAnsi="Times New Roman" w:eastAsia="宋体"/>
                <w:b w:val="0"/>
                <w:bCs w:val="0"/>
                <w:color w:val="000000"/>
                <w:sz w:val="24"/>
                <w:szCs w:val="24"/>
                <w:vertAlign w:val="superscript"/>
                <w:lang w:val="en-US" w:eastAsia="zh-CN"/>
              </w:rPr>
              <w:t>3</w:t>
            </w:r>
            <w:r>
              <w:rPr>
                <w:rFonts w:hint="eastAsia" w:ascii="Times New Roman" w:hAnsi="Times New Roman" w:eastAsia="宋体"/>
                <w:b w:val="0"/>
                <w:bCs w:val="0"/>
                <w:color w:val="000000"/>
                <w:sz w:val="24"/>
                <w:szCs w:val="24"/>
                <w:lang w:val="en-US" w:eastAsia="zh-CN"/>
              </w:rPr>
              <w:t>。根据《逸散性工业粉尘控制技术》（丁奥里蒙G.A久兹等编著，中国环境科学出版社出版）“表1-17钻孔和爆破作业中的逸散尘排放因子”，钻孔时逸散尘排放因子为0.004kg/t（开采石料）。项目年开采矿石100万t，因此开采阶段钻孔时逸散尘的产生量约为4t/a。</w:t>
            </w:r>
          </w:p>
          <w:p w14:paraId="0E33051E">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b w:val="0"/>
                <w:bCs w:val="0"/>
                <w:color w:val="000000"/>
                <w:sz w:val="24"/>
                <w:szCs w:val="24"/>
                <w:lang w:val="en-US" w:eastAsia="zh-CN"/>
              </w:rPr>
              <w:t>项目在钻孔凿岩前对矿体进行洒水湿润、钻孔时洒水抑尘。参照《控制露天矿钻机呼吸性粉尘的新技术》（世界采矿快报，1989.04.21，赵玉凤，张可能等编制），采用喷水抑尘效率可达95%左右。</w:t>
            </w:r>
          </w:p>
          <w:p w14:paraId="3406A4A2">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b w:val="0"/>
                <w:bCs w:val="0"/>
                <w:color w:val="000000"/>
                <w:sz w:val="24"/>
                <w:szCs w:val="24"/>
                <w:lang w:val="en-US" w:eastAsia="zh-CN"/>
              </w:rPr>
              <w:t>综上，经喷水抑尘后排放量为0.2t/a，以无组织形式扩散。项目工作时间按每年250天，每日8小时工作制，则钻孔的粉尘排放速率为0.1kg/h。</w:t>
            </w:r>
          </w:p>
          <w:p w14:paraId="45DE0AD5">
            <w:pPr>
              <w:pageBreakBefore w:val="0"/>
              <w:kinsoku/>
              <w:wordWrap/>
              <w:overflowPunct/>
              <w:topLinePunct w:val="0"/>
              <w:bidi w:val="0"/>
              <w:spacing w:beforeAutospacing="0" w:afterAutospacing="0" w:line="360" w:lineRule="auto"/>
              <w:ind w:firstLine="482" w:firstLineChars="200"/>
              <w:rPr>
                <w:rFonts w:hint="eastAsia"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lang w:val="en-US" w:eastAsia="zh-CN"/>
              </w:rPr>
              <w:t>（3）爆破粉尘</w:t>
            </w:r>
          </w:p>
          <w:p w14:paraId="70DBC026">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根据项目开发利用方案，本矿山采用爆破时采用深孔、宽孔距、小抵抗线、多排孔微差爆破方法，起爆方式为非电导爆管起爆。项目爆破过程中短时间内产生大量粉尘，对区域周边环境产生一定影响。为防止粉尘污染，建设单位在爆破现场预先洒水湿润+水雾抑尘等措施以减少粉尘污染，参照《逸散性工业粉尘控制技术》（丁奥里蒙G.A久兹等编著，中国环境科学出版社出版）“表1-17钻孔和爆破作业中的逸散尘排放因子”，矿床爆破粉尘产生量为0.0005</w:t>
            </w:r>
            <w:r>
              <w:rPr>
                <w:rFonts w:hint="eastAsia" w:cs="Times New Roman"/>
                <w:b w:val="0"/>
                <w:bCs w:val="0"/>
                <w:color w:val="000000"/>
                <w:sz w:val="24"/>
                <w:szCs w:val="24"/>
                <w:lang w:val="en-US" w:eastAsia="zh-CN"/>
              </w:rPr>
              <w:t>～</w:t>
            </w:r>
            <w:r>
              <w:rPr>
                <w:rFonts w:hint="eastAsia" w:ascii="Times New Roman" w:hAnsi="Times New Roman" w:eastAsia="宋体" w:cs="Times New Roman"/>
                <w:b w:val="0"/>
                <w:bCs w:val="0"/>
                <w:color w:val="000000"/>
                <w:sz w:val="24"/>
                <w:szCs w:val="24"/>
                <w:lang w:val="en-US" w:eastAsia="zh-CN"/>
              </w:rPr>
              <w:t>0.08kg/t（开采矿石或石料），本项目爆破产生粉尘量按0.08kg/t计算，项目年开采矿石量100万t，则爆破粉尘产生量约80t/a。</w:t>
            </w:r>
          </w:p>
          <w:p w14:paraId="656EC1B4">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b w:val="0"/>
                <w:bCs w:val="0"/>
                <w:color w:val="000000"/>
                <w:sz w:val="24"/>
                <w:szCs w:val="24"/>
                <w:lang w:val="en-US" w:eastAsia="zh-CN"/>
              </w:rPr>
              <w:t>根据《矿山企业粉尘控制及应对策略》（北方环境第23卷第8期</w:t>
            </w:r>
            <w:r>
              <w:rPr>
                <w:rFonts w:hint="eastAsia"/>
                <w:b w:val="0"/>
                <w:bCs w:val="0"/>
                <w:color w:val="000000"/>
                <w:sz w:val="24"/>
                <w:szCs w:val="24"/>
                <w:lang w:val="en-US" w:eastAsia="zh-CN"/>
              </w:rPr>
              <w:t>，</w:t>
            </w:r>
            <w:r>
              <w:rPr>
                <w:rFonts w:hint="eastAsia" w:ascii="Times New Roman" w:hAnsi="Times New Roman" w:eastAsia="宋体"/>
                <w:b w:val="0"/>
                <w:bCs w:val="0"/>
                <w:color w:val="000000"/>
                <w:sz w:val="24"/>
                <w:szCs w:val="24"/>
                <w:lang w:val="en-US" w:eastAsia="zh-CN"/>
              </w:rPr>
              <w:t>2011年8月）可知，采用水封炮眼措施，可去除爆破粉尘约50%。另外，通过采用合理的炮孔网度和微差爆破减少粉尘，向预爆区洒水、钻孔注水等措施人为地提高矿石湿度，爆破后开启水喷淋装置进行抑尘，可减少约85%。</w:t>
            </w:r>
          </w:p>
          <w:p w14:paraId="37822BB7">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b w:val="0"/>
                <w:bCs w:val="0"/>
                <w:color w:val="000000"/>
                <w:sz w:val="24"/>
                <w:szCs w:val="24"/>
                <w:lang w:val="en-US" w:eastAsia="zh-CN"/>
              </w:rPr>
              <w:t>综上通过采取以上措施，爆破粉尘量可减少约92.5%，则本项目爆破排放的污染物粉尘量为6t/a，以无组织形式扩散。项目工作时间按每年250天，每日8小时工作制，爆破污染物粉尘排放速率为3kg/h。</w:t>
            </w:r>
          </w:p>
          <w:p w14:paraId="4C09772E">
            <w:pPr>
              <w:pageBreakBefore w:val="0"/>
              <w:kinsoku/>
              <w:wordWrap/>
              <w:overflowPunct/>
              <w:topLinePunct w:val="0"/>
              <w:bidi w:val="0"/>
              <w:spacing w:beforeAutospacing="0" w:afterAutospacing="0" w:line="360" w:lineRule="auto"/>
              <w:ind w:firstLine="482" w:firstLineChars="200"/>
              <w:rPr>
                <w:rFonts w:hint="eastAsia"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lang w:val="en-US" w:eastAsia="zh-CN"/>
              </w:rPr>
              <w:t>（4）二次破碎粉尘</w:t>
            </w:r>
          </w:p>
          <w:p w14:paraId="11EA4895">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露天采场出矿块度控制大块粒度≤500mm，由于采用微差爆破，爆破后的大块率较少，出现的个别大块（</w:t>
            </w:r>
            <w:r>
              <w:rPr>
                <w:rFonts w:hint="default" w:ascii="Times New Roman" w:hAnsi="Times New Roman" w:eastAsia="宋体" w:cs="Times New Roman"/>
                <w:b w:val="0"/>
                <w:bCs w:val="0"/>
                <w:color w:val="000000"/>
                <w:sz w:val="24"/>
                <w:szCs w:val="24"/>
                <w:lang w:val="en-US" w:eastAsia="zh-CN"/>
              </w:rPr>
              <w:t>Φ≥500mm</w:t>
            </w:r>
            <w:r>
              <w:rPr>
                <w:rFonts w:hint="eastAsia" w:ascii="Times New Roman" w:hAnsi="Times New Roman" w:eastAsia="宋体" w:cs="Times New Roman"/>
                <w:b w:val="0"/>
                <w:bCs w:val="0"/>
                <w:color w:val="000000"/>
                <w:sz w:val="24"/>
                <w:szCs w:val="24"/>
                <w:lang w:val="en-US" w:eastAsia="zh-CN"/>
              </w:rPr>
              <w:t>）采用液压破碎锤进行二次破碎。在矿块二次破碎过程中将产生粉尘。项目通过合理设计爆破方案控制爆破的大块率，大块率控制在20%以下，则液压锤二次破碎量为20万t/a。液压锤属气动液压联合的冲击式破碎锤，液压锤粉尘产生机理</w:t>
            </w:r>
            <w:r>
              <w:rPr>
                <w:rFonts w:hint="eastAsia" w:ascii="Times New Roman" w:hAnsi="Times New Roman" w:eastAsia="宋体"/>
                <w:b w:val="0"/>
                <w:bCs w:val="0"/>
                <w:color w:val="000000"/>
                <w:sz w:val="24"/>
                <w:szCs w:val="24"/>
                <w:lang w:val="en-US" w:eastAsia="zh-CN"/>
              </w:rPr>
              <w:t>是高冲击产生的粉尘，参照《逸散性工业粉尘控制技术》（丁奥里蒙G.A久兹等编著，中国环境科学出版社出版）液压锤产生的排放因子为0.004kg/t矿石，则项目二次破碎粉尘产生量约为0.8t/a。</w:t>
            </w:r>
          </w:p>
          <w:p w14:paraId="1A490C62">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b w:val="0"/>
                <w:bCs w:val="0"/>
                <w:color w:val="000000"/>
                <w:sz w:val="24"/>
                <w:szCs w:val="24"/>
                <w:lang w:val="en-US" w:eastAsia="zh-CN"/>
              </w:rPr>
              <w:t>项目采用水喷淋抑尘等措施进行防尘，抑尘效率约85%，工作时间以一年250天，每天8小时计，则本项目二次破碎粉尘排放量为0.12t/a，以无组织形式扩散，排放速率为0.06kg/h。</w:t>
            </w:r>
          </w:p>
          <w:p w14:paraId="6D7F2EFC">
            <w:pPr>
              <w:pageBreakBefore w:val="0"/>
              <w:kinsoku/>
              <w:wordWrap/>
              <w:overflowPunct/>
              <w:topLinePunct w:val="0"/>
              <w:bidi w:val="0"/>
              <w:spacing w:beforeAutospacing="0" w:afterAutospacing="0" w:line="360" w:lineRule="auto"/>
              <w:ind w:firstLine="482" w:firstLineChars="200"/>
              <w:contextualSpacing/>
              <w:jc w:val="both"/>
              <w:rPr>
                <w:rFonts w:hint="default"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lang w:val="en-US" w:eastAsia="zh-CN"/>
              </w:rPr>
              <w:t>（5）进料口粉尘</w:t>
            </w:r>
          </w:p>
          <w:p w14:paraId="27EDEA24">
            <w:pPr>
              <w:pageBreakBefore w:val="0"/>
              <w:kinsoku/>
              <w:wordWrap/>
              <w:overflowPunct/>
              <w:topLinePunct w:val="0"/>
              <w:bidi w:val="0"/>
              <w:spacing w:beforeAutospacing="0" w:afterAutospacing="0" w:line="360" w:lineRule="auto"/>
              <w:ind w:firstLine="480" w:firstLineChars="200"/>
              <w:contextualSpacing/>
              <w:jc w:val="both"/>
              <w:rPr>
                <w:rFonts w:hint="eastAsia" w:ascii="Times New Roman" w:hAnsi="Times New Roman" w:eastAsia="宋体" w:cs="Times New Roman"/>
                <w:b w:val="0"/>
                <w:bCs w:val="0"/>
                <w:color w:val="000000"/>
                <w:kern w:val="0"/>
                <w:sz w:val="24"/>
                <w:szCs w:val="24"/>
                <w:lang w:val="en-US" w:eastAsia="zh-CN" w:bidi="ar-SA"/>
              </w:rPr>
            </w:pPr>
            <w:r>
              <w:rPr>
                <w:rFonts w:hint="eastAsia" w:ascii="Times New Roman" w:hAnsi="Times New Roman" w:eastAsia="宋体" w:cs="Times New Roman"/>
                <w:b w:val="0"/>
                <w:bCs w:val="0"/>
                <w:color w:val="000000"/>
                <w:kern w:val="0"/>
                <w:sz w:val="24"/>
                <w:szCs w:val="24"/>
                <w:lang w:val="en-US" w:eastAsia="zh-CN" w:bidi="ar-SA"/>
              </w:rPr>
              <w:t>根据《逸散性工业粉尘控制技术》，该阶段粉尘产生量为10g/t物料（装料），上料过程中主要产污节点为砂石料投料过程粉尘。项目年上料量约100万t/a。经计算，上料粉尘产生量为10t/a、产生速率为5kg/h。砂石料堆场内设置有喷雾装置能确保砂石料一定含水率减少起尘，并在上料过程中采取喷雾压尘措施，根据类比调查，喷雾压尘的效率在70%—85%之间，本项目按70%计，则其排放量为3t/a、排放速率为1.5kg/h。</w:t>
            </w:r>
          </w:p>
          <w:p w14:paraId="3E0E9E8E">
            <w:pPr>
              <w:pageBreakBefore w:val="0"/>
              <w:kinsoku/>
              <w:wordWrap/>
              <w:overflowPunct/>
              <w:topLinePunct w:val="0"/>
              <w:bidi w:val="0"/>
              <w:spacing w:beforeAutospacing="0" w:afterAutospacing="0" w:line="360" w:lineRule="auto"/>
              <w:ind w:firstLine="482" w:firstLineChars="200"/>
              <w:contextualSpacing/>
              <w:jc w:val="both"/>
              <w:rPr>
                <w:rFonts w:hint="eastAsia" w:ascii="Times New Roman" w:hAnsi="Times New Roman" w:eastAsia="宋体" w:cs="Times New Roman"/>
                <w:b/>
                <w:bCs/>
                <w:color w:val="000000"/>
                <w:kern w:val="0"/>
                <w:sz w:val="24"/>
                <w:szCs w:val="24"/>
                <w:lang w:val="en-US" w:eastAsia="zh-CN" w:bidi="ar-SA"/>
              </w:rPr>
            </w:pPr>
            <w:r>
              <w:rPr>
                <w:rFonts w:hint="eastAsia" w:ascii="Times New Roman" w:hAnsi="Times New Roman" w:eastAsia="宋体"/>
                <w:b/>
                <w:bCs/>
                <w:color w:val="000000"/>
                <w:sz w:val="24"/>
                <w:szCs w:val="24"/>
                <w:lang w:val="en-US" w:eastAsia="zh-CN"/>
              </w:rPr>
              <w:t>（6）</w:t>
            </w:r>
            <w:r>
              <w:rPr>
                <w:rFonts w:hint="eastAsia" w:ascii="Times New Roman" w:hAnsi="Times New Roman" w:eastAsia="宋体" w:cs="Times New Roman"/>
                <w:b/>
                <w:bCs/>
                <w:color w:val="000000"/>
                <w:kern w:val="0"/>
                <w:sz w:val="24"/>
                <w:szCs w:val="24"/>
                <w:lang w:val="en-US" w:eastAsia="zh-CN" w:bidi="ar-SA"/>
              </w:rPr>
              <w:t>加工破碎粉尘</w:t>
            </w:r>
          </w:p>
          <w:p w14:paraId="11913E16">
            <w:pPr>
              <w:pageBreakBefore w:val="0"/>
              <w:kinsoku/>
              <w:wordWrap/>
              <w:overflowPunct/>
              <w:topLinePunct w:val="0"/>
              <w:bidi w:val="0"/>
              <w:spacing w:beforeAutospacing="0" w:afterAutospacing="0" w:line="360" w:lineRule="auto"/>
              <w:ind w:firstLine="480" w:firstLineChars="200"/>
              <w:contextualSpacing/>
              <w:jc w:val="both"/>
              <w:rPr>
                <w:rFonts w:hint="eastAsia" w:ascii="Times New Roman" w:hAnsi="Times New Roman" w:eastAsia="宋体" w:cs="Times New Roman"/>
                <w:b w:val="0"/>
                <w:bCs w:val="0"/>
                <w:color w:val="000000"/>
                <w:kern w:val="0"/>
                <w:sz w:val="24"/>
                <w:szCs w:val="24"/>
                <w:lang w:val="en-US" w:eastAsia="zh-CN" w:bidi="ar-SA"/>
              </w:rPr>
            </w:pPr>
            <w:r>
              <w:rPr>
                <w:rFonts w:hint="eastAsia" w:ascii="Times New Roman" w:hAnsi="Times New Roman" w:eastAsia="宋体" w:cs="Times New Roman"/>
                <w:b w:val="0"/>
                <w:bCs w:val="0"/>
                <w:color w:val="000000"/>
                <w:kern w:val="0"/>
                <w:sz w:val="24"/>
                <w:szCs w:val="24"/>
                <w:lang w:val="en-US" w:eastAsia="zh-CN" w:bidi="ar-SA"/>
              </w:rPr>
              <w:t>根据聂国朝发表的文献《采石场大气污染物源强分析研究》中分析，采石场主要产生的污染物为TSP，分析研究实验中主要模拟粉碎处产生尘源的破碎、分筛工序，研究结果是模拟实验颗粒物排放量为4620mg/s。</w:t>
            </w:r>
          </w:p>
          <w:p w14:paraId="4B67265B">
            <w:pPr>
              <w:pageBreakBefore w:val="0"/>
              <w:kinsoku/>
              <w:wordWrap/>
              <w:overflowPunct/>
              <w:topLinePunct w:val="0"/>
              <w:bidi w:val="0"/>
              <w:spacing w:beforeAutospacing="0" w:afterAutospacing="0" w:line="360" w:lineRule="auto"/>
              <w:ind w:firstLine="480" w:firstLineChars="200"/>
              <w:contextualSpacing/>
              <w:jc w:val="both"/>
              <w:rPr>
                <w:rFonts w:hint="default" w:ascii="Times New Roman" w:hAnsi="Times New Roman" w:eastAsia="宋体"/>
                <w:color w:val="auto"/>
                <w:kern w:val="2"/>
                <w:sz w:val="24"/>
                <w:szCs w:val="24"/>
                <w:lang w:val="en-US" w:eastAsia="zh-CN"/>
              </w:rPr>
            </w:pPr>
            <w:r>
              <w:rPr>
                <w:rFonts w:hint="default" w:ascii="Times New Roman" w:hAnsi="Times New Roman" w:eastAsia="宋体"/>
                <w:color w:val="auto"/>
                <w:kern w:val="2"/>
                <w:sz w:val="24"/>
                <w:szCs w:val="24"/>
                <w:lang w:val="en-US" w:eastAsia="zh-CN"/>
              </w:rPr>
              <w:t>本项目利用其模拟实验颗粒物的数据4620mg</w:t>
            </w:r>
            <w:r>
              <w:rPr>
                <w:rFonts w:hint="eastAsia" w:ascii="Times New Roman" w:hAnsi="Times New Roman" w:eastAsia="宋体"/>
                <w:color w:val="auto"/>
                <w:kern w:val="2"/>
                <w:sz w:val="24"/>
                <w:szCs w:val="24"/>
                <w:lang w:val="en-US" w:eastAsia="zh-CN"/>
              </w:rPr>
              <w:t>/</w:t>
            </w:r>
            <w:r>
              <w:rPr>
                <w:rFonts w:hint="default" w:ascii="Times New Roman" w:hAnsi="Times New Roman" w:eastAsia="宋体"/>
                <w:color w:val="auto"/>
                <w:kern w:val="2"/>
                <w:sz w:val="24"/>
                <w:szCs w:val="24"/>
                <w:lang w:val="en-US" w:eastAsia="zh-CN"/>
              </w:rPr>
              <w:t>s</w:t>
            </w:r>
            <w:r>
              <w:rPr>
                <w:rFonts w:hint="eastAsia" w:ascii="Times New Roman" w:hAnsi="Times New Roman" w:eastAsia="宋体"/>
                <w:color w:val="auto"/>
                <w:kern w:val="2"/>
                <w:sz w:val="24"/>
                <w:szCs w:val="24"/>
                <w:lang w:val="en-US" w:eastAsia="zh-CN"/>
              </w:rPr>
              <w:t>（</w:t>
            </w:r>
            <w:r>
              <w:rPr>
                <w:rFonts w:hint="default" w:ascii="Times New Roman" w:hAnsi="Times New Roman" w:eastAsia="宋体"/>
                <w:color w:val="auto"/>
                <w:kern w:val="2"/>
                <w:sz w:val="24"/>
                <w:szCs w:val="24"/>
                <w:lang w:val="en-US" w:eastAsia="zh-CN"/>
              </w:rPr>
              <w:t>16.6kg</w:t>
            </w:r>
            <w:r>
              <w:rPr>
                <w:rFonts w:hint="eastAsia" w:ascii="Times New Roman" w:hAnsi="Times New Roman" w:eastAsia="宋体"/>
                <w:color w:val="auto"/>
                <w:kern w:val="2"/>
                <w:sz w:val="24"/>
                <w:szCs w:val="24"/>
                <w:lang w:val="en-US" w:eastAsia="zh-CN"/>
              </w:rPr>
              <w:t>/</w:t>
            </w:r>
            <w:r>
              <w:rPr>
                <w:rFonts w:hint="default" w:ascii="Times New Roman" w:hAnsi="Times New Roman" w:eastAsia="宋体"/>
                <w:color w:val="auto"/>
                <w:kern w:val="2"/>
                <w:sz w:val="24"/>
                <w:szCs w:val="24"/>
                <w:lang w:val="en-US" w:eastAsia="zh-CN"/>
              </w:rPr>
              <w:t>h</w:t>
            </w:r>
            <w:r>
              <w:rPr>
                <w:rFonts w:hint="eastAsia" w:ascii="Times New Roman" w:hAnsi="Times New Roman" w:eastAsia="宋体"/>
                <w:color w:val="auto"/>
                <w:kern w:val="2"/>
                <w:sz w:val="24"/>
                <w:szCs w:val="24"/>
                <w:lang w:val="en-US" w:eastAsia="zh-CN"/>
              </w:rPr>
              <w:t>）。</w:t>
            </w:r>
            <w:r>
              <w:rPr>
                <w:rFonts w:hint="default" w:ascii="Times New Roman" w:hAnsi="Times New Roman" w:eastAsia="宋体"/>
                <w:color w:val="auto"/>
                <w:kern w:val="2"/>
                <w:sz w:val="24"/>
                <w:szCs w:val="24"/>
                <w:lang w:val="en-US" w:eastAsia="zh-CN"/>
              </w:rPr>
              <w:t>即本项目破碎时产生的粉尘量为：TSP16.6kg</w:t>
            </w:r>
            <w:r>
              <w:rPr>
                <w:rFonts w:hint="eastAsia" w:ascii="Times New Roman" w:hAnsi="Times New Roman" w:eastAsia="宋体"/>
                <w:color w:val="auto"/>
                <w:kern w:val="2"/>
                <w:sz w:val="24"/>
                <w:szCs w:val="24"/>
                <w:lang w:val="en-US" w:eastAsia="zh-CN"/>
              </w:rPr>
              <w:t>/</w:t>
            </w:r>
            <w:r>
              <w:rPr>
                <w:rFonts w:hint="default" w:ascii="Times New Roman" w:hAnsi="Times New Roman" w:eastAsia="宋体"/>
                <w:color w:val="auto"/>
                <w:kern w:val="2"/>
                <w:sz w:val="24"/>
                <w:szCs w:val="24"/>
                <w:lang w:val="en-US" w:eastAsia="zh-CN"/>
              </w:rPr>
              <w:t>h，即</w:t>
            </w:r>
            <w:r>
              <w:rPr>
                <w:rFonts w:hint="eastAsia" w:ascii="Times New Roman" w:hAnsi="Times New Roman" w:eastAsia="宋体"/>
                <w:color w:val="auto"/>
                <w:kern w:val="2"/>
                <w:sz w:val="24"/>
                <w:szCs w:val="24"/>
                <w:lang w:val="en-US" w:eastAsia="zh-CN"/>
              </w:rPr>
              <w:t>33.2</w:t>
            </w:r>
            <w:r>
              <w:rPr>
                <w:rFonts w:hint="default" w:ascii="Times New Roman" w:hAnsi="Times New Roman" w:eastAsia="宋体"/>
                <w:color w:val="auto"/>
                <w:kern w:val="2"/>
                <w:sz w:val="24"/>
                <w:szCs w:val="24"/>
                <w:lang w:val="en-US" w:eastAsia="zh-CN"/>
              </w:rPr>
              <w:t>t</w:t>
            </w:r>
            <w:r>
              <w:rPr>
                <w:rFonts w:hint="eastAsia" w:ascii="Times New Roman" w:hAnsi="Times New Roman" w:eastAsia="宋体"/>
                <w:color w:val="auto"/>
                <w:kern w:val="2"/>
                <w:sz w:val="24"/>
                <w:szCs w:val="24"/>
                <w:lang w:val="en-US" w:eastAsia="zh-CN"/>
              </w:rPr>
              <w:t>/</w:t>
            </w:r>
            <w:r>
              <w:rPr>
                <w:rFonts w:hint="default" w:ascii="Times New Roman" w:hAnsi="Times New Roman" w:eastAsia="宋体"/>
                <w:color w:val="auto"/>
                <w:kern w:val="2"/>
                <w:sz w:val="24"/>
                <w:szCs w:val="24"/>
                <w:lang w:val="en-US" w:eastAsia="zh-CN"/>
              </w:rPr>
              <w:t>a。原料在进入生产线之前进行洒水，对石料进行湿润，提高原料的含水率，可以降低50%</w:t>
            </w:r>
            <w:r>
              <w:rPr>
                <w:rFonts w:hint="eastAsia"/>
                <w:color w:val="auto"/>
                <w:kern w:val="2"/>
                <w:sz w:val="24"/>
                <w:szCs w:val="24"/>
                <w:lang w:val="en-US" w:eastAsia="zh-CN"/>
              </w:rPr>
              <w:t>以</w:t>
            </w:r>
            <w:r>
              <w:rPr>
                <w:rFonts w:hint="default" w:ascii="Times New Roman" w:hAnsi="Times New Roman" w:eastAsia="宋体"/>
                <w:color w:val="auto"/>
                <w:kern w:val="2"/>
                <w:sz w:val="24"/>
                <w:szCs w:val="24"/>
                <w:lang w:val="en-US" w:eastAsia="zh-CN"/>
              </w:rPr>
              <w:t>上的粉尘量；破碎</w:t>
            </w:r>
            <w:r>
              <w:rPr>
                <w:rFonts w:hint="eastAsia" w:ascii="Times New Roman" w:hAnsi="Times New Roman" w:eastAsia="宋体"/>
                <w:color w:val="auto"/>
                <w:kern w:val="2"/>
                <w:sz w:val="24"/>
                <w:szCs w:val="24"/>
                <w:lang w:val="en-US" w:eastAsia="zh-CN"/>
              </w:rPr>
              <w:t>、筛分</w:t>
            </w:r>
            <w:r>
              <w:rPr>
                <w:rFonts w:hint="default" w:ascii="Times New Roman" w:hAnsi="Times New Roman" w:eastAsia="宋体"/>
                <w:color w:val="auto"/>
                <w:kern w:val="2"/>
                <w:sz w:val="24"/>
                <w:szCs w:val="24"/>
                <w:lang w:val="en-US" w:eastAsia="zh-CN"/>
              </w:rPr>
              <w:t>过程中在产尘点尽量封闭生产</w:t>
            </w:r>
            <w:r>
              <w:rPr>
                <w:rFonts w:hint="eastAsia"/>
                <w:color w:val="auto"/>
                <w:kern w:val="2"/>
                <w:sz w:val="24"/>
                <w:szCs w:val="24"/>
                <w:lang w:val="en-US" w:eastAsia="zh-CN"/>
              </w:rPr>
              <w:t>，设置封闭车间</w:t>
            </w:r>
            <w:r>
              <w:rPr>
                <w:rFonts w:hint="default" w:ascii="Times New Roman" w:hAnsi="Times New Roman" w:eastAsia="宋体"/>
                <w:color w:val="auto"/>
                <w:kern w:val="2"/>
                <w:sz w:val="24"/>
                <w:szCs w:val="24"/>
                <w:lang w:val="en-US" w:eastAsia="zh-CN"/>
              </w:rPr>
              <w:t>，</w:t>
            </w:r>
            <w:r>
              <w:rPr>
                <w:rFonts w:hint="eastAsia" w:ascii="Times New Roman" w:hAnsi="Times New Roman" w:eastAsia="宋体"/>
                <w:color w:val="auto"/>
                <w:kern w:val="2"/>
                <w:sz w:val="24"/>
                <w:szCs w:val="24"/>
                <w:lang w:val="en-US" w:eastAsia="zh-CN"/>
              </w:rPr>
              <w:t>物料输送廊道也进行封闭，</w:t>
            </w:r>
            <w:r>
              <w:rPr>
                <w:rFonts w:hint="default" w:ascii="Times New Roman" w:hAnsi="Times New Roman" w:eastAsia="宋体"/>
                <w:color w:val="auto"/>
                <w:kern w:val="2"/>
                <w:sz w:val="24"/>
                <w:szCs w:val="24"/>
                <w:lang w:val="en-US" w:eastAsia="zh-CN"/>
              </w:rPr>
              <w:t>并采用</w:t>
            </w:r>
            <w:r>
              <w:rPr>
                <w:rFonts w:hint="eastAsia"/>
                <w:color w:val="auto"/>
                <w:kern w:val="2"/>
                <w:sz w:val="24"/>
                <w:szCs w:val="24"/>
                <w:lang w:val="en-US" w:eastAsia="zh-CN"/>
              </w:rPr>
              <w:t>车</w:t>
            </w:r>
            <w:r>
              <w:rPr>
                <w:rFonts w:hint="eastAsia"/>
                <w:color w:val="0000FC"/>
                <w:kern w:val="2"/>
                <w:sz w:val="24"/>
                <w:szCs w:val="24"/>
                <w:lang w:val="en-US" w:eastAsia="zh-CN"/>
              </w:rPr>
              <w:t>间喷淋</w:t>
            </w:r>
            <w:r>
              <w:rPr>
                <w:rFonts w:hint="default" w:ascii="Times New Roman" w:hAnsi="Times New Roman" w:eastAsia="宋体"/>
                <w:color w:val="0000FC"/>
                <w:kern w:val="2"/>
                <w:sz w:val="24"/>
                <w:szCs w:val="24"/>
                <w:lang w:val="en-US" w:eastAsia="zh-CN"/>
              </w:rPr>
              <w:t>降尘</w:t>
            </w:r>
            <w:r>
              <w:rPr>
                <w:rFonts w:hint="default" w:ascii="Times New Roman" w:hAnsi="Times New Roman" w:eastAsia="宋体"/>
                <w:color w:val="auto"/>
                <w:kern w:val="2"/>
                <w:sz w:val="24"/>
                <w:szCs w:val="24"/>
                <w:lang w:val="en-US" w:eastAsia="zh-CN"/>
              </w:rPr>
              <w:t>，可以降低90%</w:t>
            </w:r>
            <w:r>
              <w:rPr>
                <w:rFonts w:hint="eastAsia"/>
                <w:color w:val="auto"/>
                <w:kern w:val="2"/>
                <w:sz w:val="24"/>
                <w:szCs w:val="24"/>
                <w:lang w:val="en-US" w:eastAsia="zh-CN"/>
              </w:rPr>
              <w:t>以</w:t>
            </w:r>
            <w:r>
              <w:rPr>
                <w:rFonts w:hint="default" w:ascii="Times New Roman" w:hAnsi="Times New Roman" w:eastAsia="宋体"/>
                <w:color w:val="auto"/>
                <w:kern w:val="2"/>
                <w:sz w:val="24"/>
                <w:szCs w:val="24"/>
                <w:lang w:val="en-US" w:eastAsia="zh-CN"/>
              </w:rPr>
              <w:t>上的粉尘量，综合而言，采取防治措施后破碎</w:t>
            </w:r>
            <w:r>
              <w:rPr>
                <w:rFonts w:hint="eastAsia" w:ascii="Times New Roman" w:hAnsi="Times New Roman" w:eastAsia="宋体"/>
                <w:color w:val="auto"/>
                <w:kern w:val="2"/>
                <w:sz w:val="24"/>
                <w:szCs w:val="24"/>
                <w:lang w:val="en-US" w:eastAsia="zh-CN"/>
              </w:rPr>
              <w:t>筛分</w:t>
            </w:r>
            <w:r>
              <w:rPr>
                <w:rFonts w:hint="default" w:ascii="Times New Roman" w:hAnsi="Times New Roman" w:eastAsia="宋体"/>
                <w:color w:val="auto"/>
                <w:kern w:val="2"/>
                <w:sz w:val="24"/>
                <w:szCs w:val="24"/>
                <w:lang w:val="en-US" w:eastAsia="zh-CN"/>
              </w:rPr>
              <w:t>过程中粉尘的产生量约为：TSP</w:t>
            </w:r>
            <w:r>
              <w:rPr>
                <w:rFonts w:hint="eastAsia" w:ascii="Times New Roman" w:hAnsi="Times New Roman" w:eastAsia="宋体"/>
                <w:color w:val="auto"/>
                <w:kern w:val="2"/>
                <w:sz w:val="24"/>
                <w:szCs w:val="24"/>
                <w:lang w:val="en-US" w:eastAsia="zh-CN"/>
              </w:rPr>
              <w:t>1.66</w:t>
            </w:r>
            <w:r>
              <w:rPr>
                <w:rFonts w:hint="default" w:ascii="Times New Roman" w:hAnsi="Times New Roman" w:eastAsia="宋体"/>
                <w:color w:val="auto"/>
                <w:kern w:val="2"/>
                <w:sz w:val="24"/>
                <w:szCs w:val="24"/>
                <w:lang w:val="en-US" w:eastAsia="zh-CN"/>
              </w:rPr>
              <w:t>kg</w:t>
            </w:r>
            <w:r>
              <w:rPr>
                <w:rFonts w:hint="eastAsia" w:ascii="Times New Roman" w:hAnsi="Times New Roman" w:eastAsia="宋体"/>
                <w:color w:val="auto"/>
                <w:kern w:val="2"/>
                <w:sz w:val="24"/>
                <w:szCs w:val="24"/>
                <w:lang w:val="en-US" w:eastAsia="zh-CN"/>
              </w:rPr>
              <w:t>/</w:t>
            </w:r>
            <w:r>
              <w:rPr>
                <w:rFonts w:hint="default" w:ascii="Times New Roman" w:hAnsi="Times New Roman" w:eastAsia="宋体"/>
                <w:color w:val="auto"/>
                <w:kern w:val="2"/>
                <w:sz w:val="24"/>
                <w:szCs w:val="24"/>
                <w:lang w:val="en-US" w:eastAsia="zh-CN"/>
              </w:rPr>
              <w:t>h。破碎</w:t>
            </w:r>
            <w:r>
              <w:rPr>
                <w:rFonts w:hint="eastAsia" w:ascii="Times New Roman" w:hAnsi="Times New Roman" w:eastAsia="宋体"/>
                <w:color w:val="auto"/>
                <w:kern w:val="2"/>
                <w:sz w:val="24"/>
                <w:szCs w:val="24"/>
                <w:lang w:val="en-US" w:eastAsia="zh-CN"/>
              </w:rPr>
              <w:t>机和筛分机</w:t>
            </w:r>
            <w:r>
              <w:rPr>
                <w:rFonts w:hint="default" w:ascii="Times New Roman" w:hAnsi="Times New Roman" w:eastAsia="宋体"/>
                <w:color w:val="auto"/>
                <w:kern w:val="2"/>
                <w:sz w:val="24"/>
                <w:szCs w:val="24"/>
                <w:lang w:val="en-US" w:eastAsia="zh-CN"/>
              </w:rPr>
              <w:t>每天工作时间</w:t>
            </w:r>
            <w:r>
              <w:rPr>
                <w:rFonts w:hint="eastAsia" w:ascii="Times New Roman" w:hAnsi="Times New Roman" w:eastAsia="宋体"/>
                <w:color w:val="auto"/>
                <w:kern w:val="2"/>
                <w:sz w:val="24"/>
                <w:szCs w:val="24"/>
                <w:lang w:val="en-US" w:eastAsia="zh-CN"/>
              </w:rPr>
              <w:t>8</w:t>
            </w:r>
            <w:r>
              <w:rPr>
                <w:rFonts w:hint="default" w:ascii="Times New Roman" w:hAnsi="Times New Roman" w:eastAsia="宋体"/>
                <w:color w:val="auto"/>
                <w:kern w:val="2"/>
                <w:sz w:val="24"/>
                <w:szCs w:val="24"/>
                <w:lang w:val="en-US" w:eastAsia="zh-CN"/>
              </w:rPr>
              <w:t>h，年工作2</w:t>
            </w:r>
            <w:r>
              <w:rPr>
                <w:rFonts w:hint="eastAsia" w:ascii="Times New Roman" w:hAnsi="Times New Roman" w:eastAsia="宋体"/>
                <w:color w:val="auto"/>
                <w:kern w:val="2"/>
                <w:sz w:val="24"/>
                <w:szCs w:val="24"/>
                <w:lang w:val="en-US" w:eastAsia="zh-CN"/>
              </w:rPr>
              <w:t>5</w:t>
            </w:r>
            <w:r>
              <w:rPr>
                <w:rFonts w:hint="default" w:ascii="Times New Roman" w:hAnsi="Times New Roman" w:eastAsia="宋体"/>
                <w:color w:val="auto"/>
                <w:kern w:val="2"/>
                <w:sz w:val="24"/>
                <w:szCs w:val="24"/>
                <w:lang w:val="en-US" w:eastAsia="zh-CN"/>
              </w:rPr>
              <w:t>0天，则年排放粉尘量为TSP</w:t>
            </w:r>
            <w:r>
              <w:rPr>
                <w:rFonts w:hint="eastAsia" w:ascii="Times New Roman" w:hAnsi="Times New Roman" w:eastAsia="宋体"/>
                <w:color w:val="auto"/>
                <w:kern w:val="2"/>
                <w:sz w:val="24"/>
                <w:szCs w:val="24"/>
                <w:lang w:val="en-US" w:eastAsia="zh-CN"/>
              </w:rPr>
              <w:t>3.32</w:t>
            </w:r>
            <w:r>
              <w:rPr>
                <w:rFonts w:hint="default" w:ascii="Times New Roman" w:hAnsi="Times New Roman" w:eastAsia="宋体"/>
                <w:color w:val="auto"/>
                <w:kern w:val="2"/>
                <w:sz w:val="24"/>
                <w:szCs w:val="24"/>
                <w:lang w:val="en-US" w:eastAsia="zh-CN"/>
              </w:rPr>
              <w:t>t</w:t>
            </w:r>
            <w:r>
              <w:rPr>
                <w:rFonts w:hint="eastAsia" w:ascii="Times New Roman" w:hAnsi="Times New Roman" w:eastAsia="宋体"/>
                <w:color w:val="auto"/>
                <w:kern w:val="2"/>
                <w:sz w:val="24"/>
                <w:szCs w:val="24"/>
                <w:lang w:val="en-US" w:eastAsia="zh-CN"/>
              </w:rPr>
              <w:t>/</w:t>
            </w:r>
            <w:r>
              <w:rPr>
                <w:rFonts w:hint="default" w:ascii="Times New Roman" w:hAnsi="Times New Roman" w:eastAsia="宋体"/>
                <w:color w:val="auto"/>
                <w:kern w:val="2"/>
                <w:sz w:val="24"/>
                <w:szCs w:val="24"/>
                <w:lang w:val="en-US" w:eastAsia="zh-CN"/>
              </w:rPr>
              <w:t>a。</w:t>
            </w:r>
          </w:p>
          <w:p w14:paraId="65AF3CF3">
            <w:pPr>
              <w:pageBreakBefore w:val="0"/>
              <w:kinsoku/>
              <w:wordWrap/>
              <w:overflowPunct/>
              <w:topLinePunct w:val="0"/>
              <w:bidi w:val="0"/>
              <w:spacing w:beforeAutospacing="0" w:afterAutospacing="0" w:line="360" w:lineRule="auto"/>
              <w:ind w:firstLine="482" w:firstLineChars="200"/>
              <w:contextualSpacing/>
              <w:jc w:val="both"/>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（7）筛分粉尘</w:t>
            </w:r>
          </w:p>
          <w:p w14:paraId="67DCE223">
            <w:pPr>
              <w:pageBreakBefore w:val="0"/>
              <w:kinsoku/>
              <w:wordWrap/>
              <w:overflowPunct/>
              <w:topLinePunct w:val="0"/>
              <w:bidi w:val="0"/>
              <w:spacing w:beforeAutospacing="0" w:afterAutospacing="0" w:line="360" w:lineRule="auto"/>
              <w:ind w:firstLine="480" w:firstLineChars="200"/>
              <w:contextualSpacing/>
              <w:jc w:val="both"/>
              <w:rPr>
                <w:rFonts w:hint="default" w:ascii="Times New Roman" w:hAnsi="Times New Roman" w:eastAsia="宋体"/>
                <w:color w:val="auto"/>
                <w:kern w:val="2"/>
                <w:sz w:val="24"/>
                <w:szCs w:val="24"/>
                <w:lang w:val="en-US" w:eastAsia="zh-CN"/>
              </w:rPr>
            </w:pPr>
            <w:r>
              <w:rPr>
                <w:rFonts w:hint="default" w:ascii="Times New Roman" w:hAnsi="Times New Roman" w:eastAsia="宋体"/>
                <w:color w:val="auto"/>
                <w:kern w:val="2"/>
                <w:sz w:val="24"/>
                <w:szCs w:val="24"/>
                <w:lang w:val="en-US" w:eastAsia="zh-CN"/>
              </w:rPr>
              <w:t>进入筛分工段的物料量为</w:t>
            </w:r>
            <w:r>
              <w:rPr>
                <w:rFonts w:hint="eastAsia" w:ascii="Times New Roman" w:hAnsi="Times New Roman" w:eastAsia="宋体"/>
                <w:color w:val="auto"/>
                <w:kern w:val="2"/>
                <w:sz w:val="24"/>
                <w:szCs w:val="24"/>
                <w:lang w:val="en-US" w:eastAsia="zh-CN"/>
              </w:rPr>
              <w:t>100</w:t>
            </w:r>
            <w:r>
              <w:rPr>
                <w:rFonts w:hint="default" w:ascii="Times New Roman" w:hAnsi="Times New Roman" w:eastAsia="宋体"/>
                <w:color w:val="auto"/>
                <w:kern w:val="2"/>
                <w:sz w:val="24"/>
                <w:szCs w:val="24"/>
                <w:lang w:val="en-US" w:eastAsia="zh-CN"/>
              </w:rPr>
              <w:t>万t/a，本次核算参照《逸散性工业粉尘控制技术》（中国环境科学出版社）中表18-1中给出的粒料加工逸尘排放因子，筛分粉尘的产生量按照0.75kg/t计，则筛分粉尘产生量为</w:t>
            </w:r>
            <w:r>
              <w:rPr>
                <w:rFonts w:hint="eastAsia" w:ascii="Times New Roman" w:hAnsi="Times New Roman" w:eastAsia="宋体"/>
                <w:color w:val="auto"/>
                <w:kern w:val="2"/>
                <w:sz w:val="24"/>
                <w:szCs w:val="24"/>
                <w:lang w:val="en-US" w:eastAsia="zh-CN"/>
              </w:rPr>
              <w:t>750</w:t>
            </w:r>
            <w:r>
              <w:rPr>
                <w:rFonts w:hint="default" w:ascii="Times New Roman" w:hAnsi="Times New Roman" w:eastAsia="宋体"/>
                <w:color w:val="auto"/>
                <w:kern w:val="2"/>
                <w:sz w:val="24"/>
                <w:szCs w:val="24"/>
                <w:lang w:val="en-US" w:eastAsia="zh-CN"/>
              </w:rPr>
              <w:t>t/a，产生速率为</w:t>
            </w:r>
            <w:r>
              <w:rPr>
                <w:rFonts w:hint="eastAsia" w:ascii="Times New Roman" w:hAnsi="Times New Roman" w:eastAsia="宋体"/>
                <w:color w:val="auto"/>
                <w:kern w:val="2"/>
                <w:sz w:val="24"/>
                <w:szCs w:val="24"/>
                <w:lang w:val="en-US" w:eastAsia="zh-CN"/>
              </w:rPr>
              <w:t>375</w:t>
            </w:r>
            <w:r>
              <w:rPr>
                <w:rFonts w:hint="default" w:ascii="Times New Roman" w:hAnsi="Times New Roman" w:eastAsia="宋体"/>
                <w:color w:val="auto"/>
                <w:kern w:val="2"/>
                <w:sz w:val="24"/>
                <w:szCs w:val="24"/>
                <w:lang w:val="en-US" w:eastAsia="zh-CN"/>
              </w:rPr>
              <w:t>kg/h。</w:t>
            </w:r>
            <w:r>
              <w:rPr>
                <w:rFonts w:hint="eastAsia"/>
                <w:color w:val="auto"/>
                <w:kern w:val="2"/>
                <w:sz w:val="24"/>
                <w:szCs w:val="24"/>
                <w:lang w:val="en-US" w:eastAsia="zh-CN"/>
              </w:rPr>
              <w:t>设置封闭车间</w:t>
            </w:r>
            <w:r>
              <w:rPr>
                <w:rFonts w:hint="eastAsia" w:ascii="Times New Roman" w:hAnsi="Times New Roman" w:eastAsia="宋体"/>
                <w:color w:val="auto"/>
                <w:kern w:val="2"/>
                <w:sz w:val="24"/>
                <w:szCs w:val="24"/>
                <w:lang w:val="en-US" w:eastAsia="zh-CN"/>
              </w:rPr>
              <w:t>，</w:t>
            </w:r>
            <w:r>
              <w:rPr>
                <w:rFonts w:hint="eastAsia"/>
                <w:color w:val="0000FC"/>
                <w:kern w:val="2"/>
                <w:sz w:val="24"/>
                <w:szCs w:val="24"/>
                <w:lang w:val="en-US" w:eastAsia="zh-CN"/>
              </w:rPr>
              <w:t>车间设置喷淋</w:t>
            </w:r>
            <w:r>
              <w:rPr>
                <w:rFonts w:hint="default" w:ascii="Times New Roman" w:hAnsi="Times New Roman" w:eastAsia="宋体"/>
                <w:color w:val="0000FC"/>
                <w:kern w:val="2"/>
                <w:sz w:val="24"/>
                <w:szCs w:val="24"/>
                <w:lang w:val="en-US" w:eastAsia="zh-CN"/>
              </w:rPr>
              <w:t>装置</w:t>
            </w:r>
            <w:r>
              <w:rPr>
                <w:rFonts w:hint="default" w:ascii="Times New Roman" w:hAnsi="Times New Roman" w:eastAsia="宋体"/>
                <w:color w:val="auto"/>
                <w:kern w:val="2"/>
                <w:sz w:val="24"/>
                <w:szCs w:val="24"/>
                <w:lang w:val="en-US" w:eastAsia="zh-CN"/>
              </w:rPr>
              <w:t>，</w:t>
            </w:r>
            <w:r>
              <w:rPr>
                <w:rFonts w:hint="eastAsia"/>
                <w:color w:val="auto"/>
                <w:kern w:val="2"/>
                <w:sz w:val="24"/>
                <w:szCs w:val="24"/>
                <w:lang w:val="en-US" w:eastAsia="zh-CN"/>
              </w:rPr>
              <w:t>适用</w:t>
            </w:r>
            <w:r>
              <w:rPr>
                <w:rFonts w:hint="default" w:ascii="Times New Roman" w:hAnsi="Times New Roman" w:eastAsia="宋体"/>
                <w:color w:val="auto"/>
                <w:kern w:val="2"/>
                <w:sz w:val="24"/>
                <w:szCs w:val="24"/>
                <w:lang w:val="en-US" w:eastAsia="zh-CN"/>
              </w:rPr>
              <w:t>于洒水降尘。洒水降尘的效率按85%计，其余逸散粉尘进一步通过破碎生产车间喷雾压尘装置进一步降尘，则其联合控制效率为95.5%，排放量为</w:t>
            </w:r>
            <w:r>
              <w:rPr>
                <w:rFonts w:hint="eastAsia" w:ascii="Times New Roman" w:hAnsi="Times New Roman" w:eastAsia="宋体"/>
                <w:color w:val="auto"/>
                <w:kern w:val="2"/>
                <w:sz w:val="24"/>
                <w:szCs w:val="24"/>
                <w:lang w:val="en-US" w:eastAsia="zh-CN"/>
              </w:rPr>
              <w:t>33.75</w:t>
            </w:r>
            <w:r>
              <w:rPr>
                <w:rFonts w:hint="default" w:ascii="Times New Roman" w:hAnsi="Times New Roman" w:eastAsia="宋体"/>
                <w:color w:val="auto"/>
                <w:kern w:val="2"/>
                <w:sz w:val="24"/>
                <w:szCs w:val="24"/>
                <w:lang w:val="en-US" w:eastAsia="zh-CN"/>
              </w:rPr>
              <w:t>t/a、排放速率为</w:t>
            </w:r>
            <w:r>
              <w:rPr>
                <w:rFonts w:hint="eastAsia" w:ascii="Times New Roman" w:hAnsi="Times New Roman" w:eastAsia="宋体"/>
                <w:color w:val="auto"/>
                <w:kern w:val="2"/>
                <w:sz w:val="24"/>
                <w:szCs w:val="24"/>
                <w:lang w:val="en-US" w:eastAsia="zh-CN"/>
              </w:rPr>
              <w:t>16.88</w:t>
            </w:r>
            <w:r>
              <w:rPr>
                <w:rFonts w:hint="default" w:ascii="Times New Roman" w:hAnsi="Times New Roman" w:eastAsia="宋体"/>
                <w:color w:val="auto"/>
                <w:kern w:val="2"/>
                <w:sz w:val="24"/>
                <w:szCs w:val="24"/>
                <w:lang w:val="en-US" w:eastAsia="zh-CN"/>
              </w:rPr>
              <w:t>kg/h。</w:t>
            </w:r>
          </w:p>
          <w:p w14:paraId="18B5FD26">
            <w:pPr>
              <w:pageBreakBefore w:val="0"/>
              <w:kinsoku/>
              <w:wordWrap/>
              <w:overflowPunct/>
              <w:topLinePunct w:val="0"/>
              <w:bidi w:val="0"/>
              <w:spacing w:beforeAutospacing="0" w:afterAutospacing="0" w:line="360" w:lineRule="auto"/>
              <w:ind w:firstLine="510" w:firstLineChars="200"/>
              <w:contextualSpacing/>
              <w:rPr>
                <w:rFonts w:hint="eastAsia" w:ascii="Times New Roman" w:hAnsi="Times New Roman" w:eastAsia="宋体"/>
                <w:b/>
                <w:bCs/>
                <w:spacing w:val="7"/>
                <w:sz w:val="24"/>
                <w:szCs w:val="24"/>
                <w:lang w:val="en-US" w:eastAsia="zh-CN"/>
              </w:rPr>
            </w:pPr>
            <w:r>
              <w:rPr>
                <w:rFonts w:hint="eastAsia" w:ascii="Times New Roman" w:hAnsi="Times New Roman" w:eastAsia="宋体"/>
                <w:b/>
                <w:bCs/>
                <w:spacing w:val="7"/>
                <w:sz w:val="24"/>
                <w:szCs w:val="24"/>
                <w:lang w:eastAsia="zh-CN"/>
              </w:rPr>
              <w:t>（</w:t>
            </w:r>
            <w:r>
              <w:rPr>
                <w:rFonts w:hint="eastAsia" w:ascii="Times New Roman" w:hAnsi="Times New Roman" w:eastAsia="宋体"/>
                <w:b/>
                <w:bCs/>
                <w:spacing w:val="7"/>
                <w:sz w:val="24"/>
                <w:szCs w:val="24"/>
                <w:lang w:val="en-US" w:eastAsia="zh-CN"/>
              </w:rPr>
              <w:t>8</w:t>
            </w:r>
            <w:r>
              <w:rPr>
                <w:rFonts w:hint="eastAsia" w:ascii="Times New Roman" w:hAnsi="Times New Roman" w:eastAsia="宋体"/>
                <w:b/>
                <w:bCs/>
                <w:spacing w:val="7"/>
                <w:sz w:val="24"/>
                <w:szCs w:val="24"/>
                <w:lang w:eastAsia="zh-CN"/>
              </w:rPr>
              <w:t>）</w:t>
            </w:r>
            <w:r>
              <w:rPr>
                <w:rFonts w:ascii="Times New Roman" w:hAnsi="Times New Roman" w:eastAsia="宋体"/>
                <w:b/>
                <w:bCs/>
                <w:spacing w:val="7"/>
                <w:sz w:val="24"/>
                <w:szCs w:val="24"/>
              </w:rPr>
              <w:t>成品堆场</w:t>
            </w:r>
            <w:r>
              <w:rPr>
                <w:rFonts w:hint="eastAsia" w:ascii="Times New Roman" w:hAnsi="Times New Roman" w:eastAsia="宋体"/>
                <w:b/>
                <w:bCs/>
                <w:spacing w:val="7"/>
                <w:sz w:val="24"/>
                <w:szCs w:val="24"/>
                <w:lang w:val="en-US" w:eastAsia="zh-CN"/>
              </w:rPr>
              <w:t>粉尘</w:t>
            </w:r>
          </w:p>
          <w:p w14:paraId="64326F46">
            <w:pPr>
              <w:pageBreakBefore w:val="0"/>
              <w:kinsoku/>
              <w:wordWrap/>
              <w:overflowPunct/>
              <w:topLinePunct w:val="0"/>
              <w:bidi w:val="0"/>
              <w:spacing w:beforeAutospacing="0" w:afterAutospacing="0" w:line="360" w:lineRule="auto"/>
              <w:ind w:firstLine="480" w:firstLineChars="200"/>
              <w:contextualSpacing/>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本项目采剥后即可采用装载机转载进入破碎加工区，破碎后堆存在产品堆场内，</w:t>
            </w:r>
            <w:r>
              <w:rPr>
                <w:rFonts w:hint="eastAsia" w:ascii="Times New Roman" w:hAnsi="Times New Roman" w:eastAsia="宋体" w:cs="Times New Roman"/>
                <w:sz w:val="24"/>
                <w:szCs w:val="24"/>
                <w:lang w:val="en-US" w:eastAsia="zh-CN"/>
              </w:rPr>
              <w:t>成品堆场设置</w:t>
            </w:r>
            <w:r>
              <w:rPr>
                <w:rFonts w:hint="eastAsia" w:cs="Times New Roman"/>
                <w:sz w:val="24"/>
                <w:szCs w:val="24"/>
                <w:lang w:val="en-US" w:eastAsia="zh-CN"/>
              </w:rPr>
              <w:t>封闭车间</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风蚀扬尘主要是当料堆颗粒的直径小于100mm和颗粒之间的结力小于颗粒能在外界扰动下克服凝结力的束缚时容易产生扬尘。原矿经过进料和破碎喷雾降尘后，含水率一般在</w:t>
            </w:r>
            <w:r>
              <w:rPr>
                <w:rFonts w:hint="eastAsia" w:cs="Times New Roman"/>
                <w:sz w:val="24"/>
                <w:szCs w:val="24"/>
                <w:lang w:val="en-US" w:eastAsia="zh-CN"/>
              </w:rPr>
              <w:t>8%~10%</w:t>
            </w:r>
            <w:r>
              <w:rPr>
                <w:rFonts w:hint="default" w:ascii="Times New Roman" w:hAnsi="Times New Roman" w:eastAsia="宋体" w:cs="Times New Roman"/>
                <w:sz w:val="24"/>
                <w:szCs w:val="24"/>
                <w:lang w:val="en-US" w:eastAsia="zh-CN"/>
              </w:rPr>
              <w:t>左右，产生的扬尘也相对较少。</w:t>
            </w:r>
          </w:p>
          <w:p w14:paraId="676E0E8C">
            <w:pPr>
              <w:pageBreakBefore w:val="0"/>
              <w:kinsoku/>
              <w:wordWrap/>
              <w:overflowPunct/>
              <w:topLinePunct w:val="0"/>
              <w:bidi w:val="0"/>
              <w:spacing w:beforeAutospacing="0" w:afterAutospacing="0" w:line="360" w:lineRule="auto"/>
              <w:ind w:firstLine="508" w:firstLineChars="200"/>
              <w:contextualSpacing/>
              <w:rPr>
                <w:rFonts w:ascii="Times New Roman" w:hAnsi="Times New Roman" w:eastAsia="宋体"/>
                <w:spacing w:val="7"/>
                <w:sz w:val="24"/>
                <w:szCs w:val="24"/>
              </w:rPr>
            </w:pPr>
            <w:r>
              <w:rPr>
                <w:rFonts w:ascii="Times New Roman" w:hAnsi="Times New Roman" w:eastAsia="宋体"/>
                <w:spacing w:val="7"/>
                <w:sz w:val="24"/>
                <w:szCs w:val="24"/>
              </w:rPr>
              <w:t>根据清华大学在霍州电厂现场试验的模式，经验公式：</w:t>
            </w:r>
          </w:p>
          <w:p w14:paraId="2982D60F">
            <w:pPr>
              <w:pStyle w:val="22"/>
              <w:pageBreakBefore w:val="0"/>
              <w:kinsoku/>
              <w:wordWrap/>
              <w:overflowPunct/>
              <w:topLinePunct w:val="0"/>
              <w:bidi w:val="0"/>
              <w:spacing w:beforeAutospacing="0" w:after="0" w:afterAutospacing="0" w:line="360" w:lineRule="auto"/>
              <w:ind w:left="0" w:leftChars="0" w:firstLine="0" w:firstLineChars="0"/>
              <w:jc w:val="center"/>
              <w:rPr>
                <w:rFonts w:ascii="Times New Roman" w:hAnsi="Times New Roman" w:eastAsia="宋体"/>
              </w:rPr>
            </w:pPr>
            <w:r>
              <w:rPr>
                <w:rFonts w:ascii="Cambria Math" w:hAnsi="Cambria Math" w:eastAsia="宋体"/>
                <w:kern w:val="2"/>
                <w:position w:val="-10"/>
                <w:sz w:val="21"/>
                <w:szCs w:val="24"/>
                <w:lang w:val="en-US" w:eastAsia="zh-CN" w:bidi="ar-SA"/>
              </w:rPr>
              <w:object>
                <v:shape id="_x0000_i1025" o:spt="75" type="#_x0000_t75" style="height:18pt;width:114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p>
          <w:p w14:paraId="5E4D6066">
            <w:pPr>
              <w:pageBreakBefore w:val="0"/>
              <w:kinsoku/>
              <w:wordWrap/>
              <w:overflowPunct/>
              <w:topLinePunct w:val="0"/>
              <w:bidi w:val="0"/>
              <w:spacing w:beforeAutospacing="0" w:afterAutospacing="0" w:line="360" w:lineRule="auto"/>
              <w:ind w:firstLine="508" w:firstLineChars="200"/>
              <w:contextualSpacing/>
              <w:rPr>
                <w:rFonts w:ascii="Times New Roman" w:hAnsi="Times New Roman" w:eastAsia="宋体"/>
                <w:spacing w:val="7"/>
                <w:sz w:val="24"/>
                <w:szCs w:val="24"/>
              </w:rPr>
            </w:pPr>
            <w:r>
              <w:rPr>
                <w:rFonts w:ascii="Times New Roman" w:hAnsi="Times New Roman" w:eastAsia="宋体"/>
                <w:spacing w:val="7"/>
                <w:sz w:val="24"/>
                <w:szCs w:val="24"/>
              </w:rPr>
              <w:t>式中：Q—堆场起尘强度，mg/s；</w:t>
            </w:r>
          </w:p>
          <w:p w14:paraId="5869B35B">
            <w:pPr>
              <w:pageBreakBefore w:val="0"/>
              <w:kinsoku/>
              <w:wordWrap/>
              <w:overflowPunct/>
              <w:topLinePunct w:val="0"/>
              <w:bidi w:val="0"/>
              <w:spacing w:beforeAutospacing="0" w:afterAutospacing="0" w:line="360" w:lineRule="auto"/>
              <w:ind w:firstLine="1270" w:firstLineChars="500"/>
              <w:contextualSpacing/>
              <w:rPr>
                <w:rFonts w:ascii="Times New Roman" w:hAnsi="Times New Roman" w:eastAsia="宋体"/>
                <w:spacing w:val="7"/>
                <w:sz w:val="24"/>
                <w:szCs w:val="24"/>
              </w:rPr>
            </w:pPr>
            <w:r>
              <w:rPr>
                <w:rFonts w:ascii="Times New Roman" w:hAnsi="Times New Roman" w:eastAsia="宋体"/>
                <w:spacing w:val="7"/>
                <w:sz w:val="24"/>
                <w:szCs w:val="24"/>
              </w:rPr>
              <w:t>U—地面平均风速，1.</w:t>
            </w:r>
            <w:r>
              <w:rPr>
                <w:rFonts w:hint="eastAsia" w:ascii="Times New Roman" w:hAnsi="Times New Roman" w:eastAsia="宋体"/>
                <w:spacing w:val="7"/>
                <w:sz w:val="24"/>
                <w:szCs w:val="24"/>
              </w:rPr>
              <w:t>5</w:t>
            </w:r>
            <w:r>
              <w:rPr>
                <w:rFonts w:ascii="Times New Roman" w:hAnsi="Times New Roman" w:eastAsia="宋体"/>
                <w:spacing w:val="7"/>
                <w:sz w:val="24"/>
                <w:szCs w:val="24"/>
              </w:rPr>
              <w:t>m/s；</w:t>
            </w:r>
          </w:p>
          <w:p w14:paraId="4A552934">
            <w:pPr>
              <w:pageBreakBefore w:val="0"/>
              <w:kinsoku/>
              <w:wordWrap/>
              <w:overflowPunct/>
              <w:topLinePunct w:val="0"/>
              <w:bidi w:val="0"/>
              <w:spacing w:beforeAutospacing="0" w:afterAutospacing="0" w:line="360" w:lineRule="auto"/>
              <w:ind w:firstLine="1270" w:firstLineChars="500"/>
              <w:contextualSpacing/>
              <w:rPr>
                <w:rFonts w:ascii="Times New Roman" w:hAnsi="Times New Roman" w:eastAsia="宋体"/>
                <w:spacing w:val="7"/>
                <w:sz w:val="24"/>
                <w:szCs w:val="24"/>
              </w:rPr>
            </w:pPr>
            <w:r>
              <w:rPr>
                <w:rFonts w:ascii="Times New Roman" w:hAnsi="Times New Roman" w:eastAsia="宋体"/>
                <w:spacing w:val="7"/>
                <w:sz w:val="24"/>
                <w:szCs w:val="24"/>
              </w:rPr>
              <w:t>S—堆场表面积，</w:t>
            </w:r>
            <w:r>
              <w:rPr>
                <w:rFonts w:hint="eastAsia" w:ascii="Times New Roman" w:hAnsi="Times New Roman" w:eastAsia="宋体"/>
                <w:spacing w:val="7"/>
                <w:sz w:val="24"/>
                <w:szCs w:val="24"/>
                <w:lang w:val="en-US" w:eastAsia="zh-CN"/>
              </w:rPr>
              <w:t>21066</w:t>
            </w:r>
            <w:r>
              <w:rPr>
                <w:rFonts w:ascii="Times New Roman" w:hAnsi="Times New Roman" w:eastAsia="宋体"/>
                <w:spacing w:val="7"/>
                <w:sz w:val="24"/>
                <w:szCs w:val="24"/>
              </w:rPr>
              <w:t>m</w:t>
            </w:r>
            <w:r>
              <w:rPr>
                <w:rFonts w:ascii="Times New Roman" w:hAnsi="Times New Roman" w:eastAsia="宋体"/>
                <w:spacing w:val="7"/>
                <w:sz w:val="24"/>
                <w:szCs w:val="24"/>
                <w:vertAlign w:val="superscript"/>
              </w:rPr>
              <w:t>2</w:t>
            </w:r>
            <w:r>
              <w:rPr>
                <w:rFonts w:ascii="Times New Roman" w:hAnsi="Times New Roman" w:eastAsia="宋体"/>
                <w:spacing w:val="7"/>
                <w:sz w:val="24"/>
                <w:szCs w:val="24"/>
              </w:rPr>
              <w:t>；</w:t>
            </w:r>
          </w:p>
          <w:p w14:paraId="62B9AE95">
            <w:pPr>
              <w:pageBreakBefore w:val="0"/>
              <w:kinsoku/>
              <w:wordWrap/>
              <w:overflowPunct/>
              <w:topLinePunct w:val="0"/>
              <w:bidi w:val="0"/>
              <w:spacing w:beforeAutospacing="0" w:afterAutospacing="0" w:line="360" w:lineRule="auto"/>
              <w:ind w:firstLine="1270" w:firstLineChars="500"/>
              <w:contextualSpacing/>
              <w:rPr>
                <w:rFonts w:hint="eastAsia" w:ascii="Times New Roman" w:hAnsi="Times New Roman" w:eastAsia="宋体" w:cs="Times New Roman"/>
                <w:b w:val="0"/>
                <w:bCs w:val="0"/>
                <w:color w:val="auto"/>
                <w:kern w:val="0"/>
                <w:sz w:val="24"/>
                <w:szCs w:val="24"/>
                <w:lang w:val="en-US" w:eastAsia="zh-CN" w:bidi="ar-SA"/>
              </w:rPr>
            </w:pPr>
            <w:r>
              <w:rPr>
                <w:rFonts w:ascii="Times New Roman" w:hAnsi="Times New Roman" w:eastAsia="宋体"/>
                <w:spacing w:val="7"/>
                <w:sz w:val="24"/>
                <w:szCs w:val="24"/>
              </w:rPr>
              <w:t>W—为含水量，取8%；</w:t>
            </w:r>
          </w:p>
          <w:p w14:paraId="25EA7B7F">
            <w:pPr>
              <w:spacing w:line="360" w:lineRule="auto"/>
              <w:ind w:firstLine="480"/>
              <w:rPr>
                <w:rFonts w:hint="eastAsia" w:hAnsi="宋体"/>
                <w:color w:val="000000"/>
                <w:sz w:val="24"/>
                <w:szCs w:val="24"/>
                <w:lang w:val="en-US" w:eastAsia="zh-CN"/>
              </w:rPr>
            </w:pPr>
            <w:r>
              <w:rPr>
                <w:rFonts w:hint="eastAsia" w:ascii="Times New Roman" w:hAnsi="Times New Roman" w:eastAsia="宋体" w:cs="Times New Roman"/>
                <w:b w:val="0"/>
                <w:bCs w:val="0"/>
                <w:color w:val="auto"/>
                <w:kern w:val="0"/>
                <w:sz w:val="24"/>
                <w:szCs w:val="24"/>
                <w:lang w:val="en-US" w:eastAsia="zh-CN" w:bidi="ar-SA"/>
              </w:rPr>
              <w:t>项目成品堆场面积为21066m</w:t>
            </w:r>
            <w:r>
              <w:rPr>
                <w:rFonts w:hint="eastAsia" w:ascii="Times New Roman" w:hAnsi="Times New Roman" w:eastAsia="宋体" w:cs="Times New Roman"/>
                <w:b w:val="0"/>
                <w:bCs w:val="0"/>
                <w:color w:val="auto"/>
                <w:kern w:val="0"/>
                <w:sz w:val="24"/>
                <w:szCs w:val="24"/>
                <w:vertAlign w:val="superscript"/>
                <w:lang w:val="en-US" w:eastAsia="zh-CN" w:bidi="ar-SA"/>
              </w:rPr>
              <w:t>2</w:t>
            </w:r>
            <w:r>
              <w:rPr>
                <w:rFonts w:hint="eastAsia" w:ascii="Times New Roman" w:hAnsi="Times New Roman" w:eastAsia="宋体" w:cs="Times New Roman"/>
                <w:b w:val="0"/>
                <w:bCs w:val="0"/>
                <w:color w:val="auto"/>
                <w:kern w:val="0"/>
                <w:sz w:val="24"/>
                <w:szCs w:val="24"/>
                <w:lang w:val="en-US" w:eastAsia="zh-CN" w:bidi="ar-SA"/>
              </w:rPr>
              <w:t>，产品堆存时含水率为8%。经计算，在不采取任何控尘措施的情况下，</w:t>
            </w:r>
            <w:r>
              <w:rPr>
                <w:rFonts w:ascii="Times New Roman" w:hAnsi="Times New Roman" w:eastAsia="宋体"/>
                <w:color w:val="auto"/>
                <w:spacing w:val="7"/>
                <w:sz w:val="24"/>
                <w:szCs w:val="24"/>
              </w:rPr>
              <w:t>计算得该项目成品堆场的起尘量</w:t>
            </w:r>
            <w:r>
              <w:rPr>
                <w:rFonts w:hint="eastAsia" w:ascii="Times New Roman" w:hAnsi="Times New Roman" w:eastAsia="宋体" w:cs="Times New Roman"/>
                <w:b w:val="0"/>
                <w:bCs w:val="0"/>
                <w:color w:val="auto"/>
                <w:kern w:val="0"/>
                <w:sz w:val="24"/>
                <w:szCs w:val="24"/>
                <w:lang w:val="en-US" w:eastAsia="zh-CN" w:bidi="ar-SA"/>
              </w:rPr>
              <w:t>为975.99</w:t>
            </w:r>
            <w:r>
              <w:rPr>
                <w:rFonts w:ascii="Times New Roman" w:hAnsi="Times New Roman" w:eastAsia="宋体"/>
                <w:spacing w:val="7"/>
                <w:sz w:val="24"/>
                <w:szCs w:val="24"/>
              </w:rPr>
              <w:t>mg/s</w:t>
            </w:r>
            <w:r>
              <w:rPr>
                <w:rFonts w:hint="eastAsia" w:ascii="Times New Roman" w:hAnsi="Times New Roman" w:eastAsia="宋体" w:cs="Times New Roman"/>
                <w:b w:val="0"/>
                <w:bCs w:val="0"/>
                <w:color w:val="auto"/>
                <w:kern w:val="0"/>
                <w:sz w:val="24"/>
                <w:szCs w:val="24"/>
                <w:lang w:val="en-US" w:eastAsia="zh-CN" w:bidi="ar-SA"/>
              </w:rPr>
              <w:t>，21.08t/a。成品堆场进行</w:t>
            </w:r>
            <w:r>
              <w:rPr>
                <w:rFonts w:hint="eastAsia" w:cs="Times New Roman"/>
                <w:b w:val="0"/>
                <w:bCs w:val="0"/>
                <w:color w:val="auto"/>
                <w:kern w:val="0"/>
                <w:sz w:val="24"/>
                <w:szCs w:val="24"/>
                <w:lang w:val="en-US" w:eastAsia="zh-CN" w:bidi="ar-SA"/>
              </w:rPr>
              <w:t>喷淋</w:t>
            </w:r>
            <w:r>
              <w:rPr>
                <w:rFonts w:hint="eastAsia" w:ascii="Times New Roman" w:hAnsi="Times New Roman" w:eastAsia="宋体" w:cs="Times New Roman"/>
                <w:b w:val="0"/>
                <w:bCs w:val="0"/>
                <w:color w:val="auto"/>
                <w:kern w:val="0"/>
                <w:sz w:val="24"/>
                <w:szCs w:val="24"/>
                <w:lang w:val="en-US" w:eastAsia="zh-CN" w:bidi="ar-SA"/>
              </w:rPr>
              <w:t>降尘，</w:t>
            </w:r>
            <w:r>
              <w:rPr>
                <w:rFonts w:hint="default" w:ascii="Times New Roman" w:hAnsi="宋体" w:eastAsia="宋体" w:cs="Times New Roman"/>
                <w:color w:val="000000"/>
                <w:sz w:val="24"/>
                <w:szCs w:val="24"/>
                <w:lang w:val="en-US" w:eastAsia="zh-CN"/>
              </w:rPr>
              <w:t>通过类比同类项目，采取上述措施后，</w:t>
            </w:r>
            <w:r>
              <w:rPr>
                <w:rFonts w:hint="eastAsia" w:ascii="Times New Roman" w:hAnsi="宋体" w:eastAsia="宋体" w:cs="Times New Roman"/>
                <w:color w:val="000000"/>
                <w:sz w:val="24"/>
                <w:szCs w:val="24"/>
                <w:lang w:val="en-US" w:eastAsia="zh-CN"/>
              </w:rPr>
              <w:t>成品堆场</w:t>
            </w:r>
            <w:r>
              <w:rPr>
                <w:rFonts w:hint="default" w:ascii="Times New Roman" w:hAnsi="宋体" w:eastAsia="宋体" w:cs="Times New Roman"/>
                <w:color w:val="000000"/>
                <w:sz w:val="24"/>
                <w:szCs w:val="24"/>
                <w:lang w:val="en-US" w:eastAsia="zh-CN"/>
              </w:rPr>
              <w:t>粉尘产生量可减少</w:t>
            </w:r>
            <w:r>
              <w:rPr>
                <w:rFonts w:hint="eastAsia" w:ascii="Times New Roman" w:hAnsi="宋体" w:eastAsia="宋体" w:cs="Times New Roman"/>
                <w:color w:val="000000"/>
                <w:sz w:val="24"/>
                <w:szCs w:val="24"/>
                <w:lang w:val="en-US" w:eastAsia="zh-CN"/>
              </w:rPr>
              <w:t>8</w:t>
            </w:r>
            <w:r>
              <w:rPr>
                <w:rFonts w:hint="default" w:ascii="Times New Roman" w:hAnsi="宋体" w:eastAsia="宋体" w:cs="Times New Roman"/>
                <w:color w:val="000000"/>
                <w:sz w:val="24"/>
                <w:szCs w:val="24"/>
                <w:lang w:val="en-US" w:eastAsia="zh-CN"/>
              </w:rPr>
              <w:t>0%左右，则成品堆场粉尘排放量约为</w:t>
            </w:r>
            <w:r>
              <w:rPr>
                <w:rFonts w:hint="eastAsia" w:ascii="Times New Roman" w:hAnsi="宋体" w:eastAsia="宋体" w:cs="Times New Roman"/>
                <w:color w:val="000000"/>
                <w:sz w:val="24"/>
                <w:szCs w:val="24"/>
                <w:lang w:val="en-US" w:eastAsia="zh-CN"/>
              </w:rPr>
              <w:t>4.22</w:t>
            </w:r>
            <w:r>
              <w:rPr>
                <w:rFonts w:hint="default" w:ascii="Times New Roman" w:hAnsi="宋体" w:eastAsia="宋体" w:cs="Times New Roman"/>
                <w:color w:val="000000"/>
                <w:sz w:val="24"/>
                <w:szCs w:val="24"/>
                <w:lang w:val="en-US" w:eastAsia="zh-CN"/>
              </w:rPr>
              <w:t>t/a，以无组织形式排放。</w:t>
            </w:r>
          </w:p>
          <w:p w14:paraId="1187F3C1">
            <w:pPr>
              <w:spacing w:line="360" w:lineRule="auto"/>
              <w:ind w:firstLine="480"/>
              <w:rPr>
                <w:rFonts w:hint="eastAsia" w:hAnsi="宋体"/>
                <w:color w:val="000000"/>
                <w:sz w:val="24"/>
                <w:szCs w:val="24"/>
              </w:rPr>
            </w:pPr>
            <w:r>
              <w:rPr>
                <w:rFonts w:hint="eastAsia" w:hAnsi="宋体"/>
                <w:b/>
                <w:bCs/>
                <w:color w:val="000000"/>
                <w:sz w:val="24"/>
                <w:szCs w:val="24"/>
                <w:lang w:val="en-US" w:eastAsia="zh-CN"/>
              </w:rPr>
              <w:t>（9）装卸粉尘</w:t>
            </w:r>
          </w:p>
          <w:p w14:paraId="01ED64D1">
            <w:pPr>
              <w:spacing w:line="360" w:lineRule="auto"/>
              <w:ind w:firstLine="480"/>
              <w:rPr>
                <w:sz w:val="24"/>
              </w:rPr>
            </w:pPr>
            <w:r>
              <w:rPr>
                <w:rFonts w:hint="eastAsia"/>
                <w:sz w:val="24"/>
              </w:rPr>
              <w:t>自卸汽车在</w:t>
            </w:r>
            <w:r>
              <w:rPr>
                <w:rFonts w:hint="eastAsia"/>
                <w:sz w:val="24"/>
                <w:lang w:val="en-US" w:eastAsia="zh-CN"/>
              </w:rPr>
              <w:t>装料和</w:t>
            </w:r>
            <w:r>
              <w:rPr>
                <w:rFonts w:hint="eastAsia"/>
                <w:sz w:val="24"/>
              </w:rPr>
              <w:t>卸料时也会产生一定量的粉尘，本次环评采用</w:t>
            </w:r>
            <w:r>
              <w:rPr>
                <w:sz w:val="24"/>
              </w:rPr>
              <w:t>《无组织排放源常用分析与估算方法》（西北铀矿地质，2005年10月）</w:t>
            </w:r>
            <w:r>
              <w:rPr>
                <w:rFonts w:hint="eastAsia"/>
                <w:sz w:val="24"/>
              </w:rPr>
              <w:t>推荐的山西环保科研所、武汉水运工程学院提出的经验公式计算装卸车过程中的粉尘产生量，具体公式为：</w:t>
            </w:r>
          </w:p>
          <w:p w14:paraId="231BFFD0">
            <w:pPr>
              <w:spacing w:line="360" w:lineRule="auto"/>
              <w:ind w:firstLine="480"/>
              <w:jc w:val="center"/>
              <w:rPr>
                <w:sz w:val="24"/>
              </w:rPr>
            </w:pPr>
            <w:r>
              <w:rPr>
                <w:position w:val="-24"/>
                <w:sz w:val="24"/>
              </w:rPr>
              <w:object>
                <v:shape id="_x0000_i1026" o:spt="75" type="#_x0000_t75" style="height:31.25pt;width:71.3pt;" o:ole="t" filled="f" o:preferrelative="t" stroked="f" coordsize="21600,21600">
                  <v:path/>
                  <v:fill on="f" focussize="0,0"/>
                  <v:stroke on="f"/>
                  <v:imagedata r:id="rId14" o:title=""/>
                  <o:lock v:ext="edit" aspectratio="t"/>
                  <w10:wrap type="none"/>
                  <w10:anchorlock/>
                </v:shape>
                <o:OLEObject Type="Embed" ProgID="Equations" ShapeID="_x0000_i1026" DrawAspect="Content" ObjectID="_1468075726" r:id="rId13">
                  <o:LockedField>false</o:LockedField>
                </o:OLEObject>
              </w:object>
            </w:r>
          </w:p>
          <w:p w14:paraId="4A541742">
            <w:pPr>
              <w:spacing w:line="360" w:lineRule="auto"/>
              <w:rPr>
                <w:rFonts w:hint="eastAsia"/>
                <w:sz w:val="24"/>
              </w:rPr>
            </w:pPr>
            <w:r>
              <w:rPr>
                <w:sz w:val="24"/>
              </w:rPr>
              <w:t>式中：</w:t>
            </w:r>
          </w:p>
          <w:p w14:paraId="07566468">
            <w:pPr>
              <w:spacing w:line="360" w:lineRule="auto"/>
              <w:ind w:firstLine="480"/>
              <w:rPr>
                <w:sz w:val="24"/>
              </w:rPr>
            </w:pPr>
            <w:r>
              <w:rPr>
                <w:sz w:val="24"/>
              </w:rPr>
              <w:t>Q</w:t>
            </w:r>
            <w:r>
              <w:rPr>
                <w:rFonts w:hint="eastAsia"/>
                <w:sz w:val="24"/>
              </w:rPr>
              <w:t>—自卸</w:t>
            </w:r>
            <w:r>
              <w:rPr>
                <w:sz w:val="24"/>
              </w:rPr>
              <w:t>汽车</w:t>
            </w:r>
            <w:r>
              <w:rPr>
                <w:rFonts w:hint="eastAsia"/>
                <w:sz w:val="24"/>
              </w:rPr>
              <w:t>装卸</w:t>
            </w:r>
            <w:r>
              <w:rPr>
                <w:sz w:val="24"/>
              </w:rPr>
              <w:t>料起尘量</w:t>
            </w:r>
            <w:r>
              <w:rPr>
                <w:rFonts w:hint="eastAsia"/>
                <w:sz w:val="24"/>
              </w:rPr>
              <w:t>（</w:t>
            </w:r>
            <w:r>
              <w:rPr>
                <w:sz w:val="24"/>
              </w:rPr>
              <w:t>g/</w:t>
            </w:r>
            <w:r>
              <w:rPr>
                <w:rFonts w:hint="eastAsia"/>
                <w:sz w:val="24"/>
              </w:rPr>
              <w:t>次）</w:t>
            </w:r>
            <w:r>
              <w:rPr>
                <w:sz w:val="24"/>
              </w:rPr>
              <w:t>；</w:t>
            </w:r>
          </w:p>
          <w:p w14:paraId="4835EE31">
            <w:pPr>
              <w:spacing w:line="360" w:lineRule="auto"/>
              <w:ind w:firstLine="480"/>
              <w:rPr>
                <w:sz w:val="24"/>
              </w:rPr>
            </w:pPr>
            <w:r>
              <w:rPr>
                <w:sz w:val="24"/>
              </w:rPr>
              <w:t>u</w:t>
            </w:r>
            <w:r>
              <w:rPr>
                <w:rFonts w:hint="eastAsia"/>
                <w:sz w:val="24"/>
              </w:rPr>
              <w:t>—平均</w:t>
            </w:r>
            <w:r>
              <w:rPr>
                <w:sz w:val="24"/>
              </w:rPr>
              <w:t>风速</w:t>
            </w:r>
            <w:r>
              <w:rPr>
                <w:rFonts w:hint="eastAsia"/>
                <w:sz w:val="24"/>
              </w:rPr>
              <w:t>（m/s）</w:t>
            </w:r>
            <w:r>
              <w:rPr>
                <w:sz w:val="24"/>
              </w:rPr>
              <w:t>，取</w:t>
            </w:r>
            <w:r>
              <w:rPr>
                <w:rFonts w:hint="eastAsia"/>
                <w:sz w:val="24"/>
              </w:rPr>
              <w:t>3.5</w:t>
            </w:r>
            <w:r>
              <w:rPr>
                <w:sz w:val="24"/>
              </w:rPr>
              <w:t>m/s；</w:t>
            </w:r>
          </w:p>
          <w:p w14:paraId="5E4C4778">
            <w:pPr>
              <w:spacing w:line="360" w:lineRule="auto"/>
              <w:ind w:firstLine="480"/>
              <w:rPr>
                <w:sz w:val="24"/>
              </w:rPr>
            </w:pPr>
            <w:r>
              <w:rPr>
                <w:sz w:val="24"/>
              </w:rPr>
              <w:t>M</w:t>
            </w:r>
            <w:r>
              <w:rPr>
                <w:rFonts w:hint="eastAsia"/>
                <w:sz w:val="24"/>
              </w:rPr>
              <w:t>—汽车卸料</w:t>
            </w:r>
            <w:r>
              <w:rPr>
                <w:sz w:val="24"/>
              </w:rPr>
              <w:t>量</w:t>
            </w:r>
            <w:r>
              <w:rPr>
                <w:rFonts w:hint="eastAsia"/>
                <w:sz w:val="24"/>
              </w:rPr>
              <w:t>（t）。</w:t>
            </w:r>
          </w:p>
          <w:p w14:paraId="0CA65CDA">
            <w:pPr>
              <w:spacing w:line="360" w:lineRule="auto"/>
              <w:ind w:firstLine="480" w:firstLineChars="200"/>
              <w:rPr>
                <w:rFonts w:hint="eastAsia" w:ascii="Times New Roman" w:hAnsi="宋体" w:cs="Times New Roman"/>
                <w:color w:val="000000"/>
                <w:sz w:val="24"/>
                <w:szCs w:val="24"/>
              </w:rPr>
            </w:pPr>
            <w:r>
              <w:rPr>
                <w:rFonts w:hint="eastAsia"/>
                <w:sz w:val="24"/>
              </w:rPr>
              <w:t>通过计算，本项目汽车</w:t>
            </w:r>
            <w:r>
              <w:rPr>
                <w:rFonts w:hint="eastAsia"/>
                <w:sz w:val="24"/>
                <w:lang w:val="en-US" w:eastAsia="zh-CN"/>
              </w:rPr>
              <w:t>装</w:t>
            </w:r>
            <w:r>
              <w:rPr>
                <w:rFonts w:hint="eastAsia"/>
                <w:sz w:val="24"/>
              </w:rPr>
              <w:t>卸料过程中粉尘产生量约为</w:t>
            </w:r>
            <w:r>
              <w:rPr>
                <w:rFonts w:hint="eastAsia"/>
                <w:sz w:val="24"/>
                <w:lang w:val="en-US" w:eastAsia="zh-CN"/>
              </w:rPr>
              <w:t>8.46</w:t>
            </w:r>
            <w:r>
              <w:rPr>
                <w:rFonts w:hint="eastAsia"/>
                <w:sz w:val="24"/>
              </w:rPr>
              <w:t>g/次。本项目年开采规模为</w:t>
            </w:r>
            <w:r>
              <w:rPr>
                <w:rFonts w:hint="eastAsia"/>
                <w:sz w:val="24"/>
                <w:lang w:val="en-US" w:eastAsia="zh-CN"/>
              </w:rPr>
              <w:t>100万</w:t>
            </w:r>
            <w:r>
              <w:rPr>
                <w:rFonts w:hint="eastAsia"/>
                <w:sz w:val="24"/>
              </w:rPr>
              <w:t>m</w:t>
            </w:r>
            <w:r>
              <w:rPr>
                <w:rFonts w:hint="eastAsia"/>
                <w:sz w:val="24"/>
                <w:vertAlign w:val="superscript"/>
              </w:rPr>
              <w:t>3</w:t>
            </w:r>
            <w:r>
              <w:rPr>
                <w:rFonts w:hint="eastAsia"/>
                <w:sz w:val="24"/>
              </w:rPr>
              <w:t>，矿石密度约为1.6t/m</w:t>
            </w:r>
            <w:r>
              <w:rPr>
                <w:rFonts w:hint="eastAsia"/>
                <w:sz w:val="24"/>
                <w:vertAlign w:val="superscript"/>
              </w:rPr>
              <w:t>3</w:t>
            </w:r>
            <w:r>
              <w:rPr>
                <w:rFonts w:hint="eastAsia"/>
                <w:sz w:val="24"/>
              </w:rPr>
              <w:t>，则年开采矿石量为</w:t>
            </w:r>
            <w:r>
              <w:rPr>
                <w:rFonts w:hint="eastAsia"/>
                <w:sz w:val="24"/>
                <w:lang w:val="en-US" w:eastAsia="zh-CN"/>
              </w:rPr>
              <w:t>1600000</w:t>
            </w:r>
            <w:r>
              <w:rPr>
                <w:rFonts w:hint="eastAsia"/>
                <w:sz w:val="24"/>
              </w:rPr>
              <w:t>t，每辆汽车的载重量为</w:t>
            </w:r>
            <w:r>
              <w:rPr>
                <w:rFonts w:hint="eastAsia"/>
                <w:sz w:val="24"/>
                <w:lang w:val="en-US" w:eastAsia="zh-CN"/>
              </w:rPr>
              <w:t>5</w:t>
            </w:r>
            <w:r>
              <w:rPr>
                <w:rFonts w:hint="eastAsia"/>
                <w:sz w:val="24"/>
              </w:rPr>
              <w:t>0t，则年运输次数为</w:t>
            </w:r>
            <w:r>
              <w:rPr>
                <w:rFonts w:hint="eastAsia"/>
                <w:sz w:val="24"/>
                <w:lang w:val="en-US" w:eastAsia="zh-CN"/>
              </w:rPr>
              <w:t>32000</w:t>
            </w:r>
            <w:r>
              <w:rPr>
                <w:rFonts w:hint="eastAsia"/>
                <w:sz w:val="24"/>
              </w:rPr>
              <w:t>次</w:t>
            </w:r>
            <w:r>
              <w:rPr>
                <w:rFonts w:hint="eastAsia"/>
                <w:sz w:val="24"/>
                <w:lang w:eastAsia="zh-CN"/>
              </w:rPr>
              <w:t>，</w:t>
            </w:r>
            <w:r>
              <w:rPr>
                <w:rFonts w:hint="eastAsia"/>
                <w:sz w:val="24"/>
              </w:rPr>
              <w:t>则装卸次数为</w:t>
            </w:r>
            <w:r>
              <w:rPr>
                <w:rFonts w:hint="eastAsia"/>
                <w:sz w:val="24"/>
                <w:lang w:val="en-US" w:eastAsia="zh-CN"/>
              </w:rPr>
              <w:t>32000</w:t>
            </w:r>
            <w:r>
              <w:rPr>
                <w:rFonts w:hint="eastAsia"/>
                <w:sz w:val="24"/>
              </w:rPr>
              <w:t>次，因此本项目汽车卸料时粉尘产生量为0.</w:t>
            </w:r>
            <w:r>
              <w:rPr>
                <w:rFonts w:hint="eastAsia"/>
                <w:sz w:val="24"/>
                <w:lang w:val="en-US" w:eastAsia="zh-CN"/>
              </w:rPr>
              <w:t>27</w:t>
            </w:r>
            <w:r>
              <w:rPr>
                <w:rFonts w:hint="eastAsia"/>
                <w:sz w:val="24"/>
              </w:rPr>
              <w:t>t/a</w:t>
            </w:r>
            <w:r>
              <w:rPr>
                <w:rFonts w:hint="eastAsia"/>
                <w:sz w:val="24"/>
                <w:lang w:eastAsia="zh-CN"/>
              </w:rPr>
              <w:t>，</w:t>
            </w:r>
            <w:r>
              <w:rPr>
                <w:rFonts w:hint="eastAsia"/>
                <w:sz w:val="24"/>
                <w:lang w:val="en-US" w:eastAsia="zh-CN"/>
              </w:rPr>
              <w:t>以无组织形式排放</w:t>
            </w:r>
            <w:r>
              <w:rPr>
                <w:rFonts w:hint="eastAsia"/>
                <w:sz w:val="24"/>
              </w:rPr>
              <w:t>。</w:t>
            </w:r>
          </w:p>
          <w:p w14:paraId="0B23ACC9">
            <w:pPr>
              <w:spacing w:line="360" w:lineRule="auto"/>
              <w:ind w:firstLine="480"/>
              <w:rPr>
                <w:rFonts w:hint="eastAsia" w:hAnsi="宋体"/>
                <w:color w:val="000000"/>
                <w:sz w:val="24"/>
                <w:szCs w:val="24"/>
                <w:lang w:val="en-US" w:eastAsia="zh-CN"/>
              </w:rPr>
            </w:pPr>
            <w:r>
              <w:rPr>
                <w:rFonts w:hint="eastAsia" w:hAnsi="宋体"/>
                <w:b/>
                <w:bCs/>
                <w:color w:val="000000"/>
                <w:sz w:val="24"/>
                <w:szCs w:val="24"/>
                <w:lang w:val="en-US" w:eastAsia="zh-CN"/>
              </w:rPr>
              <w:t>（10）道路运输扬尘</w:t>
            </w:r>
          </w:p>
          <w:p w14:paraId="097E70EE">
            <w:pPr>
              <w:spacing w:line="360" w:lineRule="auto"/>
              <w:ind w:firstLine="480"/>
              <w:rPr>
                <w:color w:val="000000"/>
                <w:sz w:val="24"/>
              </w:rPr>
            </w:pPr>
            <w:r>
              <w:rPr>
                <w:rFonts w:hAnsi="宋体"/>
                <w:color w:val="000000"/>
                <w:sz w:val="24"/>
                <w:szCs w:val="24"/>
              </w:rPr>
              <w:t>自卸汽车运输粉尘的产尘强度与路面种类、气候干湿以及汽车行驶速度等因素有关，与运输汽车</w:t>
            </w:r>
            <w:r>
              <w:rPr>
                <w:rFonts w:hint="eastAsia" w:hAnsi="宋体"/>
                <w:color w:val="000000"/>
                <w:sz w:val="24"/>
                <w:szCs w:val="24"/>
              </w:rPr>
              <w:t>苫布覆</w:t>
            </w:r>
            <w:r>
              <w:rPr>
                <w:rFonts w:hAnsi="宋体"/>
                <w:color w:val="000000"/>
                <w:sz w:val="24"/>
                <w:szCs w:val="24"/>
              </w:rPr>
              <w:t>盖与否、道路表面含尘量大小有关，各矿山地理位置、气候条件不同，产尘量的差异也较大。本项目砂石料通过车辆运输</w:t>
            </w:r>
            <w:r>
              <w:rPr>
                <w:rFonts w:hint="eastAsia" w:hAnsi="宋体"/>
                <w:color w:val="000000"/>
                <w:sz w:val="24"/>
                <w:szCs w:val="24"/>
              </w:rPr>
              <w:t>至</w:t>
            </w:r>
            <w:r>
              <w:rPr>
                <w:rFonts w:hint="eastAsia" w:hAnsi="宋体"/>
                <w:color w:val="000000"/>
                <w:sz w:val="24"/>
                <w:szCs w:val="24"/>
                <w:lang w:val="en-US" w:eastAsia="zh-CN"/>
              </w:rPr>
              <w:t>服务道路</w:t>
            </w:r>
            <w:r>
              <w:rPr>
                <w:rFonts w:hint="eastAsia"/>
                <w:color w:val="000000"/>
                <w:sz w:val="24"/>
              </w:rPr>
              <w:t>过程中会产生一定量的运输扬尘，本项目道路运输扬尘采用上海港环境保护中心和武汉水运工程学院提出的经验公式进行估算。具体公式为：</w:t>
            </w:r>
          </w:p>
          <w:p w14:paraId="3C7AAFA6">
            <w:pPr>
              <w:spacing w:line="360" w:lineRule="auto"/>
              <w:jc w:val="center"/>
              <w:rPr>
                <w:color w:val="000000"/>
                <w:sz w:val="24"/>
              </w:rPr>
            </w:pPr>
            <w:r>
              <w:rPr>
                <w:color w:val="000000"/>
                <w:position w:val="-28"/>
                <w:sz w:val="24"/>
              </w:rPr>
              <w:object>
                <v:shape id="_x0000_i1027" o:spt="75" type="#_x0000_t75" style="height:36.7pt;width:219.45pt;" o:ole="t" filled="f" o:preferrelative="t" stroked="f" coordsize="21600,21600">
                  <v:path/>
                  <v:fill on="f" focussize="0,0"/>
                  <v:stroke on="f"/>
                  <v:imagedata r:id="rId16" o:title=""/>
                  <o:lock v:ext="edit" aspectratio="t"/>
                  <w10:wrap type="none"/>
                  <w10:anchorlock/>
                </v:shape>
                <o:OLEObject Type="Embed" ProgID="Equations" ShapeID="_x0000_i1027" DrawAspect="Content" ObjectID="_1468075727" r:id="rId15">
                  <o:LockedField>false</o:LockedField>
                </o:OLEObject>
              </w:object>
            </w:r>
          </w:p>
          <w:p w14:paraId="7E131534">
            <w:pPr>
              <w:spacing w:line="360" w:lineRule="auto"/>
              <w:rPr>
                <w:rFonts w:hint="eastAsia"/>
                <w:color w:val="000000"/>
                <w:sz w:val="24"/>
              </w:rPr>
            </w:pPr>
            <w:r>
              <w:rPr>
                <w:rFonts w:hint="eastAsia"/>
                <w:color w:val="000000"/>
                <w:sz w:val="24"/>
              </w:rPr>
              <w:t>式中：</w:t>
            </w:r>
          </w:p>
          <w:p w14:paraId="60353A40">
            <w:pPr>
              <w:spacing w:line="360" w:lineRule="auto"/>
              <w:ind w:firstLine="480"/>
              <w:rPr>
                <w:color w:val="000000"/>
                <w:sz w:val="24"/>
              </w:rPr>
            </w:pPr>
            <w:r>
              <w:rPr>
                <w:rFonts w:hint="eastAsia"/>
                <w:color w:val="000000"/>
                <w:sz w:val="24"/>
              </w:rPr>
              <w:t>Q——汽车行驶的起尘量（kg/辆）；</w:t>
            </w:r>
          </w:p>
          <w:p w14:paraId="062E8E3C">
            <w:pPr>
              <w:spacing w:line="360" w:lineRule="auto"/>
              <w:ind w:firstLine="480" w:firstLineChars="200"/>
              <w:rPr>
                <w:color w:val="000000"/>
                <w:sz w:val="24"/>
              </w:rPr>
            </w:pPr>
            <w:r>
              <w:rPr>
                <w:rFonts w:hint="eastAsia"/>
                <w:color w:val="000000"/>
                <w:sz w:val="24"/>
              </w:rPr>
              <w:t>V——汽车行驶速度（km/h），本项目取10km/h；</w:t>
            </w:r>
          </w:p>
          <w:p w14:paraId="0145DE7B">
            <w:pPr>
              <w:spacing w:line="360" w:lineRule="auto"/>
              <w:ind w:firstLine="480" w:firstLineChars="200"/>
              <w:rPr>
                <w:color w:val="000000"/>
                <w:sz w:val="24"/>
              </w:rPr>
            </w:pPr>
            <w:r>
              <w:rPr>
                <w:rFonts w:hint="eastAsia"/>
                <w:color w:val="000000"/>
                <w:sz w:val="24"/>
              </w:rPr>
              <w:t>M——汽车载重量（t），本项目取</w:t>
            </w:r>
            <w:r>
              <w:rPr>
                <w:rFonts w:hint="eastAsia"/>
                <w:color w:val="000000"/>
                <w:sz w:val="24"/>
                <w:lang w:val="en-US" w:eastAsia="zh-CN"/>
              </w:rPr>
              <w:t>5</w:t>
            </w:r>
            <w:r>
              <w:rPr>
                <w:rFonts w:hint="eastAsia"/>
                <w:color w:val="000000"/>
                <w:sz w:val="24"/>
              </w:rPr>
              <w:t>0t；</w:t>
            </w:r>
          </w:p>
          <w:p w14:paraId="00EBD929">
            <w:pPr>
              <w:spacing w:line="360" w:lineRule="auto"/>
              <w:ind w:firstLine="480" w:firstLineChars="200"/>
              <w:rPr>
                <w:color w:val="000000"/>
                <w:sz w:val="24"/>
              </w:rPr>
            </w:pPr>
            <w:r>
              <w:rPr>
                <w:rFonts w:hint="eastAsia"/>
                <w:color w:val="000000"/>
                <w:sz w:val="24"/>
              </w:rPr>
              <w:t>P——道路表面物料量（kg/m</w:t>
            </w:r>
            <w:r>
              <w:rPr>
                <w:rFonts w:hint="eastAsia"/>
                <w:color w:val="000000"/>
                <w:sz w:val="24"/>
                <w:vertAlign w:val="superscript"/>
              </w:rPr>
              <w:t>2</w:t>
            </w:r>
            <w:r>
              <w:rPr>
                <w:rFonts w:hint="eastAsia"/>
                <w:color w:val="000000"/>
                <w:sz w:val="24"/>
              </w:rPr>
              <w:t>），本项目取0.</w:t>
            </w:r>
            <w:r>
              <w:rPr>
                <w:rFonts w:hint="eastAsia"/>
                <w:color w:val="000000"/>
                <w:sz w:val="24"/>
                <w:lang w:val="en-US" w:eastAsia="zh-CN"/>
              </w:rPr>
              <w:t>1</w:t>
            </w:r>
            <w:r>
              <w:rPr>
                <w:rFonts w:hint="eastAsia"/>
                <w:color w:val="000000"/>
                <w:sz w:val="24"/>
              </w:rPr>
              <w:t>kg/m</w:t>
            </w:r>
            <w:r>
              <w:rPr>
                <w:rFonts w:hint="eastAsia"/>
                <w:color w:val="000000"/>
                <w:sz w:val="24"/>
                <w:vertAlign w:val="superscript"/>
              </w:rPr>
              <w:t>2</w:t>
            </w:r>
            <w:r>
              <w:rPr>
                <w:rFonts w:hint="eastAsia"/>
                <w:color w:val="000000"/>
                <w:sz w:val="24"/>
              </w:rPr>
              <w:t>；</w:t>
            </w:r>
          </w:p>
          <w:p w14:paraId="0F5AF4C0">
            <w:pPr>
              <w:spacing w:line="360" w:lineRule="auto"/>
              <w:ind w:firstLine="480" w:firstLineChars="200"/>
              <w:rPr>
                <w:color w:val="000000"/>
                <w:sz w:val="24"/>
              </w:rPr>
            </w:pPr>
            <w:r>
              <w:rPr>
                <w:rFonts w:hint="eastAsia"/>
                <w:color w:val="000000"/>
                <w:sz w:val="24"/>
              </w:rPr>
              <w:t>L——道路长度（km），本项目取</w:t>
            </w:r>
            <w:r>
              <w:rPr>
                <w:rFonts w:hint="eastAsia"/>
                <w:color w:val="000000"/>
                <w:sz w:val="24"/>
                <w:lang w:val="en-US" w:eastAsia="zh-CN"/>
              </w:rPr>
              <w:t>1</w:t>
            </w:r>
            <w:r>
              <w:rPr>
                <w:rFonts w:hint="eastAsia"/>
                <w:color w:val="000000"/>
                <w:sz w:val="24"/>
              </w:rPr>
              <w:t>km，包括开采区场</w:t>
            </w:r>
            <w:r>
              <w:rPr>
                <w:rFonts w:hint="eastAsia"/>
                <w:color w:val="000000"/>
                <w:sz w:val="24"/>
                <w:lang w:eastAsia="zh-CN"/>
              </w:rPr>
              <w:t>转运</w:t>
            </w:r>
            <w:r>
              <w:rPr>
                <w:rFonts w:hint="eastAsia"/>
                <w:color w:val="000000"/>
                <w:sz w:val="24"/>
                <w:lang w:val="en-US" w:eastAsia="zh-CN"/>
              </w:rPr>
              <w:t>道路</w:t>
            </w:r>
            <w:r>
              <w:rPr>
                <w:rFonts w:hint="eastAsia"/>
                <w:color w:val="000000"/>
                <w:sz w:val="24"/>
              </w:rPr>
              <w:t>的距离。</w:t>
            </w:r>
          </w:p>
          <w:p w14:paraId="189FE73B">
            <w:pPr>
              <w:spacing w:line="360" w:lineRule="auto"/>
              <w:ind w:firstLine="480"/>
              <w:rPr>
                <w:color w:val="000000"/>
                <w:sz w:val="24"/>
              </w:rPr>
            </w:pPr>
            <w:r>
              <w:rPr>
                <w:rFonts w:hint="eastAsia"/>
                <w:color w:val="000000"/>
                <w:sz w:val="24"/>
              </w:rPr>
              <w:t>通过计算，本项目道路运输扬尘产生量为0.</w:t>
            </w:r>
            <w:r>
              <w:rPr>
                <w:rFonts w:hint="eastAsia"/>
                <w:color w:val="000000"/>
                <w:sz w:val="24"/>
                <w:lang w:val="en-US" w:eastAsia="zh-CN"/>
              </w:rPr>
              <w:t>19</w:t>
            </w:r>
            <w:r>
              <w:rPr>
                <w:rFonts w:hint="eastAsia"/>
                <w:color w:val="000000"/>
                <w:sz w:val="24"/>
              </w:rPr>
              <w:t>kg/辆。本项目年开采规模为</w:t>
            </w:r>
            <w:r>
              <w:rPr>
                <w:rFonts w:hint="eastAsia"/>
                <w:color w:val="000000"/>
                <w:sz w:val="24"/>
                <w:lang w:val="en-US" w:eastAsia="zh-CN"/>
              </w:rPr>
              <w:t>100万</w:t>
            </w:r>
            <w:r>
              <w:rPr>
                <w:rFonts w:hint="eastAsia"/>
                <w:color w:val="000000"/>
                <w:sz w:val="24"/>
              </w:rPr>
              <w:t>m</w:t>
            </w:r>
            <w:r>
              <w:rPr>
                <w:rFonts w:hint="eastAsia"/>
                <w:color w:val="000000"/>
                <w:sz w:val="24"/>
                <w:vertAlign w:val="superscript"/>
              </w:rPr>
              <w:t>3</w:t>
            </w:r>
            <w:r>
              <w:rPr>
                <w:rFonts w:hint="eastAsia"/>
                <w:color w:val="000000"/>
                <w:sz w:val="24"/>
              </w:rPr>
              <w:t>，矿石密度约为1.6t/m</w:t>
            </w:r>
            <w:r>
              <w:rPr>
                <w:rFonts w:hint="eastAsia"/>
                <w:color w:val="000000"/>
                <w:sz w:val="24"/>
                <w:vertAlign w:val="superscript"/>
              </w:rPr>
              <w:t>3</w:t>
            </w:r>
            <w:r>
              <w:rPr>
                <w:rFonts w:hint="eastAsia"/>
                <w:color w:val="000000"/>
                <w:sz w:val="24"/>
              </w:rPr>
              <w:t>，则年开采矿石</w:t>
            </w:r>
            <w:r>
              <w:rPr>
                <w:rFonts w:hint="eastAsia"/>
                <w:color w:val="000000"/>
                <w:sz w:val="24"/>
                <w:lang w:val="en-US" w:eastAsia="zh-CN"/>
              </w:rPr>
              <w:t>1600000</w:t>
            </w:r>
            <w:r>
              <w:rPr>
                <w:rFonts w:hint="eastAsia"/>
                <w:color w:val="000000"/>
                <w:sz w:val="24"/>
              </w:rPr>
              <w:t>t，每辆汽车的载重量为</w:t>
            </w:r>
            <w:r>
              <w:rPr>
                <w:rFonts w:hint="eastAsia"/>
                <w:color w:val="000000"/>
                <w:sz w:val="24"/>
                <w:lang w:val="en-US" w:eastAsia="zh-CN"/>
              </w:rPr>
              <w:t>5</w:t>
            </w:r>
            <w:r>
              <w:rPr>
                <w:rFonts w:hint="eastAsia"/>
                <w:color w:val="000000"/>
                <w:sz w:val="24"/>
              </w:rPr>
              <w:t>0t，则年运输次数为</w:t>
            </w:r>
            <w:r>
              <w:rPr>
                <w:rFonts w:hint="eastAsia"/>
                <w:color w:val="000000"/>
                <w:sz w:val="24"/>
                <w:lang w:val="en-US" w:eastAsia="zh-CN"/>
              </w:rPr>
              <w:t>32000</w:t>
            </w:r>
            <w:r>
              <w:rPr>
                <w:rFonts w:hint="eastAsia"/>
                <w:color w:val="000000"/>
                <w:sz w:val="24"/>
              </w:rPr>
              <w:t>次，因此本项目道路运输扬尘产生量约为</w:t>
            </w:r>
            <w:r>
              <w:rPr>
                <w:rFonts w:hint="eastAsia"/>
                <w:color w:val="000000"/>
                <w:sz w:val="24"/>
                <w:lang w:val="en-US" w:eastAsia="zh-CN"/>
              </w:rPr>
              <w:t>6.08</w:t>
            </w:r>
            <w:r>
              <w:rPr>
                <w:rFonts w:hint="eastAsia"/>
                <w:color w:val="000000"/>
                <w:sz w:val="24"/>
              </w:rPr>
              <w:t>t/a。</w:t>
            </w:r>
          </w:p>
          <w:p w14:paraId="1938E146">
            <w:pPr>
              <w:spacing w:line="360" w:lineRule="auto"/>
              <w:ind w:firstLine="480" w:firstLineChars="200"/>
              <w:rPr>
                <w:rFonts w:hint="eastAsia"/>
                <w:color w:val="000000"/>
                <w:sz w:val="24"/>
              </w:rPr>
            </w:pPr>
            <w:r>
              <w:rPr>
                <w:rFonts w:hAnsi="宋体"/>
                <w:color w:val="000000"/>
                <w:sz w:val="24"/>
                <w:szCs w:val="24"/>
              </w:rPr>
              <w:t>经计算在不考虑洒水及阴雨天气的情况下，本项目运输粉尘产生量为</w:t>
            </w:r>
            <w:r>
              <w:rPr>
                <w:rFonts w:hint="eastAsia"/>
                <w:color w:val="000000"/>
                <w:sz w:val="24"/>
                <w:szCs w:val="24"/>
                <w:lang w:val="en-US" w:eastAsia="zh-CN"/>
              </w:rPr>
              <w:t>6.08</w:t>
            </w:r>
            <w:r>
              <w:rPr>
                <w:color w:val="000000"/>
                <w:sz w:val="24"/>
                <w:szCs w:val="24"/>
              </w:rPr>
              <w:t>t/a</w:t>
            </w:r>
            <w:r>
              <w:rPr>
                <w:rFonts w:hAnsi="宋体"/>
                <w:color w:val="000000"/>
                <w:sz w:val="24"/>
                <w:szCs w:val="24"/>
              </w:rPr>
              <w:t>，在除雨天外均进行</w:t>
            </w:r>
            <w:r>
              <w:rPr>
                <w:color w:val="000000"/>
                <w:sz w:val="24"/>
                <w:szCs w:val="24"/>
              </w:rPr>
              <w:t>3</w:t>
            </w:r>
            <w:r>
              <w:rPr>
                <w:rFonts w:hAnsi="宋体"/>
                <w:color w:val="000000"/>
                <w:sz w:val="24"/>
                <w:szCs w:val="24"/>
              </w:rPr>
              <w:t>次以上洒水降尘，使地面尘土的含水达到</w:t>
            </w:r>
            <w:r>
              <w:rPr>
                <w:color w:val="000000"/>
                <w:sz w:val="24"/>
                <w:szCs w:val="24"/>
              </w:rPr>
              <w:t>7%</w:t>
            </w:r>
            <w:r>
              <w:rPr>
                <w:rFonts w:hAnsi="宋体"/>
                <w:color w:val="000000"/>
                <w:sz w:val="24"/>
                <w:szCs w:val="24"/>
              </w:rPr>
              <w:t>的情况下，粉尘减少</w:t>
            </w:r>
            <w:r>
              <w:rPr>
                <w:color w:val="000000"/>
                <w:sz w:val="24"/>
                <w:szCs w:val="24"/>
              </w:rPr>
              <w:t>70%</w:t>
            </w:r>
            <w:r>
              <w:rPr>
                <w:rFonts w:hAnsi="宋体"/>
                <w:color w:val="000000"/>
                <w:sz w:val="24"/>
                <w:szCs w:val="24"/>
              </w:rPr>
              <w:t>，</w:t>
            </w:r>
            <w:r>
              <w:rPr>
                <w:rFonts w:hint="eastAsia"/>
                <w:color w:val="000000"/>
                <w:sz w:val="24"/>
              </w:rPr>
              <w:t>道路运输扬尘排放量约为</w:t>
            </w:r>
            <w:r>
              <w:rPr>
                <w:rFonts w:hint="eastAsia"/>
                <w:color w:val="000000"/>
                <w:sz w:val="24"/>
                <w:lang w:val="en-US" w:eastAsia="zh-CN"/>
              </w:rPr>
              <w:t>1.8</w:t>
            </w:r>
            <w:r>
              <w:rPr>
                <w:rFonts w:hint="eastAsia"/>
                <w:color w:val="000000"/>
                <w:sz w:val="24"/>
              </w:rPr>
              <w:t>t/a</w:t>
            </w:r>
            <w:r>
              <w:rPr>
                <w:rFonts w:hint="eastAsia"/>
                <w:color w:val="000000"/>
                <w:sz w:val="24"/>
                <w:lang w:eastAsia="zh-CN"/>
              </w:rPr>
              <w:t>，</w:t>
            </w:r>
            <w:r>
              <w:rPr>
                <w:rFonts w:hint="eastAsia"/>
                <w:sz w:val="24"/>
                <w:lang w:val="en-US" w:eastAsia="zh-CN"/>
              </w:rPr>
              <w:t>以无组织形式排放</w:t>
            </w:r>
            <w:r>
              <w:rPr>
                <w:rFonts w:hint="eastAsia"/>
                <w:color w:val="000000"/>
                <w:sz w:val="24"/>
              </w:rPr>
              <w:t>。</w:t>
            </w:r>
          </w:p>
          <w:p w14:paraId="16CFDC31">
            <w:pPr>
              <w:spacing w:line="360" w:lineRule="auto"/>
              <w:ind w:firstLine="480"/>
              <w:rPr>
                <w:rFonts w:hint="eastAsia" w:hAnsi="宋体"/>
                <w:b/>
                <w:bCs/>
                <w:color w:val="000000"/>
                <w:sz w:val="24"/>
                <w:szCs w:val="24"/>
                <w:lang w:val="en-US" w:eastAsia="zh-CN"/>
              </w:rPr>
            </w:pPr>
            <w:r>
              <w:rPr>
                <w:rFonts w:hint="eastAsia" w:hAnsi="宋体"/>
                <w:b/>
                <w:bCs/>
                <w:color w:val="000000"/>
                <w:sz w:val="24"/>
                <w:szCs w:val="24"/>
                <w:lang w:val="en-US" w:eastAsia="zh-CN"/>
              </w:rPr>
              <w:t>（11）排土场扬尘</w:t>
            </w:r>
          </w:p>
          <w:p w14:paraId="3F501E0A">
            <w:pPr>
              <w:spacing w:line="360" w:lineRule="auto"/>
              <w:ind w:firstLine="480"/>
              <w:rPr>
                <w:color w:val="000000"/>
                <w:sz w:val="24"/>
              </w:rPr>
            </w:pPr>
            <w:r>
              <w:rPr>
                <w:rFonts w:hint="eastAsia"/>
                <w:color w:val="000000"/>
                <w:sz w:val="24"/>
              </w:rPr>
              <w:t>本项目</w:t>
            </w:r>
            <w:r>
              <w:rPr>
                <w:rFonts w:hint="eastAsia"/>
                <w:color w:val="000000"/>
                <w:sz w:val="24"/>
                <w:lang w:val="en-US" w:eastAsia="zh-CN"/>
              </w:rPr>
              <w:t>表土</w:t>
            </w:r>
            <w:r>
              <w:rPr>
                <w:rFonts w:hint="eastAsia"/>
                <w:color w:val="000000"/>
                <w:sz w:val="24"/>
              </w:rPr>
              <w:t>堆场产生的粉尘产生量</w:t>
            </w:r>
            <w:r>
              <w:rPr>
                <w:color w:val="000000"/>
                <w:sz w:val="24"/>
              </w:rPr>
              <w:t>采用《无组织排放源常用分析与估算方法》（西北铀矿地质，2005年10月）推荐的</w:t>
            </w:r>
            <w:r>
              <w:rPr>
                <w:rFonts w:hint="eastAsia"/>
                <w:color w:val="000000"/>
                <w:sz w:val="24"/>
              </w:rPr>
              <w:t>秦皇岛码头煤场起尘量经验公式进行</w:t>
            </w:r>
            <w:r>
              <w:rPr>
                <w:color w:val="000000"/>
                <w:sz w:val="24"/>
              </w:rPr>
              <w:t>计算</w:t>
            </w:r>
            <w:r>
              <w:rPr>
                <w:rFonts w:hint="eastAsia"/>
                <w:color w:val="000000"/>
                <w:sz w:val="24"/>
              </w:rPr>
              <w:t>，具体公式为：</w:t>
            </w:r>
          </w:p>
          <w:p w14:paraId="21C0B4C0">
            <w:pPr>
              <w:spacing w:line="360" w:lineRule="auto"/>
              <w:jc w:val="center"/>
              <w:rPr>
                <w:color w:val="000000"/>
                <w:sz w:val="24"/>
              </w:rPr>
            </w:pPr>
            <w:r>
              <w:rPr>
                <w:color w:val="000000"/>
                <w:position w:val="-12"/>
                <w:sz w:val="24"/>
              </w:rPr>
              <w:object>
                <v:shape id="_x0000_i1028" o:spt="75" type="#_x0000_t75" style="height:19.7pt;width:148.1pt;" o:ole="t" filled="f" o:preferrelative="t" stroked="f" coordsize="21600,21600">
                  <v:path/>
                  <v:fill on="f" focussize="0,0"/>
                  <v:stroke on="f"/>
                  <v:imagedata r:id="rId18" o:title=""/>
                  <o:lock v:ext="edit" aspectratio="t"/>
                  <w10:wrap type="none"/>
                  <w10:anchorlock/>
                </v:shape>
                <o:OLEObject Type="Embed" ProgID="Equations" ShapeID="_x0000_i1028" DrawAspect="Content" ObjectID="_1468075728" r:id="rId17">
                  <o:LockedField>false</o:LockedField>
                </o:OLEObject>
              </w:object>
            </w:r>
          </w:p>
          <w:p w14:paraId="7A2E71F5">
            <w:pPr>
              <w:spacing w:line="360" w:lineRule="auto"/>
              <w:ind w:firstLine="480"/>
              <w:rPr>
                <w:color w:val="000000"/>
                <w:sz w:val="24"/>
              </w:rPr>
            </w:pPr>
            <w:r>
              <w:rPr>
                <w:rFonts w:hint="eastAsia"/>
                <w:color w:val="000000"/>
                <w:sz w:val="24"/>
              </w:rPr>
              <w:t>式中：Q—堆放场地起尘量（mg/s）；</w:t>
            </w:r>
          </w:p>
          <w:p w14:paraId="6398C966">
            <w:pPr>
              <w:spacing w:line="360" w:lineRule="auto"/>
              <w:ind w:firstLine="1200" w:firstLineChars="500"/>
              <w:rPr>
                <w:color w:val="000000"/>
                <w:sz w:val="24"/>
              </w:rPr>
            </w:pPr>
            <w:r>
              <w:rPr>
                <w:rFonts w:hint="eastAsia"/>
                <w:color w:val="000000"/>
                <w:sz w:val="24"/>
              </w:rPr>
              <w:t>u</w:t>
            </w:r>
            <w:r>
              <w:rPr>
                <w:rFonts w:hint="eastAsia"/>
                <w:color w:val="000000"/>
                <w:sz w:val="24"/>
                <w:vertAlign w:val="subscript"/>
              </w:rPr>
              <w:t>0</w:t>
            </w:r>
            <w:r>
              <w:rPr>
                <w:rFonts w:hint="eastAsia"/>
                <w:color w:val="000000"/>
                <w:sz w:val="24"/>
              </w:rPr>
              <w:t>—50m高处的扬尘</w:t>
            </w:r>
            <w:r>
              <w:rPr>
                <w:rFonts w:hint="eastAsia"/>
                <w:color w:val="000000"/>
                <w:sz w:val="24"/>
                <w:lang w:eastAsia="zh-CN"/>
              </w:rPr>
              <w:t>起动风速</w:t>
            </w:r>
            <w:r>
              <w:rPr>
                <w:rFonts w:hint="eastAsia"/>
                <w:color w:val="000000"/>
                <w:sz w:val="24"/>
              </w:rPr>
              <w:t>，一般取4.0m/s；</w:t>
            </w:r>
          </w:p>
          <w:p w14:paraId="74C99E06">
            <w:pPr>
              <w:spacing w:line="360" w:lineRule="auto"/>
              <w:ind w:firstLine="1200" w:firstLineChars="500"/>
              <w:rPr>
                <w:color w:val="000000"/>
                <w:sz w:val="24"/>
              </w:rPr>
            </w:pPr>
            <w:r>
              <w:rPr>
                <w:rFonts w:hint="eastAsia"/>
                <w:color w:val="000000"/>
                <w:sz w:val="24"/>
              </w:rPr>
              <w:t>u—50m高度处的风速（m/s）；本项目取4.5m/s；</w:t>
            </w:r>
          </w:p>
          <w:p w14:paraId="4D18C4CD">
            <w:pPr>
              <w:spacing w:line="360" w:lineRule="auto"/>
              <w:ind w:firstLine="1200" w:firstLineChars="500"/>
              <w:rPr>
                <w:rFonts w:hint="default" w:ascii="Times New Roman" w:hAnsi="Times New Roman" w:cs="Times New Roman"/>
                <w:color w:val="000000"/>
                <w:sz w:val="24"/>
              </w:rPr>
            </w:pPr>
            <w:r>
              <w:rPr>
                <w:rFonts w:hint="default" w:ascii="Times New Roman" w:hAnsi="Times New Roman" w:cs="Times New Roman"/>
                <w:color w:val="000000"/>
                <w:sz w:val="24"/>
              </w:rPr>
              <w:t>ω</w:t>
            </w:r>
            <w:r>
              <w:rPr>
                <w:rFonts w:hint="eastAsia"/>
                <w:color w:val="000000"/>
                <w:sz w:val="24"/>
              </w:rPr>
              <w:t>—</w:t>
            </w:r>
            <w:r>
              <w:rPr>
                <w:rFonts w:hint="default" w:ascii="Times New Roman" w:hAnsi="Times New Roman" w:cs="Times New Roman"/>
                <w:color w:val="000000"/>
                <w:sz w:val="24"/>
              </w:rPr>
              <w:t>物料含水率（%），本项目取5%；</w:t>
            </w:r>
          </w:p>
          <w:p w14:paraId="388A016A">
            <w:pPr>
              <w:spacing w:line="360" w:lineRule="auto"/>
              <w:ind w:firstLine="1200" w:firstLineChars="500"/>
              <w:rPr>
                <w:color w:val="000000"/>
                <w:sz w:val="24"/>
              </w:rPr>
            </w:pPr>
            <w:r>
              <w:rPr>
                <w:rFonts w:hint="eastAsia"/>
                <w:color w:val="000000"/>
                <w:sz w:val="24"/>
              </w:rPr>
              <w:t>M—堆场堆放的物料量（t）；</w:t>
            </w:r>
          </w:p>
          <w:p w14:paraId="24598923">
            <w:pPr>
              <w:spacing w:line="360" w:lineRule="auto"/>
              <w:ind w:firstLine="1200" w:firstLineChars="500"/>
              <w:rPr>
                <w:color w:val="000000"/>
                <w:sz w:val="24"/>
              </w:rPr>
            </w:pPr>
            <w:r>
              <w:rPr>
                <w:rFonts w:hint="eastAsia"/>
                <w:color w:val="000000"/>
                <w:sz w:val="24"/>
              </w:rPr>
              <w:t>k—与堆放物料含水率有关的系数，具体见表</w:t>
            </w:r>
            <w:r>
              <w:rPr>
                <w:rFonts w:hint="eastAsia"/>
                <w:color w:val="000000"/>
                <w:sz w:val="24"/>
                <w:lang w:val="en-US" w:eastAsia="zh-CN"/>
              </w:rPr>
              <w:t>4-</w:t>
            </w:r>
            <w:r>
              <w:rPr>
                <w:rFonts w:hint="eastAsia"/>
                <w:color w:val="000000"/>
                <w:sz w:val="24"/>
              </w:rPr>
              <w:t>1。</w:t>
            </w:r>
          </w:p>
          <w:p w14:paraId="3D558F44">
            <w:pPr>
              <w:spacing w:line="360" w:lineRule="auto"/>
              <w:jc w:val="center"/>
              <w:rPr>
                <w:b/>
                <w:color w:val="000000"/>
                <w:sz w:val="24"/>
                <w:szCs w:val="24"/>
              </w:rPr>
            </w:pPr>
            <w:r>
              <w:rPr>
                <w:rFonts w:hint="eastAsia"/>
                <w:b/>
                <w:color w:val="000000"/>
                <w:sz w:val="24"/>
                <w:szCs w:val="24"/>
              </w:rPr>
              <w:t>表</w:t>
            </w:r>
            <w:r>
              <w:rPr>
                <w:rFonts w:hint="eastAsia"/>
                <w:b/>
                <w:color w:val="000000"/>
                <w:sz w:val="24"/>
                <w:szCs w:val="24"/>
                <w:lang w:val="en-US" w:eastAsia="zh-CN"/>
              </w:rPr>
              <w:t>4-1</w:t>
            </w:r>
            <w:r>
              <w:rPr>
                <w:rFonts w:hint="eastAsia"/>
                <w:b/>
                <w:color w:val="000000"/>
                <w:sz w:val="24"/>
                <w:szCs w:val="24"/>
              </w:rPr>
              <w:t xml:space="preserve">  不同含水率下的k值</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79"/>
              <w:gridCol w:w="820"/>
              <w:gridCol w:w="771"/>
              <w:gridCol w:w="787"/>
              <w:gridCol w:w="804"/>
              <w:gridCol w:w="834"/>
              <w:gridCol w:w="771"/>
              <w:gridCol w:w="819"/>
              <w:gridCol w:w="819"/>
              <w:gridCol w:w="646"/>
            </w:tblGrid>
            <w:tr w14:paraId="37CB83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15" w:type="pct"/>
                  <w:tcBorders>
                    <w:tl2br w:val="nil"/>
                    <w:tr2bl w:val="nil"/>
                  </w:tcBorders>
                  <w:noWrap w:val="0"/>
                  <w:vAlign w:val="center"/>
                </w:tcPr>
                <w:p w14:paraId="27FCEEA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含水率（%）</w:t>
                  </w:r>
                </w:p>
              </w:tc>
              <w:tc>
                <w:tcPr>
                  <w:tcW w:w="485" w:type="pct"/>
                  <w:tcBorders>
                    <w:tl2br w:val="nil"/>
                    <w:tr2bl w:val="nil"/>
                  </w:tcBorders>
                  <w:noWrap w:val="0"/>
                  <w:vAlign w:val="center"/>
                </w:tcPr>
                <w:p w14:paraId="7E901BC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1</w:t>
                  </w:r>
                </w:p>
              </w:tc>
              <w:tc>
                <w:tcPr>
                  <w:tcW w:w="456" w:type="pct"/>
                  <w:tcBorders>
                    <w:tl2br w:val="nil"/>
                    <w:tr2bl w:val="nil"/>
                  </w:tcBorders>
                  <w:noWrap w:val="0"/>
                  <w:vAlign w:val="center"/>
                </w:tcPr>
                <w:p w14:paraId="2C62719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2</w:t>
                  </w:r>
                </w:p>
              </w:tc>
              <w:tc>
                <w:tcPr>
                  <w:tcW w:w="465" w:type="pct"/>
                  <w:tcBorders>
                    <w:tl2br w:val="nil"/>
                    <w:tr2bl w:val="nil"/>
                  </w:tcBorders>
                  <w:noWrap w:val="0"/>
                  <w:vAlign w:val="center"/>
                </w:tcPr>
                <w:p w14:paraId="4B28AAF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3</w:t>
                  </w:r>
                </w:p>
              </w:tc>
              <w:tc>
                <w:tcPr>
                  <w:tcW w:w="475" w:type="pct"/>
                  <w:tcBorders>
                    <w:tl2br w:val="nil"/>
                    <w:tr2bl w:val="nil"/>
                  </w:tcBorders>
                  <w:noWrap w:val="0"/>
                  <w:vAlign w:val="center"/>
                </w:tcPr>
                <w:p w14:paraId="72AA040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4</w:t>
                  </w:r>
                </w:p>
              </w:tc>
              <w:tc>
                <w:tcPr>
                  <w:tcW w:w="493" w:type="pct"/>
                  <w:tcBorders>
                    <w:tl2br w:val="nil"/>
                    <w:tr2bl w:val="nil"/>
                  </w:tcBorders>
                  <w:noWrap w:val="0"/>
                  <w:vAlign w:val="center"/>
                </w:tcPr>
                <w:p w14:paraId="1A900E5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5</w:t>
                  </w:r>
                </w:p>
              </w:tc>
              <w:tc>
                <w:tcPr>
                  <w:tcW w:w="456" w:type="pct"/>
                  <w:tcBorders>
                    <w:tl2br w:val="nil"/>
                    <w:tr2bl w:val="nil"/>
                  </w:tcBorders>
                  <w:noWrap w:val="0"/>
                  <w:vAlign w:val="center"/>
                </w:tcPr>
                <w:p w14:paraId="4C736DE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6</w:t>
                  </w:r>
                </w:p>
              </w:tc>
              <w:tc>
                <w:tcPr>
                  <w:tcW w:w="484" w:type="pct"/>
                  <w:tcBorders>
                    <w:tl2br w:val="nil"/>
                    <w:tr2bl w:val="nil"/>
                  </w:tcBorders>
                  <w:noWrap w:val="0"/>
                  <w:vAlign w:val="center"/>
                </w:tcPr>
                <w:p w14:paraId="1CD2C3E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7</w:t>
                  </w:r>
                </w:p>
              </w:tc>
              <w:tc>
                <w:tcPr>
                  <w:tcW w:w="484" w:type="pct"/>
                  <w:tcBorders>
                    <w:tl2br w:val="nil"/>
                    <w:tr2bl w:val="nil"/>
                  </w:tcBorders>
                  <w:noWrap w:val="0"/>
                  <w:vAlign w:val="center"/>
                </w:tcPr>
                <w:p w14:paraId="26BB85D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8</w:t>
                  </w:r>
                </w:p>
              </w:tc>
              <w:tc>
                <w:tcPr>
                  <w:tcW w:w="382" w:type="pct"/>
                  <w:tcBorders>
                    <w:tl2br w:val="nil"/>
                    <w:tr2bl w:val="nil"/>
                  </w:tcBorders>
                  <w:noWrap w:val="0"/>
                  <w:vAlign w:val="center"/>
                </w:tcPr>
                <w:p w14:paraId="446E7E2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9</w:t>
                  </w:r>
                </w:p>
              </w:tc>
            </w:tr>
            <w:tr w14:paraId="280C46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15" w:type="pct"/>
                  <w:tcBorders>
                    <w:tl2br w:val="nil"/>
                    <w:tr2bl w:val="nil"/>
                  </w:tcBorders>
                  <w:noWrap w:val="0"/>
                  <w:vAlign w:val="center"/>
                </w:tcPr>
                <w:p w14:paraId="1C06F6A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b/>
                      <w:color w:val="000000"/>
                      <w:sz w:val="21"/>
                      <w:szCs w:val="21"/>
                    </w:rPr>
                  </w:pPr>
                  <w:r>
                    <w:rPr>
                      <w:rFonts w:hint="eastAsia"/>
                      <w:b/>
                      <w:color w:val="000000"/>
                      <w:sz w:val="21"/>
                      <w:szCs w:val="21"/>
                    </w:rPr>
                    <w:t>k</w:t>
                  </w:r>
                </w:p>
              </w:tc>
              <w:tc>
                <w:tcPr>
                  <w:tcW w:w="485" w:type="pct"/>
                  <w:tcBorders>
                    <w:tl2br w:val="nil"/>
                    <w:tr2bl w:val="nil"/>
                  </w:tcBorders>
                  <w:noWrap w:val="0"/>
                  <w:vAlign w:val="center"/>
                </w:tcPr>
                <w:p w14:paraId="64A49A1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000000"/>
                      <w:sz w:val="21"/>
                      <w:szCs w:val="21"/>
                    </w:rPr>
                  </w:pPr>
                  <w:r>
                    <w:rPr>
                      <w:rFonts w:hint="eastAsia"/>
                      <w:color w:val="000000"/>
                      <w:sz w:val="21"/>
                      <w:szCs w:val="21"/>
                    </w:rPr>
                    <w:t>1.019</w:t>
                  </w:r>
                </w:p>
              </w:tc>
              <w:tc>
                <w:tcPr>
                  <w:tcW w:w="456" w:type="pct"/>
                  <w:tcBorders>
                    <w:tl2br w:val="nil"/>
                    <w:tr2bl w:val="nil"/>
                  </w:tcBorders>
                  <w:noWrap w:val="0"/>
                  <w:vAlign w:val="center"/>
                </w:tcPr>
                <w:p w14:paraId="4F0E313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000000"/>
                      <w:sz w:val="21"/>
                      <w:szCs w:val="21"/>
                    </w:rPr>
                  </w:pPr>
                  <w:r>
                    <w:rPr>
                      <w:rFonts w:hint="eastAsia"/>
                      <w:color w:val="000000"/>
                      <w:sz w:val="21"/>
                      <w:szCs w:val="21"/>
                    </w:rPr>
                    <w:t>1.010</w:t>
                  </w:r>
                </w:p>
              </w:tc>
              <w:tc>
                <w:tcPr>
                  <w:tcW w:w="465" w:type="pct"/>
                  <w:tcBorders>
                    <w:tl2br w:val="nil"/>
                    <w:tr2bl w:val="nil"/>
                  </w:tcBorders>
                  <w:noWrap w:val="0"/>
                  <w:vAlign w:val="center"/>
                </w:tcPr>
                <w:p w14:paraId="62F213F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000000"/>
                      <w:sz w:val="21"/>
                      <w:szCs w:val="21"/>
                    </w:rPr>
                  </w:pPr>
                  <w:r>
                    <w:rPr>
                      <w:rFonts w:hint="eastAsia"/>
                      <w:color w:val="000000"/>
                      <w:sz w:val="21"/>
                      <w:szCs w:val="21"/>
                    </w:rPr>
                    <w:t>1.002</w:t>
                  </w:r>
                </w:p>
              </w:tc>
              <w:tc>
                <w:tcPr>
                  <w:tcW w:w="475" w:type="pct"/>
                  <w:tcBorders>
                    <w:tl2br w:val="nil"/>
                    <w:tr2bl w:val="nil"/>
                  </w:tcBorders>
                  <w:noWrap w:val="0"/>
                  <w:vAlign w:val="center"/>
                </w:tcPr>
                <w:p w14:paraId="08ED933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000000"/>
                      <w:sz w:val="21"/>
                      <w:szCs w:val="21"/>
                    </w:rPr>
                  </w:pPr>
                  <w:r>
                    <w:rPr>
                      <w:rFonts w:hint="eastAsia"/>
                      <w:color w:val="000000"/>
                      <w:sz w:val="21"/>
                      <w:szCs w:val="21"/>
                    </w:rPr>
                    <w:t>0.995</w:t>
                  </w:r>
                </w:p>
              </w:tc>
              <w:tc>
                <w:tcPr>
                  <w:tcW w:w="493" w:type="pct"/>
                  <w:tcBorders>
                    <w:tl2br w:val="nil"/>
                    <w:tr2bl w:val="nil"/>
                  </w:tcBorders>
                  <w:noWrap w:val="0"/>
                  <w:vAlign w:val="center"/>
                </w:tcPr>
                <w:p w14:paraId="7C5042C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000000"/>
                      <w:sz w:val="21"/>
                      <w:szCs w:val="21"/>
                    </w:rPr>
                  </w:pPr>
                  <w:r>
                    <w:rPr>
                      <w:rFonts w:hint="eastAsia"/>
                      <w:color w:val="000000"/>
                      <w:sz w:val="21"/>
                      <w:szCs w:val="21"/>
                    </w:rPr>
                    <w:t>0.986</w:t>
                  </w:r>
                </w:p>
              </w:tc>
              <w:tc>
                <w:tcPr>
                  <w:tcW w:w="456" w:type="pct"/>
                  <w:tcBorders>
                    <w:tl2br w:val="nil"/>
                    <w:tr2bl w:val="nil"/>
                  </w:tcBorders>
                  <w:noWrap w:val="0"/>
                  <w:vAlign w:val="center"/>
                </w:tcPr>
                <w:p w14:paraId="3133C24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000000"/>
                      <w:sz w:val="21"/>
                      <w:szCs w:val="21"/>
                    </w:rPr>
                  </w:pPr>
                  <w:r>
                    <w:rPr>
                      <w:rFonts w:hint="eastAsia"/>
                      <w:color w:val="000000"/>
                      <w:sz w:val="21"/>
                      <w:szCs w:val="21"/>
                    </w:rPr>
                    <w:t>0.979</w:t>
                  </w:r>
                </w:p>
              </w:tc>
              <w:tc>
                <w:tcPr>
                  <w:tcW w:w="484" w:type="pct"/>
                  <w:tcBorders>
                    <w:tl2br w:val="nil"/>
                    <w:tr2bl w:val="nil"/>
                  </w:tcBorders>
                  <w:noWrap w:val="0"/>
                  <w:vAlign w:val="center"/>
                </w:tcPr>
                <w:p w14:paraId="2938F48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000000"/>
                      <w:sz w:val="21"/>
                      <w:szCs w:val="21"/>
                    </w:rPr>
                  </w:pPr>
                  <w:r>
                    <w:rPr>
                      <w:rFonts w:hint="eastAsia"/>
                      <w:color w:val="000000"/>
                      <w:sz w:val="21"/>
                      <w:szCs w:val="21"/>
                    </w:rPr>
                    <w:t>0.971</w:t>
                  </w:r>
                </w:p>
              </w:tc>
              <w:tc>
                <w:tcPr>
                  <w:tcW w:w="484" w:type="pct"/>
                  <w:tcBorders>
                    <w:tl2br w:val="nil"/>
                    <w:tr2bl w:val="nil"/>
                  </w:tcBorders>
                  <w:noWrap w:val="0"/>
                  <w:vAlign w:val="center"/>
                </w:tcPr>
                <w:p w14:paraId="1AFF396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000000"/>
                      <w:sz w:val="21"/>
                      <w:szCs w:val="21"/>
                    </w:rPr>
                  </w:pPr>
                  <w:r>
                    <w:rPr>
                      <w:rFonts w:hint="eastAsia"/>
                      <w:color w:val="000000"/>
                      <w:sz w:val="21"/>
                      <w:szCs w:val="21"/>
                    </w:rPr>
                    <w:t>0.963</w:t>
                  </w:r>
                </w:p>
              </w:tc>
              <w:tc>
                <w:tcPr>
                  <w:tcW w:w="382" w:type="pct"/>
                  <w:tcBorders>
                    <w:tl2br w:val="nil"/>
                    <w:tr2bl w:val="nil"/>
                  </w:tcBorders>
                  <w:noWrap w:val="0"/>
                  <w:vAlign w:val="center"/>
                </w:tcPr>
                <w:p w14:paraId="269EE3D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000000"/>
                      <w:sz w:val="21"/>
                      <w:szCs w:val="21"/>
                    </w:rPr>
                  </w:pPr>
                  <w:r>
                    <w:rPr>
                      <w:rFonts w:hint="eastAsia"/>
                      <w:color w:val="000000"/>
                      <w:sz w:val="21"/>
                      <w:szCs w:val="21"/>
                    </w:rPr>
                    <w:t>0.96</w:t>
                  </w:r>
                </w:p>
              </w:tc>
            </w:tr>
          </w:tbl>
          <w:p w14:paraId="773820C4">
            <w:pPr>
              <w:spacing w:line="360" w:lineRule="auto"/>
              <w:ind w:firstLine="480"/>
              <w:rPr>
                <w:rFonts w:hint="default" w:ascii="Times New Roman" w:hAnsi="宋体" w:eastAsia="宋体" w:cs="Times New Roman"/>
                <w:color w:val="000000"/>
                <w:sz w:val="24"/>
                <w:szCs w:val="24"/>
                <w:lang w:val="en-US" w:eastAsia="zh-CN"/>
              </w:rPr>
            </w:pPr>
            <w:r>
              <w:rPr>
                <w:rFonts w:hint="default" w:ascii="Times New Roman" w:hAnsi="宋体" w:eastAsia="宋体" w:cs="Times New Roman"/>
                <w:color w:val="000000"/>
                <w:sz w:val="24"/>
                <w:szCs w:val="24"/>
                <w:lang w:val="en-US" w:eastAsia="zh-CN"/>
              </w:rPr>
              <w:t>排土场：</w:t>
            </w:r>
            <w:r>
              <w:rPr>
                <w:rFonts w:hint="eastAsia" w:ascii="Times New Roman" w:hAnsi="宋体" w:eastAsia="宋体" w:cs="Times New Roman"/>
                <w:color w:val="000000"/>
                <w:sz w:val="24"/>
                <w:szCs w:val="24"/>
                <w:lang w:val="en-US" w:eastAsia="zh-CN"/>
              </w:rPr>
              <w:t>本项目西侧排土场占地面积约</w:t>
            </w:r>
            <w:r>
              <w:rPr>
                <w:rFonts w:hint="default" w:ascii="Times New Roman" w:hAnsi="宋体" w:eastAsia="宋体" w:cs="Times New Roman"/>
                <w:color w:val="000000"/>
                <w:sz w:val="24"/>
                <w:szCs w:val="24"/>
                <w:lang w:val="en-US" w:eastAsia="zh-CN"/>
              </w:rPr>
              <w:t>25973m</w:t>
            </w:r>
            <w:r>
              <w:rPr>
                <w:rFonts w:hint="default" w:ascii="Times New Roman" w:hAnsi="宋体" w:eastAsia="宋体" w:cs="Times New Roman"/>
                <w:color w:val="000000"/>
                <w:sz w:val="24"/>
                <w:szCs w:val="24"/>
                <w:vertAlign w:val="superscript"/>
                <w:lang w:val="en-US" w:eastAsia="zh-CN"/>
              </w:rPr>
              <w:t>2</w:t>
            </w:r>
            <w:r>
              <w:rPr>
                <w:rFonts w:hint="eastAsia" w:ascii="Times New Roman" w:hAnsi="宋体" w:eastAsia="宋体" w:cs="Times New Roman"/>
                <w:color w:val="000000"/>
                <w:sz w:val="24"/>
                <w:szCs w:val="24"/>
                <w:lang w:val="en-US" w:eastAsia="zh-CN"/>
              </w:rPr>
              <w:t>，东侧排土场占地面积约</w:t>
            </w:r>
            <w:r>
              <w:rPr>
                <w:rFonts w:hint="default" w:ascii="Times New Roman" w:hAnsi="宋体" w:eastAsia="宋体" w:cs="Times New Roman"/>
                <w:color w:val="000000"/>
                <w:sz w:val="24"/>
                <w:szCs w:val="24"/>
                <w:lang w:val="en-US" w:eastAsia="zh-CN"/>
              </w:rPr>
              <w:t>23370m</w:t>
            </w:r>
            <w:r>
              <w:rPr>
                <w:rFonts w:hint="default" w:ascii="Times New Roman" w:hAnsi="宋体" w:eastAsia="宋体" w:cs="Times New Roman"/>
                <w:color w:val="000000"/>
                <w:sz w:val="24"/>
                <w:szCs w:val="24"/>
                <w:vertAlign w:val="superscript"/>
                <w:lang w:val="en-US" w:eastAsia="zh-CN"/>
              </w:rPr>
              <w:t>2</w:t>
            </w:r>
            <w:r>
              <w:rPr>
                <w:rFonts w:hint="eastAsia" w:ascii="Times New Roman" w:hAnsi="宋体" w:eastAsia="宋体" w:cs="Times New Roman"/>
                <w:color w:val="000000"/>
                <w:sz w:val="24"/>
                <w:szCs w:val="24"/>
                <w:lang w:val="en-US" w:eastAsia="zh-CN"/>
              </w:rPr>
              <w:t>，共计</w:t>
            </w:r>
            <w:r>
              <w:rPr>
                <w:rFonts w:hint="default" w:ascii="Times New Roman" w:hAnsi="宋体" w:eastAsia="宋体" w:cs="Times New Roman"/>
                <w:color w:val="000000"/>
                <w:sz w:val="24"/>
                <w:szCs w:val="24"/>
                <w:lang w:val="en-US" w:eastAsia="zh-CN"/>
              </w:rPr>
              <w:t>49343m</w:t>
            </w:r>
            <w:r>
              <w:rPr>
                <w:rFonts w:hint="default" w:ascii="Times New Roman" w:hAnsi="宋体" w:eastAsia="宋体" w:cs="Times New Roman"/>
                <w:color w:val="000000"/>
                <w:sz w:val="24"/>
                <w:szCs w:val="24"/>
                <w:vertAlign w:val="superscript"/>
                <w:lang w:val="en-US" w:eastAsia="zh-CN"/>
              </w:rPr>
              <w:t>2</w:t>
            </w:r>
            <w:r>
              <w:rPr>
                <w:rFonts w:hint="eastAsia" w:ascii="Times New Roman" w:hAnsi="宋体" w:eastAsia="宋体" w:cs="Times New Roman"/>
                <w:color w:val="000000"/>
                <w:sz w:val="24"/>
                <w:szCs w:val="24"/>
                <w:lang w:val="en-US" w:eastAsia="zh-CN"/>
              </w:rPr>
              <w:t>，矿山后期表土剥离量约为</w:t>
            </w:r>
            <w:r>
              <w:rPr>
                <w:rFonts w:hint="default" w:ascii="Times New Roman" w:hAnsi="宋体" w:eastAsia="宋体" w:cs="Times New Roman"/>
                <w:color w:val="000000"/>
                <w:sz w:val="24"/>
                <w:szCs w:val="24"/>
                <w:lang w:val="en-US" w:eastAsia="zh-CN"/>
              </w:rPr>
              <w:t>100.77</w:t>
            </w:r>
            <w:r>
              <w:rPr>
                <w:rFonts w:hint="eastAsia" w:ascii="Times New Roman" w:hAnsi="宋体" w:eastAsia="宋体" w:cs="Times New Roman"/>
                <w:color w:val="000000"/>
                <w:sz w:val="24"/>
                <w:szCs w:val="24"/>
                <w:lang w:val="en-US" w:eastAsia="zh-CN"/>
              </w:rPr>
              <w:t>万</w:t>
            </w:r>
            <w:r>
              <w:rPr>
                <w:rFonts w:hint="default" w:ascii="Times New Roman" w:hAnsi="宋体" w:eastAsia="宋体" w:cs="Times New Roman"/>
                <w:color w:val="000000"/>
                <w:sz w:val="24"/>
                <w:szCs w:val="24"/>
                <w:lang w:val="en-US" w:eastAsia="zh-CN"/>
              </w:rPr>
              <w:t>m</w:t>
            </w:r>
            <w:r>
              <w:rPr>
                <w:rFonts w:hint="default" w:ascii="Times New Roman" w:hAnsi="宋体" w:eastAsia="宋体" w:cs="Times New Roman"/>
                <w:color w:val="000000"/>
                <w:sz w:val="24"/>
                <w:szCs w:val="24"/>
                <w:vertAlign w:val="superscript"/>
                <w:lang w:val="en-US" w:eastAsia="zh-CN"/>
              </w:rPr>
              <w:t>3</w:t>
            </w:r>
            <w:r>
              <w:rPr>
                <w:rFonts w:hint="eastAsia" w:ascii="Times New Roman" w:hAnsi="宋体" w:eastAsia="宋体" w:cs="Times New Roman"/>
                <w:color w:val="000000"/>
                <w:sz w:val="24"/>
                <w:szCs w:val="24"/>
                <w:lang w:val="en-US" w:eastAsia="zh-CN"/>
              </w:rPr>
              <w:t>。根据估算西侧排土场</w:t>
            </w:r>
            <w:r>
              <w:rPr>
                <w:rFonts w:hint="eastAsia" w:hAnsi="宋体" w:cs="Times New Roman"/>
                <w:color w:val="000000"/>
                <w:sz w:val="24"/>
                <w:szCs w:val="24"/>
                <w:lang w:val="en-US" w:eastAsia="zh-CN"/>
              </w:rPr>
              <w:t>最大堆放量</w:t>
            </w:r>
            <w:r>
              <w:rPr>
                <w:rFonts w:hint="eastAsia" w:ascii="Times New Roman" w:hAnsi="宋体" w:eastAsia="宋体" w:cs="Times New Roman"/>
                <w:color w:val="000000"/>
                <w:sz w:val="24"/>
                <w:szCs w:val="24"/>
                <w:lang w:val="en-US" w:eastAsia="zh-CN"/>
              </w:rPr>
              <w:t>约</w:t>
            </w:r>
            <w:r>
              <w:rPr>
                <w:rFonts w:hint="default" w:ascii="Times New Roman" w:hAnsi="宋体" w:eastAsia="宋体" w:cs="Times New Roman"/>
                <w:color w:val="000000"/>
                <w:sz w:val="24"/>
                <w:szCs w:val="24"/>
                <w:lang w:val="en-US" w:eastAsia="zh-CN"/>
              </w:rPr>
              <w:t>59</w:t>
            </w:r>
            <w:r>
              <w:rPr>
                <w:rFonts w:hint="eastAsia" w:ascii="Times New Roman" w:hAnsi="宋体" w:eastAsia="宋体" w:cs="Times New Roman"/>
                <w:color w:val="000000"/>
                <w:sz w:val="24"/>
                <w:szCs w:val="24"/>
                <w:lang w:val="en-US" w:eastAsia="zh-CN"/>
              </w:rPr>
              <w:t>万</w:t>
            </w:r>
            <w:r>
              <w:rPr>
                <w:rFonts w:hint="default" w:ascii="Times New Roman" w:hAnsi="宋体" w:eastAsia="宋体" w:cs="Times New Roman"/>
                <w:color w:val="000000"/>
                <w:sz w:val="24"/>
                <w:szCs w:val="24"/>
                <w:lang w:val="en-US" w:eastAsia="zh-CN"/>
              </w:rPr>
              <w:t>m</w:t>
            </w:r>
            <w:r>
              <w:rPr>
                <w:rFonts w:hint="default" w:ascii="Times New Roman" w:hAnsi="宋体" w:eastAsia="宋体" w:cs="Times New Roman"/>
                <w:color w:val="000000"/>
                <w:sz w:val="24"/>
                <w:szCs w:val="24"/>
                <w:vertAlign w:val="superscript"/>
                <w:lang w:val="en-US" w:eastAsia="zh-CN"/>
              </w:rPr>
              <w:t>3</w:t>
            </w:r>
            <w:r>
              <w:rPr>
                <w:rFonts w:hint="eastAsia" w:ascii="Times New Roman" w:hAnsi="宋体" w:eastAsia="宋体" w:cs="Times New Roman"/>
                <w:color w:val="000000"/>
                <w:sz w:val="24"/>
                <w:szCs w:val="24"/>
                <w:lang w:val="en-US" w:eastAsia="zh-CN"/>
              </w:rPr>
              <w:t>，东侧排土场</w:t>
            </w:r>
            <w:r>
              <w:rPr>
                <w:rFonts w:hint="eastAsia" w:hAnsi="宋体" w:cs="Times New Roman"/>
                <w:color w:val="000000"/>
                <w:sz w:val="24"/>
                <w:szCs w:val="24"/>
                <w:lang w:val="en-US" w:eastAsia="zh-CN"/>
              </w:rPr>
              <w:t>最大堆放量</w:t>
            </w:r>
            <w:r>
              <w:rPr>
                <w:rFonts w:hint="eastAsia" w:ascii="Times New Roman" w:hAnsi="宋体" w:eastAsia="宋体" w:cs="Times New Roman"/>
                <w:color w:val="000000"/>
                <w:sz w:val="24"/>
                <w:szCs w:val="24"/>
                <w:lang w:val="en-US" w:eastAsia="zh-CN"/>
              </w:rPr>
              <w:t>约</w:t>
            </w:r>
            <w:r>
              <w:rPr>
                <w:rFonts w:hint="default" w:ascii="Times New Roman" w:hAnsi="宋体" w:eastAsia="宋体" w:cs="Times New Roman"/>
                <w:color w:val="000000"/>
                <w:sz w:val="24"/>
                <w:szCs w:val="24"/>
                <w:lang w:val="en-US" w:eastAsia="zh-CN"/>
              </w:rPr>
              <w:t>47</w:t>
            </w:r>
            <w:r>
              <w:rPr>
                <w:rFonts w:hint="eastAsia" w:ascii="Times New Roman" w:hAnsi="宋体" w:eastAsia="宋体" w:cs="Times New Roman"/>
                <w:color w:val="000000"/>
                <w:sz w:val="24"/>
                <w:szCs w:val="24"/>
                <w:lang w:val="en-US" w:eastAsia="zh-CN"/>
              </w:rPr>
              <w:t>万</w:t>
            </w:r>
            <w:r>
              <w:rPr>
                <w:rFonts w:hint="default" w:ascii="Times New Roman" w:hAnsi="宋体" w:eastAsia="宋体" w:cs="Times New Roman"/>
                <w:color w:val="000000"/>
                <w:sz w:val="24"/>
                <w:szCs w:val="24"/>
                <w:lang w:val="en-US" w:eastAsia="zh-CN"/>
              </w:rPr>
              <w:t>m</w:t>
            </w:r>
            <w:r>
              <w:rPr>
                <w:rFonts w:hint="default" w:ascii="Times New Roman" w:hAnsi="宋体" w:eastAsia="宋体" w:cs="Times New Roman"/>
                <w:color w:val="000000"/>
                <w:sz w:val="24"/>
                <w:szCs w:val="24"/>
                <w:vertAlign w:val="superscript"/>
                <w:lang w:val="en-US" w:eastAsia="zh-CN"/>
              </w:rPr>
              <w:t>3</w:t>
            </w:r>
            <w:r>
              <w:rPr>
                <w:rFonts w:hint="eastAsia" w:ascii="Times New Roman" w:hAnsi="宋体" w:eastAsia="宋体" w:cs="Times New Roman"/>
                <w:color w:val="000000"/>
                <w:sz w:val="24"/>
                <w:szCs w:val="24"/>
                <w:lang w:val="en-US" w:eastAsia="zh-CN"/>
              </w:rPr>
              <w:t>，合计堆存方量为</w:t>
            </w:r>
            <w:r>
              <w:rPr>
                <w:rFonts w:hint="default" w:ascii="Times New Roman" w:hAnsi="宋体" w:eastAsia="宋体" w:cs="Times New Roman"/>
                <w:color w:val="000000"/>
                <w:sz w:val="24"/>
                <w:szCs w:val="24"/>
                <w:lang w:val="en-US" w:eastAsia="zh-CN"/>
              </w:rPr>
              <w:t>106</w:t>
            </w:r>
            <w:r>
              <w:rPr>
                <w:rFonts w:hint="eastAsia" w:ascii="Times New Roman" w:hAnsi="宋体" w:eastAsia="宋体" w:cs="Times New Roman"/>
                <w:color w:val="000000"/>
                <w:sz w:val="24"/>
                <w:szCs w:val="24"/>
                <w:lang w:val="en-US" w:eastAsia="zh-CN"/>
              </w:rPr>
              <w:t>万</w:t>
            </w:r>
            <w:r>
              <w:rPr>
                <w:rFonts w:hint="default" w:ascii="Times New Roman" w:hAnsi="宋体" w:eastAsia="宋体" w:cs="Times New Roman"/>
                <w:color w:val="000000"/>
                <w:sz w:val="24"/>
                <w:szCs w:val="24"/>
                <w:lang w:val="en-US" w:eastAsia="zh-CN"/>
              </w:rPr>
              <w:t>m</w:t>
            </w:r>
            <w:r>
              <w:rPr>
                <w:rFonts w:hint="default" w:ascii="Times New Roman" w:hAnsi="宋体" w:eastAsia="宋体" w:cs="Times New Roman"/>
                <w:color w:val="000000"/>
                <w:sz w:val="24"/>
                <w:szCs w:val="24"/>
                <w:vertAlign w:val="superscript"/>
                <w:lang w:val="en-US" w:eastAsia="zh-CN"/>
              </w:rPr>
              <w:t>3</w:t>
            </w:r>
            <w:r>
              <w:rPr>
                <w:rFonts w:hint="eastAsia" w:ascii="Times New Roman" w:hAnsi="宋体" w:eastAsia="宋体" w:cs="Times New Roman"/>
                <w:color w:val="000000"/>
                <w:sz w:val="24"/>
                <w:szCs w:val="24"/>
                <w:lang w:val="en-US" w:eastAsia="zh-CN"/>
              </w:rPr>
              <w:t>，</w:t>
            </w:r>
            <w:r>
              <w:rPr>
                <w:rFonts w:hint="default" w:ascii="Times New Roman" w:hAnsi="宋体" w:eastAsia="宋体" w:cs="Times New Roman"/>
                <w:color w:val="000000"/>
                <w:sz w:val="24"/>
                <w:szCs w:val="24"/>
                <w:lang w:val="en-US" w:eastAsia="zh-CN"/>
              </w:rPr>
              <w:t>土料的密度约为1.7t/m</w:t>
            </w:r>
            <w:r>
              <w:rPr>
                <w:rFonts w:hint="default" w:ascii="Times New Roman" w:hAnsi="宋体" w:eastAsia="宋体" w:cs="Times New Roman"/>
                <w:color w:val="000000"/>
                <w:sz w:val="24"/>
                <w:szCs w:val="24"/>
                <w:vertAlign w:val="superscript"/>
                <w:lang w:val="en-US" w:eastAsia="zh-CN"/>
              </w:rPr>
              <w:t>3</w:t>
            </w:r>
            <w:r>
              <w:rPr>
                <w:rFonts w:hint="default" w:ascii="Times New Roman" w:hAnsi="宋体" w:eastAsia="宋体" w:cs="Times New Roman"/>
                <w:color w:val="000000"/>
                <w:sz w:val="24"/>
                <w:szCs w:val="24"/>
                <w:lang w:val="en-US" w:eastAsia="zh-CN"/>
              </w:rPr>
              <w:t>，则成品石料堆放量约为</w:t>
            </w:r>
            <w:r>
              <w:rPr>
                <w:rFonts w:hint="eastAsia" w:ascii="Times New Roman" w:hAnsi="宋体" w:eastAsia="宋体" w:cs="Times New Roman"/>
                <w:color w:val="000000"/>
                <w:sz w:val="24"/>
                <w:szCs w:val="24"/>
                <w:lang w:val="en-US" w:eastAsia="zh-CN"/>
              </w:rPr>
              <w:t>1802000</w:t>
            </w:r>
            <w:r>
              <w:rPr>
                <w:rFonts w:hint="default" w:ascii="Times New Roman" w:hAnsi="宋体" w:eastAsia="宋体" w:cs="Times New Roman"/>
                <w:color w:val="000000"/>
                <w:sz w:val="24"/>
                <w:szCs w:val="24"/>
                <w:lang w:val="en-US" w:eastAsia="zh-CN"/>
              </w:rPr>
              <w:t>t。</w:t>
            </w:r>
          </w:p>
          <w:p w14:paraId="5717DB76">
            <w:pPr>
              <w:spacing w:line="360" w:lineRule="auto"/>
              <w:ind w:firstLine="480"/>
              <w:rPr>
                <w:rFonts w:hint="default" w:ascii="Times New Roman" w:hAnsi="宋体" w:eastAsia="宋体" w:cs="Times New Roman"/>
                <w:color w:val="000000"/>
                <w:sz w:val="24"/>
                <w:szCs w:val="24"/>
                <w:lang w:val="en-US" w:eastAsia="zh-CN"/>
              </w:rPr>
            </w:pPr>
            <w:r>
              <w:rPr>
                <w:rFonts w:hint="default" w:ascii="Times New Roman" w:hAnsi="宋体" w:eastAsia="宋体" w:cs="Times New Roman"/>
                <w:color w:val="000000"/>
                <w:sz w:val="24"/>
                <w:szCs w:val="24"/>
                <w:lang w:val="en-US" w:eastAsia="zh-CN"/>
              </w:rPr>
              <w:t>通过计算，本项目排土场粉尘产生量约为</w:t>
            </w:r>
            <w:r>
              <w:rPr>
                <w:rFonts w:hint="eastAsia" w:ascii="Times New Roman" w:hAnsi="宋体" w:eastAsia="宋体" w:cs="Times New Roman"/>
                <w:color w:val="000000"/>
                <w:sz w:val="24"/>
                <w:szCs w:val="24"/>
                <w:lang w:val="en-US" w:eastAsia="zh-CN"/>
              </w:rPr>
              <w:t>13096</w:t>
            </w:r>
            <w:r>
              <w:rPr>
                <w:rFonts w:hint="default" w:ascii="Times New Roman" w:hAnsi="宋体" w:eastAsia="宋体" w:cs="Times New Roman"/>
                <w:color w:val="000000"/>
                <w:sz w:val="24"/>
                <w:szCs w:val="24"/>
                <w:lang w:val="en-US" w:eastAsia="zh-CN"/>
              </w:rPr>
              <w:t>mg/s（</w:t>
            </w:r>
            <w:r>
              <w:rPr>
                <w:rFonts w:hint="eastAsia" w:ascii="Times New Roman" w:hAnsi="宋体" w:eastAsia="宋体" w:cs="Times New Roman"/>
                <w:color w:val="000000"/>
                <w:sz w:val="24"/>
                <w:szCs w:val="24"/>
                <w:lang w:val="en-US" w:eastAsia="zh-CN"/>
              </w:rPr>
              <w:t>282.87</w:t>
            </w:r>
            <w:r>
              <w:rPr>
                <w:rFonts w:hint="default" w:ascii="Times New Roman" w:hAnsi="宋体" w:eastAsia="宋体" w:cs="Times New Roman"/>
                <w:color w:val="000000"/>
                <w:sz w:val="24"/>
                <w:szCs w:val="24"/>
                <w:lang w:val="en-US" w:eastAsia="zh-CN"/>
              </w:rPr>
              <w:t>t/a）。本项目对排土场采用防尘网覆盖，定期进行洒水降尘。通过类比同类项目，采取上述措施后，排土场粉尘产生量可减少90%左右，则</w:t>
            </w:r>
            <w:r>
              <w:rPr>
                <w:rFonts w:hint="eastAsia" w:ascii="Times New Roman" w:hAnsi="宋体" w:eastAsia="宋体" w:cs="Times New Roman"/>
                <w:color w:val="000000"/>
                <w:sz w:val="24"/>
                <w:szCs w:val="24"/>
                <w:lang w:val="en-US" w:eastAsia="zh-CN"/>
              </w:rPr>
              <w:t>排土场</w:t>
            </w:r>
            <w:r>
              <w:rPr>
                <w:rFonts w:hint="default" w:ascii="Times New Roman" w:hAnsi="宋体" w:eastAsia="宋体" w:cs="Times New Roman"/>
                <w:color w:val="000000"/>
                <w:sz w:val="24"/>
                <w:szCs w:val="24"/>
                <w:lang w:val="en-US" w:eastAsia="zh-CN"/>
              </w:rPr>
              <w:t>粉尘排放量约为</w:t>
            </w:r>
            <w:r>
              <w:rPr>
                <w:rFonts w:hint="eastAsia" w:ascii="Times New Roman" w:hAnsi="宋体" w:eastAsia="宋体" w:cs="Times New Roman"/>
                <w:color w:val="000000"/>
                <w:sz w:val="24"/>
                <w:szCs w:val="24"/>
                <w:lang w:val="en-US" w:eastAsia="zh-CN"/>
              </w:rPr>
              <w:t>1309.6</w:t>
            </w:r>
            <w:r>
              <w:rPr>
                <w:rFonts w:hint="default" w:ascii="Times New Roman" w:hAnsi="宋体" w:eastAsia="宋体" w:cs="Times New Roman"/>
                <w:color w:val="000000"/>
                <w:sz w:val="24"/>
                <w:szCs w:val="24"/>
                <w:lang w:val="en-US" w:eastAsia="zh-CN"/>
              </w:rPr>
              <w:t>mg/s（</w:t>
            </w:r>
            <w:r>
              <w:rPr>
                <w:rFonts w:hint="eastAsia" w:ascii="Times New Roman" w:hAnsi="宋体" w:eastAsia="宋体" w:cs="Times New Roman"/>
                <w:color w:val="000000"/>
                <w:sz w:val="24"/>
                <w:szCs w:val="24"/>
                <w:lang w:val="en-US" w:eastAsia="zh-CN"/>
              </w:rPr>
              <w:t>28.29</w:t>
            </w:r>
            <w:r>
              <w:rPr>
                <w:rFonts w:hint="default" w:ascii="Times New Roman" w:hAnsi="宋体" w:eastAsia="宋体" w:cs="Times New Roman"/>
                <w:color w:val="000000"/>
                <w:sz w:val="24"/>
                <w:szCs w:val="24"/>
                <w:lang w:val="en-US" w:eastAsia="zh-CN"/>
              </w:rPr>
              <w:t>t/a），以无组织形式排放。</w:t>
            </w:r>
          </w:p>
          <w:p w14:paraId="5450E408">
            <w:pPr>
              <w:spacing w:line="360" w:lineRule="auto"/>
              <w:ind w:firstLine="480"/>
              <w:rPr>
                <w:rFonts w:hint="eastAsia" w:hAnsi="宋体"/>
                <w:b/>
                <w:bCs/>
                <w:color w:val="000000"/>
                <w:sz w:val="24"/>
                <w:szCs w:val="24"/>
                <w:lang w:val="en-US" w:eastAsia="zh-CN"/>
              </w:rPr>
            </w:pPr>
            <w:r>
              <w:rPr>
                <w:rFonts w:hint="eastAsia" w:hAnsi="宋体"/>
                <w:b/>
                <w:bCs/>
                <w:color w:val="000000"/>
                <w:sz w:val="24"/>
                <w:szCs w:val="24"/>
                <w:lang w:val="en-US" w:eastAsia="zh-CN"/>
              </w:rPr>
              <w:t>（12）工程机械车辆尾气</w:t>
            </w:r>
          </w:p>
          <w:p w14:paraId="350C4BC8">
            <w:pPr>
              <w:spacing w:line="360" w:lineRule="auto"/>
              <w:ind w:firstLine="480" w:firstLineChars="200"/>
              <w:rPr>
                <w:rFonts w:hint="eastAsia"/>
                <w:sz w:val="24"/>
              </w:rPr>
            </w:pPr>
            <w:r>
              <w:rPr>
                <w:rFonts w:hint="eastAsia"/>
                <w:sz w:val="24"/>
              </w:rPr>
              <w:t>挖掘机、自卸卡车等重型机械和车辆运行过程中使用柴油，柴油燃烧产生尾气，属无组织排放，主要污染物为氮氧化物</w:t>
            </w:r>
            <w:r>
              <w:rPr>
                <w:rFonts w:hint="eastAsia"/>
                <w:sz w:val="24"/>
                <w:lang w:eastAsia="zh-CN"/>
              </w:rPr>
              <w:t>（</w:t>
            </w:r>
            <w:r>
              <w:rPr>
                <w:rFonts w:hint="eastAsia"/>
                <w:sz w:val="24"/>
              </w:rPr>
              <w:t>以NO</w:t>
            </w:r>
            <w:r>
              <w:rPr>
                <w:rFonts w:hint="eastAsia"/>
                <w:sz w:val="24"/>
                <w:vertAlign w:val="subscript"/>
              </w:rPr>
              <w:t>x</w:t>
            </w:r>
            <w:r>
              <w:rPr>
                <w:rFonts w:hint="eastAsia"/>
                <w:sz w:val="24"/>
              </w:rPr>
              <w:t>计</w:t>
            </w:r>
            <w:r>
              <w:rPr>
                <w:rFonts w:hint="eastAsia"/>
                <w:sz w:val="24"/>
                <w:lang w:eastAsia="zh-CN"/>
              </w:rPr>
              <w:t>）</w:t>
            </w:r>
            <w:r>
              <w:rPr>
                <w:rFonts w:hint="eastAsia"/>
                <w:sz w:val="24"/>
              </w:rPr>
              <w:t>和THC等，产生量较小。</w:t>
            </w:r>
            <w:r>
              <w:rPr>
                <w:rFonts w:hint="eastAsia"/>
                <w:sz w:val="24"/>
                <w:lang w:val="en-US" w:eastAsia="zh-CN"/>
              </w:rPr>
              <w:t>项目区</w:t>
            </w:r>
            <w:r>
              <w:rPr>
                <w:rFonts w:hint="eastAsia"/>
                <w:sz w:val="24"/>
              </w:rPr>
              <w:t>地势空旷易于污染物扩散，对周边环境空气影响不大。</w:t>
            </w:r>
          </w:p>
          <w:p w14:paraId="3C106E47">
            <w:pPr>
              <w:spacing w:line="360" w:lineRule="auto"/>
              <w:ind w:firstLine="480"/>
              <w:rPr>
                <w:sz w:val="24"/>
              </w:rPr>
            </w:pPr>
            <w:r>
              <w:rPr>
                <w:rFonts w:hint="eastAsia"/>
                <w:sz w:val="24"/>
              </w:rPr>
              <w:t>本项目运营期废</w:t>
            </w:r>
            <w:r>
              <w:rPr>
                <w:rFonts w:hint="eastAsia"/>
                <w:sz w:val="24"/>
                <w:lang w:val="en-US" w:eastAsia="zh-CN"/>
              </w:rPr>
              <w:t>气</w:t>
            </w:r>
            <w:r>
              <w:rPr>
                <w:rFonts w:hint="eastAsia"/>
                <w:sz w:val="24"/>
                <w:lang w:eastAsia="zh-CN"/>
              </w:rPr>
              <w:t>污染物</w:t>
            </w:r>
            <w:r>
              <w:rPr>
                <w:rFonts w:hint="eastAsia"/>
                <w:sz w:val="24"/>
              </w:rPr>
              <w:t>产生及排放情况见</w:t>
            </w:r>
            <w:r>
              <w:rPr>
                <w:rFonts w:hint="eastAsia"/>
                <w:sz w:val="24"/>
                <w:lang w:val="en-US" w:eastAsia="zh-CN"/>
              </w:rPr>
              <w:t>下</w:t>
            </w:r>
            <w:r>
              <w:rPr>
                <w:rFonts w:hint="eastAsia"/>
                <w:sz w:val="24"/>
              </w:rPr>
              <w:t>表。</w:t>
            </w:r>
          </w:p>
          <w:p w14:paraId="2565AC91">
            <w:pPr>
              <w:pStyle w:val="5"/>
              <w:bidi w:val="0"/>
            </w:pPr>
            <w:r>
              <w:rPr>
                <w:rFonts w:hint="eastAsia"/>
              </w:rPr>
              <w:t>表</w:t>
            </w:r>
            <w:r>
              <w:rPr>
                <w:rFonts w:hint="eastAsia"/>
                <w:lang w:val="en-US" w:eastAsia="zh-CN"/>
              </w:rPr>
              <w:t>4-2</w:t>
            </w:r>
            <w:r>
              <w:rPr>
                <w:rFonts w:hint="eastAsia"/>
              </w:rPr>
              <w:t xml:space="preserve">  本项目运营期废气污染物产生及排放情况</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78"/>
              <w:gridCol w:w="1909"/>
              <w:gridCol w:w="1466"/>
              <w:gridCol w:w="2099"/>
              <w:gridCol w:w="1820"/>
              <w:gridCol w:w="580"/>
            </w:tblGrid>
            <w:tr w14:paraId="53C60C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86" w:hRule="atLeast"/>
                <w:jc w:val="center"/>
              </w:trPr>
              <w:tc>
                <w:tcPr>
                  <w:tcW w:w="342" w:type="pct"/>
                  <w:tcBorders>
                    <w:tl2br w:val="nil"/>
                    <w:tr2bl w:val="nil"/>
                  </w:tcBorders>
                  <w:noWrap w:val="0"/>
                  <w:vAlign w:val="center"/>
                </w:tcPr>
                <w:p w14:paraId="67072ED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eastAsia="宋体"/>
                      <w:b/>
                      <w:bCs w:val="0"/>
                      <w:color w:val="000000"/>
                      <w:sz w:val="21"/>
                      <w:szCs w:val="21"/>
                      <w:lang w:val="en-US" w:eastAsia="zh-CN"/>
                    </w:rPr>
                  </w:pPr>
                  <w:r>
                    <w:rPr>
                      <w:rFonts w:hint="eastAsia"/>
                      <w:b/>
                      <w:bCs w:val="0"/>
                      <w:color w:val="000000"/>
                      <w:sz w:val="21"/>
                      <w:szCs w:val="21"/>
                      <w:lang w:val="en-US" w:eastAsia="zh-CN"/>
                    </w:rPr>
                    <w:t>序号</w:t>
                  </w:r>
                </w:p>
              </w:tc>
              <w:tc>
                <w:tcPr>
                  <w:tcW w:w="1129" w:type="pct"/>
                  <w:tcBorders>
                    <w:tl2br w:val="nil"/>
                    <w:tr2bl w:val="nil"/>
                  </w:tcBorders>
                  <w:noWrap w:val="0"/>
                  <w:vAlign w:val="center"/>
                </w:tcPr>
                <w:p w14:paraId="574A000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b/>
                      <w:bCs w:val="0"/>
                      <w:color w:val="000000"/>
                      <w:sz w:val="21"/>
                      <w:szCs w:val="21"/>
                    </w:rPr>
                  </w:pPr>
                  <w:r>
                    <w:rPr>
                      <w:b/>
                      <w:bCs w:val="0"/>
                      <w:color w:val="000000"/>
                      <w:sz w:val="21"/>
                      <w:szCs w:val="21"/>
                    </w:rPr>
                    <w:t>污染源</w:t>
                  </w:r>
                </w:p>
              </w:tc>
              <w:tc>
                <w:tcPr>
                  <w:tcW w:w="867" w:type="pct"/>
                  <w:tcBorders>
                    <w:tl2br w:val="nil"/>
                    <w:tr2bl w:val="nil"/>
                  </w:tcBorders>
                  <w:noWrap w:val="0"/>
                  <w:vAlign w:val="center"/>
                </w:tcPr>
                <w:p w14:paraId="38722C9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b/>
                      <w:bCs w:val="0"/>
                      <w:color w:val="000000"/>
                      <w:sz w:val="21"/>
                      <w:szCs w:val="21"/>
                    </w:rPr>
                  </w:pPr>
                  <w:r>
                    <w:rPr>
                      <w:b/>
                      <w:bCs w:val="0"/>
                      <w:color w:val="000000"/>
                      <w:sz w:val="21"/>
                      <w:szCs w:val="21"/>
                    </w:rPr>
                    <w:t>污染物</w:t>
                  </w:r>
                </w:p>
              </w:tc>
              <w:tc>
                <w:tcPr>
                  <w:tcW w:w="1241" w:type="pct"/>
                  <w:tcBorders>
                    <w:tl2br w:val="nil"/>
                    <w:tr2bl w:val="nil"/>
                  </w:tcBorders>
                  <w:noWrap w:val="0"/>
                  <w:vAlign w:val="center"/>
                </w:tcPr>
                <w:p w14:paraId="501B90B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b/>
                      <w:bCs w:val="0"/>
                      <w:color w:val="000000"/>
                      <w:sz w:val="21"/>
                      <w:szCs w:val="21"/>
                    </w:rPr>
                  </w:pPr>
                  <w:r>
                    <w:rPr>
                      <w:b/>
                      <w:bCs w:val="0"/>
                      <w:color w:val="000000"/>
                      <w:sz w:val="21"/>
                      <w:szCs w:val="21"/>
                    </w:rPr>
                    <w:t>污染物产生量（t/a）</w:t>
                  </w:r>
                </w:p>
              </w:tc>
              <w:tc>
                <w:tcPr>
                  <w:tcW w:w="1076" w:type="pct"/>
                  <w:tcBorders>
                    <w:tl2br w:val="nil"/>
                    <w:tr2bl w:val="nil"/>
                  </w:tcBorders>
                  <w:noWrap w:val="0"/>
                  <w:vAlign w:val="center"/>
                </w:tcPr>
                <w:p w14:paraId="2EA5F0F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b/>
                      <w:bCs w:val="0"/>
                      <w:color w:val="000000"/>
                      <w:sz w:val="21"/>
                      <w:szCs w:val="21"/>
                    </w:rPr>
                  </w:pPr>
                  <w:r>
                    <w:rPr>
                      <w:b/>
                      <w:bCs w:val="0"/>
                      <w:color w:val="000000"/>
                      <w:sz w:val="21"/>
                      <w:szCs w:val="21"/>
                    </w:rPr>
                    <w:t>污染物排放量（t/a）</w:t>
                  </w:r>
                </w:p>
              </w:tc>
              <w:tc>
                <w:tcPr>
                  <w:tcW w:w="343" w:type="pct"/>
                  <w:tcBorders>
                    <w:tl2br w:val="nil"/>
                    <w:tr2bl w:val="nil"/>
                  </w:tcBorders>
                  <w:noWrap w:val="0"/>
                  <w:vAlign w:val="center"/>
                </w:tcPr>
                <w:p w14:paraId="7974B56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b/>
                      <w:bCs w:val="0"/>
                      <w:color w:val="000000"/>
                      <w:sz w:val="21"/>
                      <w:szCs w:val="21"/>
                      <w:lang w:val="en-US" w:eastAsia="zh-CN"/>
                    </w:rPr>
                  </w:pPr>
                  <w:r>
                    <w:rPr>
                      <w:rFonts w:hint="eastAsia"/>
                      <w:b/>
                      <w:bCs w:val="0"/>
                      <w:color w:val="000000"/>
                      <w:sz w:val="21"/>
                      <w:szCs w:val="21"/>
                      <w:lang w:val="en-US" w:eastAsia="zh-CN"/>
                    </w:rPr>
                    <w:t>排放形式</w:t>
                  </w:r>
                </w:p>
              </w:tc>
            </w:tr>
            <w:tr w14:paraId="6CC628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2" w:hRule="atLeast"/>
                <w:jc w:val="center"/>
              </w:trPr>
              <w:tc>
                <w:tcPr>
                  <w:tcW w:w="342" w:type="pct"/>
                  <w:tcBorders>
                    <w:tl2br w:val="nil"/>
                    <w:tr2bl w:val="nil"/>
                  </w:tcBorders>
                  <w:noWrap w:val="0"/>
                  <w:vAlign w:val="center"/>
                </w:tcPr>
                <w:p w14:paraId="0D47784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1</w:t>
                  </w:r>
                </w:p>
              </w:tc>
              <w:tc>
                <w:tcPr>
                  <w:tcW w:w="1129" w:type="pct"/>
                  <w:tcBorders>
                    <w:tl2br w:val="nil"/>
                    <w:tr2bl w:val="nil"/>
                  </w:tcBorders>
                  <w:noWrap w:val="0"/>
                  <w:vAlign w:val="center"/>
                </w:tcPr>
                <w:p w14:paraId="09C974D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color w:val="000000"/>
                      <w:sz w:val="21"/>
                      <w:szCs w:val="21"/>
                      <w:lang w:val="en-US"/>
                    </w:rPr>
                  </w:pPr>
                  <w:r>
                    <w:rPr>
                      <w:rFonts w:hint="eastAsia" w:hAnsi="宋体"/>
                      <w:color w:val="000000"/>
                      <w:sz w:val="21"/>
                      <w:szCs w:val="21"/>
                      <w:lang w:val="en-US" w:eastAsia="zh-CN"/>
                    </w:rPr>
                    <w:t>表土剥离</w:t>
                  </w:r>
                </w:p>
              </w:tc>
              <w:tc>
                <w:tcPr>
                  <w:tcW w:w="867" w:type="pct"/>
                  <w:tcBorders>
                    <w:tl2br w:val="nil"/>
                    <w:tr2bl w:val="nil"/>
                  </w:tcBorders>
                  <w:noWrap w:val="0"/>
                  <w:vAlign w:val="center"/>
                </w:tcPr>
                <w:p w14:paraId="396A166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color w:val="000000"/>
                      <w:sz w:val="21"/>
                      <w:szCs w:val="21"/>
                    </w:rPr>
                  </w:pPr>
                  <w:r>
                    <w:rPr>
                      <w:rFonts w:hint="eastAsia"/>
                      <w:color w:val="000000"/>
                      <w:sz w:val="21"/>
                      <w:szCs w:val="21"/>
                    </w:rPr>
                    <w:t>粉尘</w:t>
                  </w:r>
                </w:p>
              </w:tc>
              <w:tc>
                <w:tcPr>
                  <w:tcW w:w="1241" w:type="pct"/>
                  <w:tcBorders>
                    <w:tl2br w:val="nil"/>
                    <w:tr2bl w:val="nil"/>
                  </w:tcBorders>
                  <w:noWrap w:val="0"/>
                  <w:vAlign w:val="center"/>
                </w:tcPr>
                <w:p w14:paraId="77A01D7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color w:val="000000"/>
                      <w:sz w:val="21"/>
                      <w:szCs w:val="21"/>
                      <w:lang w:val="en-US" w:eastAsia="zh-CN"/>
                    </w:rPr>
                    <w:t>2.4</w:t>
                  </w:r>
                </w:p>
              </w:tc>
              <w:tc>
                <w:tcPr>
                  <w:tcW w:w="1076" w:type="pct"/>
                  <w:tcBorders>
                    <w:tl2br w:val="nil"/>
                    <w:tr2bl w:val="nil"/>
                  </w:tcBorders>
                  <w:noWrap w:val="0"/>
                  <w:vAlign w:val="center"/>
                </w:tcPr>
                <w:p w14:paraId="45524C4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0.36</w:t>
                  </w:r>
                </w:p>
              </w:tc>
              <w:tc>
                <w:tcPr>
                  <w:tcW w:w="343" w:type="pct"/>
                  <w:vMerge w:val="restart"/>
                  <w:tcBorders>
                    <w:tl2br w:val="nil"/>
                    <w:tr2bl w:val="nil"/>
                  </w:tcBorders>
                  <w:noWrap w:val="0"/>
                  <w:vAlign w:val="center"/>
                </w:tcPr>
                <w:p w14:paraId="048E6BA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rPr>
                  </w:pPr>
                  <w:r>
                    <w:rPr>
                      <w:rFonts w:hint="eastAsia"/>
                      <w:color w:val="000000"/>
                      <w:sz w:val="21"/>
                      <w:szCs w:val="21"/>
                      <w:lang w:val="en-US" w:eastAsia="zh-CN"/>
                    </w:rPr>
                    <w:t>无组织</w:t>
                  </w:r>
                </w:p>
              </w:tc>
            </w:tr>
            <w:tr w14:paraId="1CF205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42" w:type="pct"/>
                  <w:tcBorders>
                    <w:tl2br w:val="nil"/>
                    <w:tr2bl w:val="nil"/>
                  </w:tcBorders>
                  <w:noWrap w:val="0"/>
                  <w:vAlign w:val="center"/>
                </w:tcPr>
                <w:p w14:paraId="6C597BE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2</w:t>
                  </w:r>
                </w:p>
              </w:tc>
              <w:tc>
                <w:tcPr>
                  <w:tcW w:w="1129" w:type="pct"/>
                  <w:tcBorders>
                    <w:tl2br w:val="nil"/>
                    <w:tr2bl w:val="nil"/>
                  </w:tcBorders>
                  <w:noWrap w:val="0"/>
                  <w:vAlign w:val="center"/>
                </w:tcPr>
                <w:p w14:paraId="19F6530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开采钻孔</w:t>
                  </w:r>
                </w:p>
              </w:tc>
              <w:tc>
                <w:tcPr>
                  <w:tcW w:w="867" w:type="pct"/>
                  <w:tcBorders>
                    <w:tl2br w:val="nil"/>
                    <w:tr2bl w:val="nil"/>
                  </w:tcBorders>
                  <w:noWrap w:val="0"/>
                  <w:vAlign w:val="center"/>
                </w:tcPr>
                <w:p w14:paraId="02EF20E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eastAsia="宋体"/>
                      <w:color w:val="000000"/>
                      <w:sz w:val="21"/>
                      <w:szCs w:val="21"/>
                      <w:lang w:val="en-US" w:eastAsia="zh-CN"/>
                    </w:rPr>
                  </w:pPr>
                  <w:r>
                    <w:rPr>
                      <w:rFonts w:hint="eastAsia"/>
                      <w:color w:val="000000"/>
                      <w:sz w:val="21"/>
                      <w:szCs w:val="21"/>
                      <w:lang w:val="en-US" w:eastAsia="zh-CN"/>
                    </w:rPr>
                    <w:t>粉尘</w:t>
                  </w:r>
                </w:p>
              </w:tc>
              <w:tc>
                <w:tcPr>
                  <w:tcW w:w="1241" w:type="pct"/>
                  <w:tcBorders>
                    <w:tl2br w:val="nil"/>
                    <w:tr2bl w:val="nil"/>
                  </w:tcBorders>
                  <w:noWrap w:val="0"/>
                  <w:vAlign w:val="center"/>
                </w:tcPr>
                <w:p w14:paraId="59CEF6F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4</w:t>
                  </w:r>
                </w:p>
              </w:tc>
              <w:tc>
                <w:tcPr>
                  <w:tcW w:w="1076" w:type="pct"/>
                  <w:tcBorders>
                    <w:tl2br w:val="nil"/>
                    <w:tr2bl w:val="nil"/>
                  </w:tcBorders>
                  <w:noWrap w:val="0"/>
                  <w:vAlign w:val="center"/>
                </w:tcPr>
                <w:p w14:paraId="4764A8B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0.2</w:t>
                  </w:r>
                </w:p>
              </w:tc>
              <w:tc>
                <w:tcPr>
                  <w:tcW w:w="343" w:type="pct"/>
                  <w:vMerge w:val="continue"/>
                  <w:tcBorders>
                    <w:tl2br w:val="nil"/>
                    <w:tr2bl w:val="nil"/>
                  </w:tcBorders>
                  <w:noWrap w:val="0"/>
                  <w:vAlign w:val="center"/>
                </w:tcPr>
                <w:p w14:paraId="6202586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p>
              </w:tc>
            </w:tr>
            <w:tr w14:paraId="2023A1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342" w:type="pct"/>
                  <w:tcBorders>
                    <w:tl2br w:val="nil"/>
                    <w:tr2bl w:val="nil"/>
                  </w:tcBorders>
                  <w:noWrap w:val="0"/>
                  <w:vAlign w:val="center"/>
                </w:tcPr>
                <w:p w14:paraId="002939D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3</w:t>
                  </w:r>
                </w:p>
              </w:tc>
              <w:tc>
                <w:tcPr>
                  <w:tcW w:w="1129" w:type="pct"/>
                  <w:tcBorders>
                    <w:tl2br w:val="nil"/>
                    <w:tr2bl w:val="nil"/>
                  </w:tcBorders>
                  <w:noWrap w:val="0"/>
                  <w:vAlign w:val="center"/>
                </w:tcPr>
                <w:p w14:paraId="349F103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爆破</w:t>
                  </w:r>
                </w:p>
              </w:tc>
              <w:tc>
                <w:tcPr>
                  <w:tcW w:w="867" w:type="pct"/>
                  <w:tcBorders>
                    <w:tl2br w:val="nil"/>
                    <w:tr2bl w:val="nil"/>
                  </w:tcBorders>
                  <w:noWrap w:val="0"/>
                  <w:vAlign w:val="center"/>
                </w:tcPr>
                <w:p w14:paraId="173B0F7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eastAsia="宋体"/>
                      <w:color w:val="000000"/>
                      <w:sz w:val="21"/>
                      <w:szCs w:val="21"/>
                      <w:lang w:val="en-US" w:eastAsia="zh-CN"/>
                    </w:rPr>
                  </w:pPr>
                  <w:r>
                    <w:rPr>
                      <w:rFonts w:hint="eastAsia"/>
                      <w:color w:val="000000"/>
                      <w:sz w:val="21"/>
                      <w:szCs w:val="21"/>
                      <w:lang w:val="en-US" w:eastAsia="zh-CN"/>
                    </w:rPr>
                    <w:t>粉尘</w:t>
                  </w:r>
                </w:p>
              </w:tc>
              <w:tc>
                <w:tcPr>
                  <w:tcW w:w="1241" w:type="pct"/>
                  <w:tcBorders>
                    <w:tl2br w:val="nil"/>
                    <w:tr2bl w:val="nil"/>
                  </w:tcBorders>
                  <w:noWrap w:val="0"/>
                  <w:vAlign w:val="center"/>
                </w:tcPr>
                <w:p w14:paraId="37FEC4D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80</w:t>
                  </w:r>
                </w:p>
              </w:tc>
              <w:tc>
                <w:tcPr>
                  <w:tcW w:w="1076" w:type="pct"/>
                  <w:tcBorders>
                    <w:tl2br w:val="nil"/>
                    <w:tr2bl w:val="nil"/>
                  </w:tcBorders>
                  <w:noWrap w:val="0"/>
                  <w:vAlign w:val="center"/>
                </w:tcPr>
                <w:p w14:paraId="090B7F3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6</w:t>
                  </w:r>
                </w:p>
              </w:tc>
              <w:tc>
                <w:tcPr>
                  <w:tcW w:w="343" w:type="pct"/>
                  <w:vMerge w:val="continue"/>
                  <w:tcBorders>
                    <w:tl2br w:val="nil"/>
                    <w:tr2bl w:val="nil"/>
                  </w:tcBorders>
                  <w:noWrap w:val="0"/>
                  <w:vAlign w:val="center"/>
                </w:tcPr>
                <w:p w14:paraId="054D818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p>
              </w:tc>
            </w:tr>
            <w:tr w14:paraId="71974F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42" w:type="pct"/>
                  <w:tcBorders>
                    <w:tl2br w:val="nil"/>
                    <w:tr2bl w:val="nil"/>
                  </w:tcBorders>
                  <w:noWrap w:val="0"/>
                  <w:vAlign w:val="center"/>
                </w:tcPr>
                <w:p w14:paraId="2A70321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4</w:t>
                  </w:r>
                </w:p>
              </w:tc>
              <w:tc>
                <w:tcPr>
                  <w:tcW w:w="1129" w:type="pct"/>
                  <w:tcBorders>
                    <w:tl2br w:val="nil"/>
                    <w:tr2bl w:val="nil"/>
                  </w:tcBorders>
                  <w:noWrap w:val="0"/>
                  <w:vAlign w:val="center"/>
                </w:tcPr>
                <w:p w14:paraId="16D719F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二次破碎</w:t>
                  </w:r>
                </w:p>
              </w:tc>
              <w:tc>
                <w:tcPr>
                  <w:tcW w:w="867" w:type="pct"/>
                  <w:tcBorders>
                    <w:tl2br w:val="nil"/>
                    <w:tr2bl w:val="nil"/>
                  </w:tcBorders>
                  <w:noWrap w:val="0"/>
                  <w:vAlign w:val="center"/>
                </w:tcPr>
                <w:p w14:paraId="58235F9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color w:val="000000"/>
                      <w:sz w:val="21"/>
                      <w:szCs w:val="21"/>
                      <w:lang w:val="en-US" w:eastAsia="zh-CN"/>
                    </w:rPr>
                  </w:pPr>
                  <w:r>
                    <w:rPr>
                      <w:rFonts w:hint="eastAsia"/>
                      <w:color w:val="000000"/>
                      <w:sz w:val="21"/>
                      <w:szCs w:val="21"/>
                      <w:lang w:val="en-US" w:eastAsia="zh-CN"/>
                    </w:rPr>
                    <w:t>粉尘</w:t>
                  </w:r>
                </w:p>
              </w:tc>
              <w:tc>
                <w:tcPr>
                  <w:tcW w:w="1241" w:type="pct"/>
                  <w:tcBorders>
                    <w:tl2br w:val="nil"/>
                    <w:tr2bl w:val="nil"/>
                  </w:tcBorders>
                  <w:noWrap w:val="0"/>
                  <w:vAlign w:val="center"/>
                </w:tcPr>
                <w:p w14:paraId="275C129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color w:val="000000"/>
                      <w:sz w:val="21"/>
                      <w:szCs w:val="21"/>
                      <w:lang w:val="en-US" w:eastAsia="zh-CN"/>
                    </w:rPr>
                  </w:pPr>
                  <w:r>
                    <w:rPr>
                      <w:rFonts w:hint="eastAsia"/>
                      <w:color w:val="000000"/>
                      <w:sz w:val="21"/>
                      <w:szCs w:val="21"/>
                      <w:lang w:val="en-US" w:eastAsia="zh-CN"/>
                    </w:rPr>
                    <w:t>0.8</w:t>
                  </w:r>
                </w:p>
              </w:tc>
              <w:tc>
                <w:tcPr>
                  <w:tcW w:w="1076" w:type="pct"/>
                  <w:tcBorders>
                    <w:tl2br w:val="nil"/>
                    <w:tr2bl w:val="nil"/>
                  </w:tcBorders>
                  <w:noWrap w:val="0"/>
                  <w:vAlign w:val="center"/>
                </w:tcPr>
                <w:p w14:paraId="35CDF58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0.12</w:t>
                  </w:r>
                </w:p>
              </w:tc>
              <w:tc>
                <w:tcPr>
                  <w:tcW w:w="343" w:type="pct"/>
                  <w:vMerge w:val="continue"/>
                  <w:tcBorders>
                    <w:tl2br w:val="nil"/>
                    <w:tr2bl w:val="nil"/>
                  </w:tcBorders>
                  <w:noWrap w:val="0"/>
                  <w:vAlign w:val="center"/>
                </w:tcPr>
                <w:p w14:paraId="09F4A02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p>
              </w:tc>
            </w:tr>
            <w:tr w14:paraId="1C7827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42" w:type="pct"/>
                  <w:tcBorders>
                    <w:tl2br w:val="nil"/>
                    <w:tr2bl w:val="nil"/>
                  </w:tcBorders>
                  <w:noWrap w:val="0"/>
                  <w:vAlign w:val="center"/>
                </w:tcPr>
                <w:p w14:paraId="36BE218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5</w:t>
                  </w:r>
                </w:p>
              </w:tc>
              <w:tc>
                <w:tcPr>
                  <w:tcW w:w="1129" w:type="pct"/>
                  <w:tcBorders>
                    <w:tl2br w:val="nil"/>
                    <w:tr2bl w:val="nil"/>
                  </w:tcBorders>
                  <w:noWrap w:val="0"/>
                  <w:vAlign w:val="center"/>
                </w:tcPr>
                <w:p w14:paraId="49416F6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上料进料口</w:t>
                  </w:r>
                </w:p>
              </w:tc>
              <w:tc>
                <w:tcPr>
                  <w:tcW w:w="867" w:type="pct"/>
                  <w:tcBorders>
                    <w:tl2br w:val="nil"/>
                    <w:tr2bl w:val="nil"/>
                  </w:tcBorders>
                  <w:noWrap w:val="0"/>
                  <w:vAlign w:val="center"/>
                </w:tcPr>
                <w:p w14:paraId="2BF2783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r>
                    <w:rPr>
                      <w:rFonts w:hint="eastAsia"/>
                      <w:color w:val="000000"/>
                      <w:sz w:val="21"/>
                      <w:szCs w:val="21"/>
                      <w:lang w:val="en-US" w:eastAsia="zh-CN"/>
                    </w:rPr>
                    <w:t>粉尘</w:t>
                  </w:r>
                </w:p>
              </w:tc>
              <w:tc>
                <w:tcPr>
                  <w:tcW w:w="1241" w:type="pct"/>
                  <w:tcBorders>
                    <w:tl2br w:val="nil"/>
                    <w:tr2bl w:val="nil"/>
                  </w:tcBorders>
                  <w:noWrap w:val="0"/>
                  <w:vAlign w:val="center"/>
                </w:tcPr>
                <w:p w14:paraId="2D60426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color w:val="000000"/>
                      <w:sz w:val="21"/>
                      <w:szCs w:val="21"/>
                      <w:lang w:val="en-US" w:eastAsia="zh-CN"/>
                    </w:rPr>
                  </w:pPr>
                  <w:r>
                    <w:rPr>
                      <w:rFonts w:hint="eastAsia"/>
                      <w:color w:val="000000"/>
                      <w:sz w:val="21"/>
                      <w:szCs w:val="21"/>
                      <w:lang w:val="en-US" w:eastAsia="zh-CN"/>
                    </w:rPr>
                    <w:t>10</w:t>
                  </w:r>
                </w:p>
              </w:tc>
              <w:tc>
                <w:tcPr>
                  <w:tcW w:w="1076" w:type="pct"/>
                  <w:tcBorders>
                    <w:tl2br w:val="nil"/>
                    <w:tr2bl w:val="nil"/>
                  </w:tcBorders>
                  <w:noWrap w:val="0"/>
                  <w:vAlign w:val="center"/>
                </w:tcPr>
                <w:p w14:paraId="5956E1C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3</w:t>
                  </w:r>
                </w:p>
              </w:tc>
              <w:tc>
                <w:tcPr>
                  <w:tcW w:w="343" w:type="pct"/>
                  <w:vMerge w:val="continue"/>
                  <w:tcBorders>
                    <w:tl2br w:val="nil"/>
                    <w:tr2bl w:val="nil"/>
                  </w:tcBorders>
                  <w:noWrap w:val="0"/>
                  <w:vAlign w:val="center"/>
                </w:tcPr>
                <w:p w14:paraId="4B8B2B6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p>
              </w:tc>
            </w:tr>
            <w:tr w14:paraId="667366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42" w:type="pct"/>
                  <w:tcBorders>
                    <w:tl2br w:val="nil"/>
                    <w:tr2bl w:val="nil"/>
                  </w:tcBorders>
                  <w:noWrap w:val="0"/>
                  <w:vAlign w:val="center"/>
                </w:tcPr>
                <w:p w14:paraId="0EC20EB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6</w:t>
                  </w:r>
                </w:p>
              </w:tc>
              <w:tc>
                <w:tcPr>
                  <w:tcW w:w="1129" w:type="pct"/>
                  <w:tcBorders>
                    <w:tl2br w:val="nil"/>
                    <w:tr2bl w:val="nil"/>
                  </w:tcBorders>
                  <w:noWrap w:val="0"/>
                  <w:vAlign w:val="center"/>
                </w:tcPr>
                <w:p w14:paraId="6C23123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加工破碎</w:t>
                  </w:r>
                </w:p>
              </w:tc>
              <w:tc>
                <w:tcPr>
                  <w:tcW w:w="867" w:type="pct"/>
                  <w:tcBorders>
                    <w:tl2br w:val="nil"/>
                    <w:tr2bl w:val="nil"/>
                  </w:tcBorders>
                  <w:noWrap w:val="0"/>
                  <w:vAlign w:val="center"/>
                </w:tcPr>
                <w:p w14:paraId="1A9067D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r>
                    <w:rPr>
                      <w:rFonts w:hint="eastAsia"/>
                      <w:color w:val="000000"/>
                      <w:sz w:val="21"/>
                      <w:szCs w:val="21"/>
                      <w:lang w:val="en-US" w:eastAsia="zh-CN"/>
                    </w:rPr>
                    <w:t>粉尘</w:t>
                  </w:r>
                </w:p>
              </w:tc>
              <w:tc>
                <w:tcPr>
                  <w:tcW w:w="1241" w:type="pct"/>
                  <w:tcBorders>
                    <w:tl2br w:val="nil"/>
                    <w:tr2bl w:val="nil"/>
                  </w:tcBorders>
                  <w:noWrap w:val="0"/>
                  <w:vAlign w:val="center"/>
                </w:tcPr>
                <w:p w14:paraId="206C621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33.2</w:t>
                  </w:r>
                </w:p>
              </w:tc>
              <w:tc>
                <w:tcPr>
                  <w:tcW w:w="1076" w:type="pct"/>
                  <w:tcBorders>
                    <w:tl2br w:val="nil"/>
                    <w:tr2bl w:val="nil"/>
                  </w:tcBorders>
                  <w:noWrap w:val="0"/>
                  <w:vAlign w:val="center"/>
                </w:tcPr>
                <w:p w14:paraId="1998312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3.32</w:t>
                  </w:r>
                </w:p>
              </w:tc>
              <w:tc>
                <w:tcPr>
                  <w:tcW w:w="343" w:type="pct"/>
                  <w:vMerge w:val="continue"/>
                  <w:tcBorders>
                    <w:tl2br w:val="nil"/>
                    <w:tr2bl w:val="nil"/>
                  </w:tcBorders>
                  <w:noWrap w:val="0"/>
                  <w:vAlign w:val="center"/>
                </w:tcPr>
                <w:p w14:paraId="5287906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p>
              </w:tc>
            </w:tr>
            <w:tr w14:paraId="226EF3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42" w:type="pct"/>
                  <w:tcBorders>
                    <w:tl2br w:val="nil"/>
                    <w:tr2bl w:val="nil"/>
                  </w:tcBorders>
                  <w:noWrap w:val="0"/>
                  <w:vAlign w:val="center"/>
                </w:tcPr>
                <w:p w14:paraId="183C4CA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7</w:t>
                  </w:r>
                </w:p>
              </w:tc>
              <w:tc>
                <w:tcPr>
                  <w:tcW w:w="1129" w:type="pct"/>
                  <w:tcBorders>
                    <w:tl2br w:val="nil"/>
                    <w:tr2bl w:val="nil"/>
                  </w:tcBorders>
                  <w:noWrap w:val="0"/>
                  <w:vAlign w:val="center"/>
                </w:tcPr>
                <w:p w14:paraId="53256CA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筛分</w:t>
                  </w:r>
                </w:p>
              </w:tc>
              <w:tc>
                <w:tcPr>
                  <w:tcW w:w="867" w:type="pct"/>
                  <w:tcBorders>
                    <w:tl2br w:val="nil"/>
                    <w:tr2bl w:val="nil"/>
                  </w:tcBorders>
                  <w:noWrap w:val="0"/>
                  <w:vAlign w:val="center"/>
                </w:tcPr>
                <w:p w14:paraId="3C1A58A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r>
                    <w:rPr>
                      <w:rFonts w:hint="eastAsia"/>
                      <w:color w:val="000000"/>
                      <w:sz w:val="21"/>
                      <w:szCs w:val="21"/>
                      <w:lang w:val="en-US" w:eastAsia="zh-CN"/>
                    </w:rPr>
                    <w:t>粉尘</w:t>
                  </w:r>
                </w:p>
              </w:tc>
              <w:tc>
                <w:tcPr>
                  <w:tcW w:w="1241" w:type="pct"/>
                  <w:tcBorders>
                    <w:tl2br w:val="nil"/>
                    <w:tr2bl w:val="nil"/>
                  </w:tcBorders>
                  <w:noWrap w:val="0"/>
                  <w:vAlign w:val="center"/>
                </w:tcPr>
                <w:p w14:paraId="6D8CCC7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color w:val="000000"/>
                      <w:sz w:val="21"/>
                      <w:szCs w:val="21"/>
                      <w:lang w:val="en-US" w:eastAsia="zh-CN"/>
                    </w:rPr>
                  </w:pPr>
                  <w:r>
                    <w:rPr>
                      <w:rFonts w:hint="eastAsia"/>
                      <w:color w:val="000000"/>
                      <w:sz w:val="21"/>
                      <w:szCs w:val="21"/>
                      <w:lang w:val="en-US" w:eastAsia="zh-CN"/>
                    </w:rPr>
                    <w:t>750</w:t>
                  </w:r>
                </w:p>
              </w:tc>
              <w:tc>
                <w:tcPr>
                  <w:tcW w:w="1076" w:type="pct"/>
                  <w:tcBorders>
                    <w:tl2br w:val="nil"/>
                    <w:tr2bl w:val="nil"/>
                  </w:tcBorders>
                  <w:noWrap w:val="0"/>
                  <w:vAlign w:val="center"/>
                </w:tcPr>
                <w:p w14:paraId="54FAFA7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33.75</w:t>
                  </w:r>
                </w:p>
              </w:tc>
              <w:tc>
                <w:tcPr>
                  <w:tcW w:w="343" w:type="pct"/>
                  <w:vMerge w:val="continue"/>
                  <w:tcBorders>
                    <w:tl2br w:val="nil"/>
                    <w:tr2bl w:val="nil"/>
                  </w:tcBorders>
                  <w:noWrap w:val="0"/>
                  <w:vAlign w:val="center"/>
                </w:tcPr>
                <w:p w14:paraId="2876E26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p>
              </w:tc>
            </w:tr>
            <w:tr w14:paraId="5BF5AB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42" w:type="pct"/>
                  <w:tcBorders>
                    <w:tl2br w:val="nil"/>
                    <w:tr2bl w:val="nil"/>
                  </w:tcBorders>
                  <w:noWrap w:val="0"/>
                  <w:vAlign w:val="center"/>
                </w:tcPr>
                <w:p w14:paraId="422FFD8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8</w:t>
                  </w:r>
                </w:p>
              </w:tc>
              <w:tc>
                <w:tcPr>
                  <w:tcW w:w="1129" w:type="pct"/>
                  <w:tcBorders>
                    <w:tl2br w:val="nil"/>
                    <w:tr2bl w:val="nil"/>
                  </w:tcBorders>
                  <w:noWrap w:val="0"/>
                  <w:vAlign w:val="center"/>
                </w:tcPr>
                <w:p w14:paraId="6B843AD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成品堆场</w:t>
                  </w:r>
                </w:p>
              </w:tc>
              <w:tc>
                <w:tcPr>
                  <w:tcW w:w="867" w:type="pct"/>
                  <w:tcBorders>
                    <w:tl2br w:val="nil"/>
                    <w:tr2bl w:val="nil"/>
                  </w:tcBorders>
                  <w:noWrap w:val="0"/>
                  <w:vAlign w:val="center"/>
                </w:tcPr>
                <w:p w14:paraId="2198AE0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r>
                    <w:rPr>
                      <w:rFonts w:hint="eastAsia"/>
                      <w:color w:val="000000"/>
                      <w:sz w:val="21"/>
                      <w:szCs w:val="21"/>
                      <w:lang w:val="en-US" w:eastAsia="zh-CN"/>
                    </w:rPr>
                    <w:t>粉尘</w:t>
                  </w:r>
                </w:p>
              </w:tc>
              <w:tc>
                <w:tcPr>
                  <w:tcW w:w="1241" w:type="pct"/>
                  <w:tcBorders>
                    <w:tl2br w:val="nil"/>
                    <w:tr2bl w:val="nil"/>
                  </w:tcBorders>
                  <w:noWrap w:val="0"/>
                  <w:vAlign w:val="center"/>
                </w:tcPr>
                <w:p w14:paraId="7DAB491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color w:val="000000"/>
                      <w:sz w:val="21"/>
                      <w:szCs w:val="21"/>
                      <w:lang w:val="en-US" w:eastAsia="zh-CN"/>
                    </w:rPr>
                  </w:pPr>
                  <w:r>
                    <w:rPr>
                      <w:rFonts w:hint="eastAsia"/>
                      <w:color w:val="000000"/>
                      <w:sz w:val="21"/>
                      <w:szCs w:val="21"/>
                      <w:lang w:val="en-US" w:eastAsia="zh-CN"/>
                    </w:rPr>
                    <w:t>21.08</w:t>
                  </w:r>
                </w:p>
              </w:tc>
              <w:tc>
                <w:tcPr>
                  <w:tcW w:w="1076" w:type="pct"/>
                  <w:tcBorders>
                    <w:tl2br w:val="nil"/>
                    <w:tr2bl w:val="nil"/>
                  </w:tcBorders>
                  <w:noWrap w:val="0"/>
                  <w:vAlign w:val="center"/>
                </w:tcPr>
                <w:p w14:paraId="0E77944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4.22</w:t>
                  </w:r>
                </w:p>
              </w:tc>
              <w:tc>
                <w:tcPr>
                  <w:tcW w:w="343" w:type="pct"/>
                  <w:vMerge w:val="continue"/>
                  <w:tcBorders>
                    <w:tl2br w:val="nil"/>
                    <w:tr2bl w:val="nil"/>
                  </w:tcBorders>
                  <w:noWrap w:val="0"/>
                  <w:vAlign w:val="center"/>
                </w:tcPr>
                <w:p w14:paraId="6F32E84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p>
              </w:tc>
            </w:tr>
            <w:tr w14:paraId="7D2CDB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42" w:type="pct"/>
                  <w:tcBorders>
                    <w:tl2br w:val="nil"/>
                    <w:tr2bl w:val="nil"/>
                  </w:tcBorders>
                  <w:noWrap w:val="0"/>
                  <w:vAlign w:val="center"/>
                </w:tcPr>
                <w:p w14:paraId="7D90AA9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9</w:t>
                  </w:r>
                </w:p>
              </w:tc>
              <w:tc>
                <w:tcPr>
                  <w:tcW w:w="1129" w:type="pct"/>
                  <w:tcBorders>
                    <w:tl2br w:val="nil"/>
                    <w:tr2bl w:val="nil"/>
                  </w:tcBorders>
                  <w:noWrap w:val="0"/>
                  <w:vAlign w:val="center"/>
                </w:tcPr>
                <w:p w14:paraId="58D3B20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装卸</w:t>
                  </w:r>
                </w:p>
              </w:tc>
              <w:tc>
                <w:tcPr>
                  <w:tcW w:w="867" w:type="pct"/>
                  <w:tcBorders>
                    <w:tl2br w:val="nil"/>
                    <w:tr2bl w:val="nil"/>
                  </w:tcBorders>
                  <w:noWrap w:val="0"/>
                  <w:vAlign w:val="center"/>
                </w:tcPr>
                <w:p w14:paraId="0022422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r>
                    <w:rPr>
                      <w:rFonts w:hint="eastAsia"/>
                      <w:color w:val="000000"/>
                      <w:sz w:val="21"/>
                      <w:szCs w:val="21"/>
                      <w:lang w:val="en-US" w:eastAsia="zh-CN"/>
                    </w:rPr>
                    <w:t>粉尘</w:t>
                  </w:r>
                </w:p>
              </w:tc>
              <w:tc>
                <w:tcPr>
                  <w:tcW w:w="1241" w:type="pct"/>
                  <w:tcBorders>
                    <w:tl2br w:val="nil"/>
                    <w:tr2bl w:val="nil"/>
                  </w:tcBorders>
                  <w:noWrap w:val="0"/>
                  <w:vAlign w:val="center"/>
                </w:tcPr>
                <w:p w14:paraId="107A1A0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color w:val="000000"/>
                      <w:sz w:val="21"/>
                      <w:szCs w:val="21"/>
                      <w:lang w:val="en-US" w:eastAsia="zh-CN"/>
                    </w:rPr>
                  </w:pPr>
                  <w:r>
                    <w:rPr>
                      <w:rFonts w:hint="eastAsia"/>
                      <w:color w:val="000000"/>
                      <w:sz w:val="21"/>
                      <w:szCs w:val="21"/>
                      <w:lang w:val="en-US" w:eastAsia="zh-CN"/>
                    </w:rPr>
                    <w:t>0.27</w:t>
                  </w:r>
                </w:p>
              </w:tc>
              <w:tc>
                <w:tcPr>
                  <w:tcW w:w="1076" w:type="pct"/>
                  <w:tcBorders>
                    <w:tl2br w:val="nil"/>
                    <w:tr2bl w:val="nil"/>
                  </w:tcBorders>
                  <w:noWrap w:val="0"/>
                  <w:vAlign w:val="center"/>
                </w:tcPr>
                <w:p w14:paraId="65971C0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0.27</w:t>
                  </w:r>
                </w:p>
              </w:tc>
              <w:tc>
                <w:tcPr>
                  <w:tcW w:w="343" w:type="pct"/>
                  <w:vMerge w:val="continue"/>
                  <w:tcBorders>
                    <w:tl2br w:val="nil"/>
                    <w:tr2bl w:val="nil"/>
                  </w:tcBorders>
                  <w:noWrap w:val="0"/>
                  <w:vAlign w:val="center"/>
                </w:tcPr>
                <w:p w14:paraId="2CEAFA2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p>
              </w:tc>
            </w:tr>
            <w:tr w14:paraId="054C89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42" w:type="pct"/>
                  <w:tcBorders>
                    <w:tl2br w:val="nil"/>
                    <w:tr2bl w:val="nil"/>
                  </w:tcBorders>
                  <w:noWrap w:val="0"/>
                  <w:vAlign w:val="center"/>
                </w:tcPr>
                <w:p w14:paraId="1EC4A39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10</w:t>
                  </w:r>
                </w:p>
              </w:tc>
              <w:tc>
                <w:tcPr>
                  <w:tcW w:w="1129" w:type="pct"/>
                  <w:tcBorders>
                    <w:tl2br w:val="nil"/>
                    <w:tr2bl w:val="nil"/>
                  </w:tcBorders>
                  <w:noWrap w:val="0"/>
                  <w:vAlign w:val="center"/>
                </w:tcPr>
                <w:p w14:paraId="5329B76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道路运输</w:t>
                  </w:r>
                </w:p>
              </w:tc>
              <w:tc>
                <w:tcPr>
                  <w:tcW w:w="867" w:type="pct"/>
                  <w:tcBorders>
                    <w:tl2br w:val="nil"/>
                    <w:tr2bl w:val="nil"/>
                  </w:tcBorders>
                  <w:noWrap w:val="0"/>
                  <w:vAlign w:val="center"/>
                </w:tcPr>
                <w:p w14:paraId="2E6B448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r>
                    <w:rPr>
                      <w:rFonts w:hint="eastAsia"/>
                      <w:color w:val="000000"/>
                      <w:sz w:val="21"/>
                      <w:szCs w:val="21"/>
                      <w:lang w:val="en-US" w:eastAsia="zh-CN"/>
                    </w:rPr>
                    <w:t>粉尘</w:t>
                  </w:r>
                </w:p>
              </w:tc>
              <w:tc>
                <w:tcPr>
                  <w:tcW w:w="1241" w:type="pct"/>
                  <w:tcBorders>
                    <w:tl2br w:val="nil"/>
                    <w:tr2bl w:val="nil"/>
                  </w:tcBorders>
                  <w:noWrap w:val="0"/>
                  <w:vAlign w:val="center"/>
                </w:tcPr>
                <w:p w14:paraId="0EF2AAF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color w:val="000000"/>
                      <w:sz w:val="21"/>
                      <w:szCs w:val="21"/>
                      <w:lang w:val="en-US" w:eastAsia="zh-CN"/>
                    </w:rPr>
                  </w:pPr>
                  <w:r>
                    <w:rPr>
                      <w:rFonts w:hint="eastAsia"/>
                      <w:color w:val="000000"/>
                      <w:sz w:val="21"/>
                      <w:szCs w:val="21"/>
                      <w:lang w:val="en-US" w:eastAsia="zh-CN"/>
                    </w:rPr>
                    <w:t>6.08</w:t>
                  </w:r>
                </w:p>
              </w:tc>
              <w:tc>
                <w:tcPr>
                  <w:tcW w:w="1076" w:type="pct"/>
                  <w:tcBorders>
                    <w:tl2br w:val="nil"/>
                    <w:tr2bl w:val="nil"/>
                  </w:tcBorders>
                  <w:noWrap w:val="0"/>
                  <w:vAlign w:val="center"/>
                </w:tcPr>
                <w:p w14:paraId="0BCBC26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1.8</w:t>
                  </w:r>
                </w:p>
              </w:tc>
              <w:tc>
                <w:tcPr>
                  <w:tcW w:w="343" w:type="pct"/>
                  <w:vMerge w:val="continue"/>
                  <w:tcBorders>
                    <w:tl2br w:val="nil"/>
                    <w:tr2bl w:val="nil"/>
                  </w:tcBorders>
                  <w:noWrap w:val="0"/>
                  <w:vAlign w:val="center"/>
                </w:tcPr>
                <w:p w14:paraId="2542C46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p>
              </w:tc>
            </w:tr>
            <w:tr w14:paraId="063822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42" w:type="pct"/>
                  <w:tcBorders>
                    <w:tl2br w:val="nil"/>
                    <w:tr2bl w:val="nil"/>
                  </w:tcBorders>
                  <w:noWrap w:val="0"/>
                  <w:vAlign w:val="center"/>
                </w:tcPr>
                <w:p w14:paraId="77F73AA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11</w:t>
                  </w:r>
                </w:p>
              </w:tc>
              <w:tc>
                <w:tcPr>
                  <w:tcW w:w="1129" w:type="pct"/>
                  <w:tcBorders>
                    <w:tl2br w:val="nil"/>
                    <w:tr2bl w:val="nil"/>
                  </w:tcBorders>
                  <w:noWrap w:val="0"/>
                  <w:vAlign w:val="center"/>
                </w:tcPr>
                <w:p w14:paraId="078CE0B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排土场</w:t>
                  </w:r>
                </w:p>
              </w:tc>
              <w:tc>
                <w:tcPr>
                  <w:tcW w:w="867" w:type="pct"/>
                  <w:tcBorders>
                    <w:tl2br w:val="nil"/>
                    <w:tr2bl w:val="nil"/>
                  </w:tcBorders>
                  <w:noWrap w:val="0"/>
                  <w:vAlign w:val="center"/>
                </w:tcPr>
                <w:p w14:paraId="051EB6D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r>
                    <w:rPr>
                      <w:rFonts w:hint="eastAsia"/>
                      <w:color w:val="000000"/>
                      <w:sz w:val="21"/>
                      <w:szCs w:val="21"/>
                      <w:lang w:val="en-US" w:eastAsia="zh-CN"/>
                    </w:rPr>
                    <w:t>粉尘</w:t>
                  </w:r>
                </w:p>
              </w:tc>
              <w:tc>
                <w:tcPr>
                  <w:tcW w:w="1241" w:type="pct"/>
                  <w:tcBorders>
                    <w:tl2br w:val="nil"/>
                    <w:tr2bl w:val="nil"/>
                  </w:tcBorders>
                  <w:noWrap w:val="0"/>
                  <w:vAlign w:val="center"/>
                </w:tcPr>
                <w:p w14:paraId="275B037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color w:val="000000"/>
                      <w:sz w:val="21"/>
                      <w:szCs w:val="21"/>
                      <w:lang w:val="en-US" w:eastAsia="zh-CN"/>
                    </w:rPr>
                  </w:pPr>
                  <w:r>
                    <w:rPr>
                      <w:rFonts w:hint="eastAsia"/>
                      <w:color w:val="000000"/>
                      <w:sz w:val="21"/>
                      <w:szCs w:val="21"/>
                      <w:lang w:val="en-US" w:eastAsia="zh-CN"/>
                    </w:rPr>
                    <w:t>282.87</w:t>
                  </w:r>
                </w:p>
              </w:tc>
              <w:tc>
                <w:tcPr>
                  <w:tcW w:w="1076" w:type="pct"/>
                  <w:tcBorders>
                    <w:tl2br w:val="nil"/>
                    <w:tr2bl w:val="nil"/>
                  </w:tcBorders>
                  <w:noWrap w:val="0"/>
                  <w:vAlign w:val="center"/>
                </w:tcPr>
                <w:p w14:paraId="50FC39F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default" w:eastAsia="宋体"/>
                      <w:color w:val="000000"/>
                      <w:sz w:val="21"/>
                      <w:szCs w:val="21"/>
                      <w:lang w:val="en-US" w:eastAsia="zh-CN"/>
                    </w:rPr>
                  </w:pPr>
                  <w:r>
                    <w:rPr>
                      <w:rFonts w:hint="eastAsia" w:eastAsia="宋体"/>
                      <w:color w:val="000000"/>
                      <w:sz w:val="21"/>
                      <w:szCs w:val="21"/>
                      <w:lang w:val="en-US" w:eastAsia="zh-CN"/>
                    </w:rPr>
                    <w:t>28.29</w:t>
                  </w:r>
                </w:p>
              </w:tc>
              <w:tc>
                <w:tcPr>
                  <w:tcW w:w="343" w:type="pct"/>
                  <w:vMerge w:val="continue"/>
                  <w:tcBorders>
                    <w:tl2br w:val="nil"/>
                    <w:tr2bl w:val="nil"/>
                  </w:tcBorders>
                  <w:noWrap w:val="0"/>
                  <w:vAlign w:val="center"/>
                </w:tcPr>
                <w:p w14:paraId="7451584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lang w:val="en-US" w:eastAsia="zh-CN"/>
                    </w:rPr>
                  </w:pPr>
                </w:p>
              </w:tc>
            </w:tr>
            <w:tr w14:paraId="7DB252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42" w:type="pct"/>
                  <w:tcBorders>
                    <w:tl2br w:val="nil"/>
                    <w:tr2bl w:val="nil"/>
                  </w:tcBorders>
                  <w:noWrap w:val="0"/>
                  <w:vAlign w:val="center"/>
                </w:tcPr>
                <w:p w14:paraId="77407C3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hAnsi="宋体"/>
                      <w:color w:val="000000"/>
                      <w:sz w:val="21"/>
                      <w:szCs w:val="21"/>
                      <w:lang w:val="en-US" w:eastAsia="zh-CN"/>
                    </w:rPr>
                  </w:pPr>
                  <w:r>
                    <w:rPr>
                      <w:rFonts w:hint="eastAsia" w:hAnsi="宋体"/>
                      <w:color w:val="000000"/>
                      <w:sz w:val="21"/>
                      <w:szCs w:val="21"/>
                      <w:lang w:val="en-US" w:eastAsia="zh-CN"/>
                    </w:rPr>
                    <w:t>12</w:t>
                  </w:r>
                </w:p>
              </w:tc>
              <w:tc>
                <w:tcPr>
                  <w:tcW w:w="1129" w:type="pct"/>
                  <w:tcBorders>
                    <w:tl2br w:val="nil"/>
                    <w:tr2bl w:val="nil"/>
                  </w:tcBorders>
                  <w:noWrap w:val="0"/>
                  <w:vAlign w:val="center"/>
                </w:tcPr>
                <w:p w14:paraId="3251878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rPr>
                      <w:rFonts w:hint="default"/>
                      <w:color w:val="000000"/>
                      <w:sz w:val="21"/>
                      <w:szCs w:val="21"/>
                      <w:lang w:val="en-US"/>
                    </w:rPr>
                  </w:pPr>
                  <w:r>
                    <w:rPr>
                      <w:rFonts w:hint="eastAsia" w:hAnsi="宋体"/>
                      <w:color w:val="000000"/>
                      <w:sz w:val="21"/>
                      <w:szCs w:val="21"/>
                      <w:lang w:val="en-US" w:eastAsia="zh-CN"/>
                    </w:rPr>
                    <w:t>工程机械、车辆尾气</w:t>
                  </w:r>
                </w:p>
              </w:tc>
              <w:tc>
                <w:tcPr>
                  <w:tcW w:w="867" w:type="pct"/>
                  <w:tcBorders>
                    <w:tl2br w:val="nil"/>
                    <w:tr2bl w:val="nil"/>
                  </w:tcBorders>
                  <w:noWrap w:val="0"/>
                  <w:vAlign w:val="center"/>
                </w:tcPr>
                <w:p w14:paraId="1FFB041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rPr>
                  </w:pPr>
                  <w:r>
                    <w:rPr>
                      <w:rFonts w:hint="eastAsia"/>
                      <w:color w:val="000000"/>
                      <w:sz w:val="21"/>
                      <w:szCs w:val="21"/>
                    </w:rPr>
                    <w:t>THC、NO</w:t>
                  </w:r>
                  <w:r>
                    <w:rPr>
                      <w:rFonts w:hint="eastAsia"/>
                      <w:color w:val="000000"/>
                      <w:sz w:val="21"/>
                      <w:szCs w:val="21"/>
                      <w:vertAlign w:val="subscript"/>
                    </w:rPr>
                    <w:t>x</w:t>
                  </w:r>
                </w:p>
              </w:tc>
              <w:tc>
                <w:tcPr>
                  <w:tcW w:w="1241" w:type="pct"/>
                  <w:tcBorders>
                    <w:tl2br w:val="nil"/>
                    <w:tr2bl w:val="nil"/>
                  </w:tcBorders>
                  <w:noWrap w:val="0"/>
                  <w:vAlign w:val="center"/>
                </w:tcPr>
                <w:p w14:paraId="1398BEC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rPr>
                  </w:pPr>
                  <w:r>
                    <w:rPr>
                      <w:rFonts w:hint="eastAsia"/>
                      <w:color w:val="000000"/>
                      <w:sz w:val="21"/>
                      <w:szCs w:val="21"/>
                    </w:rPr>
                    <w:t>少量</w:t>
                  </w:r>
                </w:p>
              </w:tc>
              <w:tc>
                <w:tcPr>
                  <w:tcW w:w="1076" w:type="pct"/>
                  <w:tcBorders>
                    <w:tl2br w:val="nil"/>
                    <w:tr2bl w:val="nil"/>
                  </w:tcBorders>
                  <w:noWrap w:val="0"/>
                  <w:vAlign w:val="center"/>
                </w:tcPr>
                <w:p w14:paraId="728AC59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rPr>
                  </w:pPr>
                  <w:r>
                    <w:rPr>
                      <w:rFonts w:hint="eastAsia"/>
                      <w:color w:val="000000"/>
                      <w:sz w:val="21"/>
                      <w:szCs w:val="21"/>
                    </w:rPr>
                    <w:t>少量</w:t>
                  </w:r>
                </w:p>
              </w:tc>
              <w:tc>
                <w:tcPr>
                  <w:tcW w:w="343" w:type="pct"/>
                  <w:vMerge w:val="continue"/>
                  <w:tcBorders>
                    <w:tl2br w:val="nil"/>
                    <w:tr2bl w:val="nil"/>
                  </w:tcBorders>
                  <w:noWrap w:val="0"/>
                  <w:vAlign w:val="center"/>
                </w:tcPr>
                <w:p w14:paraId="76F6B73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baseline"/>
                    <w:rPr>
                      <w:rFonts w:hint="eastAsia"/>
                      <w:color w:val="000000"/>
                      <w:sz w:val="21"/>
                      <w:szCs w:val="21"/>
                    </w:rPr>
                  </w:pPr>
                </w:p>
              </w:tc>
            </w:tr>
          </w:tbl>
          <w:p w14:paraId="0A4801E7">
            <w:pPr>
              <w:pStyle w:val="4"/>
              <w:bidi w:val="0"/>
              <w:rPr>
                <w:rFonts w:hint="eastAsia"/>
              </w:rPr>
            </w:pPr>
            <w:r>
              <w:rPr>
                <w:rFonts w:hint="eastAsia"/>
                <w:lang w:val="en-US" w:eastAsia="zh-CN"/>
              </w:rPr>
              <w:t>3、</w:t>
            </w:r>
            <w:r>
              <w:rPr>
                <w:rFonts w:hint="eastAsia"/>
              </w:rPr>
              <w:t>运营期水</w:t>
            </w:r>
            <w:r>
              <w:rPr>
                <w:rFonts w:hint="eastAsia"/>
                <w:lang w:val="en-US" w:eastAsia="zh-CN"/>
              </w:rPr>
              <w:t>环境影响</w:t>
            </w:r>
            <w:r>
              <w:rPr>
                <w:rFonts w:hint="eastAsia"/>
              </w:rPr>
              <w:t>分析</w:t>
            </w:r>
          </w:p>
          <w:p w14:paraId="1C10C388">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本项目运营期间主要用水及产生的废水量如下：</w:t>
            </w:r>
          </w:p>
          <w:p w14:paraId="5E37EE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rPr>
              <w:t>（1）生活</w:t>
            </w:r>
            <w:r>
              <w:rPr>
                <w:rFonts w:hint="eastAsia" w:ascii="Times New Roman" w:hAnsi="Times New Roman" w:eastAsia="宋体"/>
                <w:b/>
                <w:bCs/>
                <w:color w:val="auto"/>
                <w:sz w:val="24"/>
                <w:szCs w:val="24"/>
                <w:lang w:val="en-US" w:eastAsia="zh-CN"/>
              </w:rPr>
              <w:t>污水</w:t>
            </w:r>
          </w:p>
          <w:p w14:paraId="3682D211">
            <w:pPr>
              <w:keepNext w:val="0"/>
              <w:keepLines w:val="0"/>
              <w:widowControl/>
              <w:suppressLineNumbers w:val="0"/>
              <w:jc w:val="left"/>
              <w:rPr>
                <w:rFonts w:hint="eastAsia" w:ascii="Times New Roman" w:hAnsi="Times New Roman" w:eastAsia="宋体" w:cs="Times New Roman"/>
                <w:b w:val="0"/>
                <w:bCs/>
                <w:color w:val="auto"/>
                <w:sz w:val="24"/>
                <w:lang w:val="zh-CN"/>
              </w:rPr>
            </w:pPr>
            <w:r>
              <w:rPr>
                <w:rFonts w:hint="eastAsia" w:ascii="Times New Roman" w:hAnsi="Times New Roman" w:eastAsia="宋体" w:cs="Times New Roman"/>
                <w:color w:val="auto"/>
                <w:sz w:val="24"/>
                <w:szCs w:val="24"/>
                <w:lang w:val="en-US" w:eastAsia="zh-CN"/>
              </w:rPr>
              <w:t>本项目年工作天数为250天</w:t>
            </w:r>
            <w:r>
              <w:rPr>
                <w:rFonts w:hint="eastAsia"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en-US" w:eastAsia="zh-CN"/>
              </w:rPr>
              <w:t>设有办公生活区，职工50人，</w:t>
            </w:r>
            <w:r>
              <w:rPr>
                <w:rFonts w:hint="eastAsia" w:ascii="Times New Roman" w:hAnsi="Times New Roman" w:eastAsia="宋体" w:cs="Times New Roman"/>
                <w:color w:val="auto"/>
                <w:sz w:val="24"/>
                <w:szCs w:val="24"/>
                <w:lang w:val="zh-CN"/>
              </w:rPr>
              <w:t>均在办公生活区食宿，无淋浴设备，</w:t>
            </w:r>
            <w:r>
              <w:rPr>
                <w:rFonts w:hint="eastAsia" w:ascii="Times New Roman" w:hAnsi="Times New Roman" w:eastAsia="宋体" w:cs="Times New Roman"/>
                <w:color w:val="FF0000"/>
                <w:sz w:val="24"/>
                <w:szCs w:val="24"/>
                <w:lang w:val="en-US" w:eastAsia="zh-CN"/>
              </w:rPr>
              <w:t>根据《青海省地方标准用水定额》（</w:t>
            </w:r>
            <w:r>
              <w:rPr>
                <w:rFonts w:hint="default" w:ascii="Times New Roman" w:hAnsi="Times New Roman" w:eastAsia="宋体" w:cs="Times New Roman"/>
                <w:color w:val="FF0000"/>
                <w:sz w:val="24"/>
                <w:szCs w:val="24"/>
                <w:lang w:val="en-US" w:eastAsia="zh-CN"/>
              </w:rPr>
              <w:t>DB63/T1429-2021</w:t>
            </w:r>
            <w:r>
              <w:rPr>
                <w:rFonts w:hint="eastAsia" w:ascii="Times New Roman" w:hAnsi="Times New Roman" w:eastAsia="宋体" w:cs="Times New Roman"/>
                <w:color w:val="FF0000"/>
                <w:sz w:val="24"/>
                <w:szCs w:val="24"/>
                <w:lang w:val="en-US" w:eastAsia="zh-CN"/>
              </w:rPr>
              <w:t>）及当地实际用水情况，按</w:t>
            </w:r>
            <w:r>
              <w:rPr>
                <w:rFonts w:hint="eastAsia" w:cs="Times New Roman"/>
                <w:color w:val="FF0000"/>
                <w:sz w:val="24"/>
                <w:szCs w:val="24"/>
                <w:lang w:val="en-US" w:eastAsia="zh-CN"/>
              </w:rPr>
              <w:t>45</w:t>
            </w:r>
            <w:r>
              <w:rPr>
                <w:rFonts w:hint="eastAsia" w:ascii="Times New Roman" w:hAnsi="Times New Roman" w:eastAsia="宋体" w:cs="Times New Roman"/>
                <w:color w:val="FF0000"/>
                <w:sz w:val="24"/>
                <w:szCs w:val="24"/>
                <w:lang w:val="en-US" w:eastAsia="zh-CN"/>
              </w:rPr>
              <w:t>L/（人·d）计算，</w:t>
            </w:r>
            <w:r>
              <w:rPr>
                <w:rFonts w:hint="eastAsia" w:ascii="Times New Roman" w:hAnsi="Times New Roman" w:eastAsia="宋体"/>
                <w:b w:val="0"/>
                <w:bCs/>
                <w:color w:val="0000FF"/>
                <w:sz w:val="24"/>
                <w:lang w:val="zh-CN"/>
              </w:rPr>
              <w:t>生活</w:t>
            </w:r>
            <w:r>
              <w:rPr>
                <w:rFonts w:hint="eastAsia"/>
                <w:b w:val="0"/>
                <w:bCs/>
                <w:color w:val="0000FF"/>
                <w:sz w:val="24"/>
                <w:lang w:val="en-US" w:eastAsia="zh-CN"/>
              </w:rPr>
              <w:t>用水</w:t>
            </w:r>
            <w:r>
              <w:rPr>
                <w:rFonts w:hint="eastAsia" w:ascii="Times New Roman" w:hAnsi="Times New Roman" w:eastAsia="宋体"/>
                <w:b w:val="0"/>
                <w:bCs/>
                <w:color w:val="0000FF"/>
                <w:sz w:val="24"/>
                <w:lang w:val="zh-CN"/>
              </w:rPr>
              <w:t>量约为</w:t>
            </w:r>
            <w:r>
              <w:rPr>
                <w:rFonts w:hint="eastAsia"/>
                <w:b w:val="0"/>
                <w:bCs/>
                <w:color w:val="0000FF"/>
                <w:sz w:val="24"/>
                <w:lang w:val="en-US" w:eastAsia="zh-CN"/>
              </w:rPr>
              <w:t>2.25</w:t>
            </w:r>
            <w:r>
              <w:rPr>
                <w:rFonts w:hint="eastAsia" w:ascii="Times New Roman" w:hAnsi="Times New Roman" w:eastAsia="宋体"/>
                <w:b w:val="0"/>
                <w:bCs/>
                <w:color w:val="0000FF"/>
                <w:sz w:val="24"/>
                <w:lang w:val="zh-CN"/>
              </w:rPr>
              <w:t>m</w:t>
            </w:r>
            <w:r>
              <w:rPr>
                <w:rFonts w:hint="eastAsia" w:ascii="Times New Roman" w:hAnsi="Times New Roman" w:eastAsia="宋体"/>
                <w:b w:val="0"/>
                <w:bCs/>
                <w:color w:val="0000FF"/>
                <w:sz w:val="24"/>
                <w:vertAlign w:val="superscript"/>
                <w:lang w:val="zh-CN"/>
              </w:rPr>
              <w:t>3</w:t>
            </w:r>
            <w:r>
              <w:rPr>
                <w:rFonts w:hint="eastAsia" w:ascii="Times New Roman" w:hAnsi="Times New Roman" w:eastAsia="宋体"/>
                <w:b w:val="0"/>
                <w:bCs/>
                <w:color w:val="0000FF"/>
                <w:sz w:val="24"/>
                <w:lang w:val="zh-CN"/>
              </w:rPr>
              <w:t>/d（</w:t>
            </w:r>
            <w:r>
              <w:rPr>
                <w:rFonts w:hint="eastAsia"/>
                <w:b w:val="0"/>
                <w:bCs/>
                <w:color w:val="0000FF"/>
                <w:sz w:val="24"/>
                <w:lang w:val="en-US" w:eastAsia="zh-CN"/>
              </w:rPr>
              <w:t>562.5</w:t>
            </w:r>
            <w:r>
              <w:rPr>
                <w:rFonts w:hint="eastAsia" w:ascii="Times New Roman" w:hAnsi="Times New Roman" w:eastAsia="宋体"/>
                <w:b w:val="0"/>
                <w:bCs/>
                <w:color w:val="0000FF"/>
                <w:sz w:val="24"/>
                <w:lang w:val="zh-CN"/>
              </w:rPr>
              <w:t>m</w:t>
            </w:r>
            <w:r>
              <w:rPr>
                <w:rFonts w:hint="eastAsia" w:ascii="Times New Roman" w:hAnsi="Times New Roman" w:eastAsia="宋体"/>
                <w:b w:val="0"/>
                <w:bCs/>
                <w:color w:val="0000FF"/>
                <w:sz w:val="24"/>
                <w:vertAlign w:val="superscript"/>
                <w:lang w:val="zh-CN"/>
              </w:rPr>
              <w:t>3</w:t>
            </w:r>
            <w:r>
              <w:rPr>
                <w:rFonts w:hint="eastAsia" w:ascii="Times New Roman" w:hAnsi="Times New Roman" w:eastAsia="宋体"/>
                <w:b w:val="0"/>
                <w:bCs/>
                <w:color w:val="0000FF"/>
                <w:sz w:val="24"/>
                <w:lang w:val="zh-CN"/>
              </w:rPr>
              <w:t>/a）</w:t>
            </w:r>
            <w:r>
              <w:rPr>
                <w:rFonts w:hint="eastAsia"/>
                <w:b w:val="0"/>
                <w:bCs/>
                <w:color w:val="0000FF"/>
                <w:sz w:val="24"/>
                <w:lang w:val="zh-CN"/>
              </w:rPr>
              <w:t>，</w:t>
            </w:r>
            <w:r>
              <w:rPr>
                <w:rFonts w:hint="eastAsia"/>
                <w:b w:val="0"/>
                <w:bCs/>
                <w:color w:val="0000FF"/>
                <w:sz w:val="24"/>
                <w:lang w:val="en-US" w:eastAsia="zh-CN"/>
              </w:rPr>
              <w:t>产污系数按80%计算，则生活污水产生量及排放量为1.8</w:t>
            </w:r>
            <w:r>
              <w:rPr>
                <w:rFonts w:hint="eastAsia" w:ascii="Times New Roman" w:hAnsi="Times New Roman" w:eastAsia="宋体"/>
                <w:b w:val="0"/>
                <w:bCs/>
                <w:color w:val="0000FF"/>
                <w:sz w:val="24"/>
                <w:lang w:val="zh-CN"/>
              </w:rPr>
              <w:t>m</w:t>
            </w:r>
            <w:r>
              <w:rPr>
                <w:rFonts w:hint="eastAsia" w:ascii="Times New Roman" w:hAnsi="Times New Roman" w:eastAsia="宋体"/>
                <w:b w:val="0"/>
                <w:bCs/>
                <w:color w:val="0000FF"/>
                <w:sz w:val="24"/>
                <w:vertAlign w:val="superscript"/>
                <w:lang w:val="zh-CN"/>
              </w:rPr>
              <w:t>3</w:t>
            </w:r>
            <w:r>
              <w:rPr>
                <w:rFonts w:hint="eastAsia" w:ascii="Times New Roman" w:hAnsi="Times New Roman" w:eastAsia="宋体"/>
                <w:b w:val="0"/>
                <w:bCs/>
                <w:color w:val="0000FF"/>
                <w:sz w:val="24"/>
                <w:lang w:val="zh-CN"/>
              </w:rPr>
              <w:t>/d（</w:t>
            </w:r>
            <w:r>
              <w:rPr>
                <w:rFonts w:hint="eastAsia"/>
                <w:b w:val="0"/>
                <w:bCs/>
                <w:color w:val="0000FF"/>
                <w:sz w:val="24"/>
                <w:lang w:val="en-US" w:eastAsia="zh-CN"/>
              </w:rPr>
              <w:t>450</w:t>
            </w:r>
            <w:r>
              <w:rPr>
                <w:rFonts w:hint="eastAsia" w:ascii="Times New Roman" w:hAnsi="Times New Roman" w:eastAsia="宋体"/>
                <w:b w:val="0"/>
                <w:bCs/>
                <w:color w:val="0000FF"/>
                <w:sz w:val="24"/>
                <w:lang w:val="zh-CN"/>
              </w:rPr>
              <w:t>m</w:t>
            </w:r>
            <w:r>
              <w:rPr>
                <w:rFonts w:hint="eastAsia" w:ascii="Times New Roman" w:hAnsi="Times New Roman" w:eastAsia="宋体"/>
                <w:b w:val="0"/>
                <w:bCs/>
                <w:color w:val="0000FF"/>
                <w:sz w:val="24"/>
                <w:vertAlign w:val="superscript"/>
                <w:lang w:val="zh-CN"/>
              </w:rPr>
              <w:t>3</w:t>
            </w:r>
            <w:r>
              <w:rPr>
                <w:rFonts w:hint="eastAsia" w:ascii="Times New Roman" w:hAnsi="Times New Roman" w:eastAsia="宋体"/>
                <w:b w:val="0"/>
                <w:bCs/>
                <w:color w:val="0000FF"/>
                <w:sz w:val="24"/>
                <w:lang w:val="zh-CN"/>
              </w:rPr>
              <w:t>/a）</w:t>
            </w:r>
            <w:r>
              <w:rPr>
                <w:rFonts w:hint="eastAsia" w:ascii="Times New Roman" w:hAnsi="Times New Roman" w:eastAsia="宋体"/>
                <w:b w:val="0"/>
                <w:bCs/>
                <w:color w:val="FF0000"/>
                <w:sz w:val="24"/>
                <w:lang w:val="zh-CN"/>
              </w:rPr>
              <w:t>。</w:t>
            </w:r>
            <w:r>
              <w:rPr>
                <w:rFonts w:hint="eastAsia" w:ascii="Times New Roman" w:hAnsi="Times New Roman" w:eastAsia="宋体" w:cs="Times New Roman"/>
                <w:b w:val="0"/>
                <w:bCs/>
                <w:color w:val="auto"/>
                <w:sz w:val="24"/>
                <w:lang w:val="en-US" w:eastAsia="zh-CN"/>
              </w:rPr>
              <w:t>职工盥洗废水和淋浴废水经管道进入化粪池，职工人员如厕采用干式环保厕所，旁边设置化粪池，粪便进入化粪池后，定期委托</w:t>
            </w:r>
            <w:r>
              <w:rPr>
                <w:rFonts w:hint="eastAsia" w:cs="Times New Roman"/>
                <w:b w:val="0"/>
                <w:bCs/>
                <w:color w:val="auto"/>
                <w:sz w:val="24"/>
                <w:lang w:val="en-US" w:eastAsia="zh-CN"/>
              </w:rPr>
              <w:t>专业公司</w:t>
            </w:r>
            <w:r>
              <w:rPr>
                <w:rFonts w:hint="eastAsia" w:ascii="Times New Roman" w:hAnsi="Times New Roman" w:eastAsia="宋体" w:cs="Times New Roman"/>
                <w:b w:val="0"/>
                <w:bCs/>
                <w:color w:val="auto"/>
                <w:sz w:val="24"/>
                <w:lang w:val="en-US" w:eastAsia="zh-CN"/>
              </w:rPr>
              <w:t>吸污车抽吸拉运至污水处理厂深度处理</w:t>
            </w:r>
            <w:r>
              <w:rPr>
                <w:rFonts w:hint="eastAsia" w:ascii="Times New Roman" w:hAnsi="Times New Roman" w:eastAsia="宋体" w:cs="Times New Roman"/>
                <w:b w:val="0"/>
                <w:bCs/>
                <w:color w:val="auto"/>
                <w:sz w:val="24"/>
                <w:lang w:val="zh-CN"/>
              </w:rPr>
              <w:t>。</w:t>
            </w:r>
          </w:p>
          <w:p w14:paraId="66A776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jc w:val="both"/>
              <w:textAlignment w:val="auto"/>
              <w:rPr>
                <w:rFonts w:hint="eastAsia" w:ascii="Times New Roman" w:hAnsi="Times New Roman" w:eastAsia="宋体" w:cs="宋体"/>
                <w:b/>
                <w:bCs/>
                <w:color w:val="000000"/>
                <w:kern w:val="0"/>
                <w:sz w:val="24"/>
                <w:szCs w:val="24"/>
                <w:lang w:val="en-US" w:eastAsia="zh-CN" w:bidi="ar"/>
              </w:rPr>
            </w:pPr>
            <w:r>
              <w:rPr>
                <w:rFonts w:hint="eastAsia" w:ascii="Times New Roman" w:hAnsi="Times New Roman" w:eastAsia="宋体" w:cs="宋体"/>
                <w:b/>
                <w:bCs/>
                <w:color w:val="000000"/>
                <w:kern w:val="0"/>
                <w:sz w:val="24"/>
                <w:szCs w:val="24"/>
                <w:lang w:val="en-US" w:eastAsia="zh-CN" w:bidi="ar"/>
              </w:rPr>
              <w:t>（2）</w:t>
            </w:r>
            <w:r>
              <w:rPr>
                <w:rFonts w:hint="eastAsia" w:cs="宋体"/>
                <w:b/>
                <w:bCs/>
                <w:color w:val="000000"/>
                <w:kern w:val="0"/>
                <w:sz w:val="24"/>
                <w:szCs w:val="24"/>
                <w:lang w:val="en-US" w:eastAsia="zh-CN" w:bidi="ar"/>
              </w:rPr>
              <w:t>机械</w:t>
            </w:r>
            <w:r>
              <w:rPr>
                <w:rFonts w:hint="eastAsia" w:ascii="Times New Roman" w:hAnsi="Times New Roman" w:eastAsia="宋体" w:cs="宋体"/>
                <w:b/>
                <w:bCs/>
                <w:color w:val="000000"/>
                <w:kern w:val="0"/>
                <w:sz w:val="24"/>
                <w:szCs w:val="24"/>
                <w:lang w:val="en-US" w:eastAsia="zh-CN" w:bidi="ar"/>
              </w:rPr>
              <w:t>及运输车辆冲洗水</w:t>
            </w:r>
          </w:p>
          <w:p w14:paraId="00167E5B">
            <w:pPr>
              <w:spacing w:line="360" w:lineRule="auto"/>
              <w:ind w:firstLine="480" w:firstLineChars="200"/>
              <w:rPr>
                <w:rFonts w:hint="default"/>
                <w:color w:val="auto"/>
                <w:sz w:val="24"/>
                <w:lang w:val="en-US" w:eastAsia="zh-CN"/>
              </w:rPr>
            </w:pPr>
            <w:r>
              <w:rPr>
                <w:rFonts w:hint="eastAsia" w:ascii="Times New Roman" w:hAnsi="Times New Roman" w:eastAsia="宋体"/>
                <w:color w:val="auto"/>
                <w:sz w:val="24"/>
                <w:szCs w:val="24"/>
              </w:rPr>
              <w:t>类比同类项目，车辆冲洗平台约</w:t>
            </w:r>
            <w:r>
              <w:rPr>
                <w:rFonts w:hint="eastAsia" w:ascii="Times New Roman" w:hAnsi="Times New Roman" w:eastAsia="宋体"/>
                <w:color w:val="auto"/>
                <w:sz w:val="24"/>
                <w:szCs w:val="24"/>
                <w:lang w:val="en-US" w:eastAsia="zh-CN"/>
              </w:rPr>
              <w:t>15</w:t>
            </w:r>
            <w:r>
              <w:rPr>
                <w:rFonts w:hint="eastAsia" w:ascii="Times New Roman" w:hAnsi="Times New Roman" w:eastAsia="宋体"/>
                <w:color w:val="auto"/>
                <w:sz w:val="24"/>
                <w:szCs w:val="24"/>
              </w:rPr>
              <w:t>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，冲洗平台为钢结构镂空架下方及侧方为水泥沉淀池，四周进行水泥硬化并设置截水沟将冲洗水引至沉淀池，</w:t>
            </w:r>
            <w:r>
              <w:rPr>
                <w:rFonts w:hint="eastAsia" w:ascii="Times New Roman" w:hAnsi="Times New Roman" w:eastAsia="宋体"/>
                <w:color w:val="auto"/>
                <w:sz w:val="24"/>
                <w:szCs w:val="24"/>
                <w:lang w:val="en-US" w:eastAsia="zh-CN"/>
              </w:rPr>
              <w:t>机械、车辆冲洗废水经沉淀后全部回用，不外排。</w:t>
            </w:r>
            <w:r>
              <w:rPr>
                <w:rFonts w:hint="eastAsia"/>
                <w:color w:val="auto"/>
                <w:sz w:val="24"/>
                <w:lang w:val="en-US" w:eastAsia="zh-CN"/>
              </w:rPr>
              <w:t>平台两侧设置高压喷枪与喷头对车辆进行冲洗。</w:t>
            </w:r>
            <w:r>
              <w:rPr>
                <w:rFonts w:hint="eastAsia"/>
                <w:color w:val="0000FF"/>
                <w:sz w:val="24"/>
                <w:lang w:val="en-US" w:eastAsia="zh-CN"/>
              </w:rPr>
              <w:t>沉淀池容积约为3m</w:t>
            </w:r>
            <w:r>
              <w:rPr>
                <w:rFonts w:hint="eastAsia"/>
                <w:color w:val="0000FF"/>
                <w:sz w:val="24"/>
                <w:vertAlign w:val="superscript"/>
                <w:lang w:val="en-US" w:eastAsia="zh-CN"/>
              </w:rPr>
              <w:t>3</w:t>
            </w:r>
            <w:r>
              <w:rPr>
                <w:rFonts w:hint="eastAsia"/>
                <w:color w:val="0000FF"/>
                <w:sz w:val="24"/>
                <w:lang w:val="en-US" w:eastAsia="zh-CN"/>
              </w:rPr>
              <w:t>，项目建成后将清水（约3m</w:t>
            </w:r>
            <w:r>
              <w:rPr>
                <w:rFonts w:hint="eastAsia"/>
                <w:color w:val="0000FF"/>
                <w:sz w:val="24"/>
                <w:vertAlign w:val="superscript"/>
                <w:lang w:val="en-US" w:eastAsia="zh-CN"/>
              </w:rPr>
              <w:t>3</w:t>
            </w:r>
            <w:r>
              <w:rPr>
                <w:rFonts w:hint="eastAsia"/>
                <w:color w:val="0000FF"/>
                <w:sz w:val="24"/>
                <w:vertAlign w:val="baseline"/>
                <w:lang w:val="en-US" w:eastAsia="zh-CN"/>
              </w:rPr>
              <w:t>）</w:t>
            </w:r>
            <w:r>
              <w:rPr>
                <w:rFonts w:hint="eastAsia"/>
                <w:color w:val="0000FF"/>
                <w:sz w:val="24"/>
                <w:lang w:val="en-US" w:eastAsia="zh-CN"/>
              </w:rPr>
              <w:t>拉运至沉淀池后进行循环使用，</w:t>
            </w:r>
            <w:r>
              <w:rPr>
                <w:rFonts w:hint="eastAsia"/>
                <w:color w:val="auto"/>
                <w:sz w:val="24"/>
                <w:lang w:val="en-US" w:eastAsia="zh-CN"/>
              </w:rPr>
              <w:t>一级沉淀池水力停留时间2h，二级沉淀池水力停留时间4h，一级沉淀池出水溢流连接二级沉淀池，沉淀池设置围栏及水深危险标识。池体采用抗渗等级为P8的钢筋混凝土浇筑。</w:t>
            </w:r>
          </w:p>
          <w:p w14:paraId="1B3CAB65">
            <w:pPr>
              <w:spacing w:line="360" w:lineRule="auto"/>
              <w:ind w:firstLine="480" w:firstLineChars="200"/>
              <w:rPr>
                <w:rFonts w:hint="default" w:ascii="Times New Roman" w:hAnsi="Times New Roman" w:eastAsia="宋体"/>
                <w:lang w:val="en-US" w:eastAsia="zh-CN"/>
              </w:rPr>
            </w:pPr>
            <w:r>
              <w:rPr>
                <w:rFonts w:hint="eastAsia"/>
                <w:color w:val="auto"/>
                <w:sz w:val="24"/>
                <w:lang w:eastAsia="zh-CN"/>
              </w:rPr>
              <w:t>综上，采取以上措施后冲洗水能得到有效收集，经沉淀后可循环利用，不外排</w:t>
            </w:r>
            <w:r>
              <w:rPr>
                <w:rFonts w:hint="eastAsia"/>
                <w:color w:val="auto"/>
                <w:sz w:val="24"/>
              </w:rPr>
              <w:t>。</w:t>
            </w:r>
          </w:p>
          <w:p w14:paraId="454D44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jc w:val="both"/>
              <w:textAlignment w:val="auto"/>
              <w:rPr>
                <w:rFonts w:hint="eastAsia" w:ascii="Times New Roman" w:hAnsi="Times New Roman" w:eastAsia="宋体" w:cs="宋体"/>
                <w:b/>
                <w:bCs/>
                <w:color w:val="000000"/>
                <w:kern w:val="0"/>
                <w:sz w:val="24"/>
                <w:szCs w:val="24"/>
                <w:lang w:val="en-US" w:eastAsia="zh-CN" w:bidi="ar"/>
              </w:rPr>
            </w:pPr>
            <w:r>
              <w:rPr>
                <w:rFonts w:hint="eastAsia" w:ascii="Times New Roman" w:hAnsi="Times New Roman" w:eastAsia="宋体" w:cs="宋体"/>
                <w:b/>
                <w:bCs/>
                <w:color w:val="000000"/>
                <w:kern w:val="0"/>
                <w:sz w:val="24"/>
                <w:szCs w:val="24"/>
                <w:lang w:val="en-US" w:eastAsia="zh-CN" w:bidi="ar"/>
              </w:rPr>
              <w:t>（3）喷淋用水</w:t>
            </w:r>
          </w:p>
          <w:p w14:paraId="5B8C8E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jc w:val="both"/>
              <w:textAlignment w:val="auto"/>
              <w:rPr>
                <w:rFonts w:hint="eastAsia" w:ascii="Times New Roman" w:hAnsi="Times New Roman" w:eastAsia="宋体" w:cs="宋体"/>
                <w:color w:val="FF0000"/>
                <w:kern w:val="0"/>
                <w:sz w:val="24"/>
                <w:szCs w:val="24"/>
                <w:lang w:val="en-US" w:eastAsia="zh-CN" w:bidi="ar"/>
              </w:rPr>
            </w:pPr>
            <w:r>
              <w:rPr>
                <w:rFonts w:hint="eastAsia" w:ascii="Times New Roman" w:hAnsi="Times New Roman" w:eastAsia="宋体" w:cs="宋体"/>
                <w:color w:val="FF0000"/>
                <w:kern w:val="0"/>
                <w:sz w:val="24"/>
                <w:szCs w:val="24"/>
                <w:lang w:val="en-US" w:eastAsia="zh-CN" w:bidi="ar"/>
              </w:rPr>
              <w:t>项目运营过程中喷淋用水主要为露天采场、上料卸料过程、作业场地内、运输道路周围洒水降尘用水、破碎工序喷淋用水。</w:t>
            </w:r>
            <w:r>
              <w:rPr>
                <w:rFonts w:hint="eastAsia"/>
                <w:color w:val="0000FC"/>
                <w:sz w:val="24"/>
                <w:szCs w:val="24"/>
                <w:lang w:val="en-US" w:eastAsia="zh-CN"/>
              </w:rPr>
              <w:t>车间均采用高压雾化喷头，每个喷头覆盖半径为6m，单个喷头喷雾量为15L/h，喷</w:t>
            </w:r>
            <w:r>
              <w:rPr>
                <w:rFonts w:hint="eastAsia"/>
                <w:color w:val="0000FF"/>
                <w:sz w:val="24"/>
                <w:szCs w:val="24"/>
                <w:lang w:val="en-US" w:eastAsia="zh-CN"/>
              </w:rPr>
              <w:t>淋时间按生产时长约8h/d计。</w:t>
            </w:r>
          </w:p>
          <w:p w14:paraId="74A531C2">
            <w:pPr>
              <w:spacing w:line="360" w:lineRule="auto"/>
              <w:ind w:firstLine="480" w:firstLineChars="200"/>
              <w:rPr>
                <w:rFonts w:hint="default" w:eastAsia="宋体"/>
                <w:color w:val="FF0000"/>
                <w:sz w:val="24"/>
                <w:szCs w:val="24"/>
                <w:lang w:val="en-US" w:eastAsia="zh-CN"/>
              </w:rPr>
            </w:pPr>
            <w:r>
              <w:rPr>
                <w:rFonts w:hint="eastAsia"/>
                <w:color w:val="FF0000"/>
                <w:sz w:val="24"/>
                <w:szCs w:val="24"/>
                <w:lang w:val="en-US" w:eastAsia="zh-CN"/>
              </w:rPr>
              <w:t>生产车间</w:t>
            </w:r>
            <w:r>
              <w:rPr>
                <w:rFonts w:hint="eastAsia"/>
                <w:color w:val="FF0000"/>
                <w:sz w:val="24"/>
                <w:szCs w:val="24"/>
                <w:lang w:eastAsia="zh-CN"/>
              </w:rPr>
              <w:t>喷雾压尘用水：</w:t>
            </w:r>
            <w:r>
              <w:rPr>
                <w:rFonts w:hint="eastAsia"/>
                <w:color w:val="FF0000"/>
                <w:sz w:val="24"/>
                <w:szCs w:val="24"/>
                <w:lang w:val="en-US" w:eastAsia="zh-CN"/>
              </w:rPr>
              <w:t>建筑</w:t>
            </w:r>
            <w:r>
              <w:rPr>
                <w:rFonts w:hint="eastAsia"/>
                <w:color w:val="FF0000"/>
                <w:sz w:val="24"/>
                <w:szCs w:val="24"/>
                <w:lang w:eastAsia="zh-CN"/>
              </w:rPr>
              <w:t>面积</w:t>
            </w:r>
            <w:r>
              <w:rPr>
                <w:rFonts w:hint="eastAsia" w:cs="Times New Roman"/>
                <w:b w:val="0"/>
                <w:bCs/>
                <w:color w:val="FF0000"/>
                <w:sz w:val="24"/>
                <w:szCs w:val="24"/>
                <w:highlight w:val="none"/>
                <w:vertAlign w:val="baseline"/>
                <w:lang w:val="en-US" w:eastAsia="zh-CN"/>
              </w:rPr>
              <w:t>2460</w:t>
            </w:r>
            <w:r>
              <w:rPr>
                <w:rFonts w:hint="default" w:ascii="Times New Roman" w:hAnsi="Times New Roman" w:eastAsia="宋体" w:cs="Times New Roman"/>
                <w:b w:val="0"/>
                <w:bCs/>
                <w:color w:val="FF0000"/>
                <w:sz w:val="24"/>
                <w:szCs w:val="24"/>
                <w:vertAlign w:val="baseline"/>
                <w:lang w:val="en-US" w:eastAsia="zh-CN"/>
              </w:rPr>
              <w:t>m</w:t>
            </w:r>
            <w:r>
              <w:rPr>
                <w:rFonts w:hint="default" w:ascii="Times New Roman" w:hAnsi="Times New Roman" w:eastAsia="宋体" w:cs="Times New Roman"/>
                <w:b w:val="0"/>
                <w:bCs/>
                <w:color w:val="FF0000"/>
                <w:sz w:val="24"/>
                <w:szCs w:val="24"/>
                <w:vertAlign w:val="superscript"/>
                <w:lang w:val="en-US" w:eastAsia="zh-CN"/>
              </w:rPr>
              <w:t>2</w:t>
            </w:r>
            <w:r>
              <w:rPr>
                <w:rFonts w:hint="eastAsia" w:cs="Times New Roman"/>
                <w:b w:val="0"/>
                <w:bCs/>
                <w:color w:val="FF0000"/>
                <w:sz w:val="24"/>
                <w:szCs w:val="24"/>
                <w:highlight w:val="none"/>
                <w:vertAlign w:val="baseline"/>
                <w:lang w:val="en-US" w:eastAsia="zh-CN"/>
              </w:rPr>
              <w:t>（长宽30m*82m）</w:t>
            </w:r>
            <w:r>
              <w:rPr>
                <w:rFonts w:hint="eastAsia"/>
                <w:color w:val="FF0000"/>
                <w:sz w:val="24"/>
                <w:szCs w:val="24"/>
                <w:lang w:val="en-US" w:eastAsia="zh-CN"/>
              </w:rPr>
              <w:t>。上料时长约8h/d。</w:t>
            </w:r>
            <w:r>
              <w:rPr>
                <w:rFonts w:hint="eastAsia"/>
                <w:color w:val="0000FC"/>
                <w:sz w:val="24"/>
                <w:szCs w:val="24"/>
                <w:lang w:val="en-US" w:eastAsia="zh-CN"/>
              </w:rPr>
              <w:t>则生产车间喷淋头行间距为11.7m，每行间距为10m，</w:t>
            </w:r>
            <w:r>
              <w:rPr>
                <w:rFonts w:hint="eastAsia"/>
                <w:color w:val="FF0000"/>
                <w:sz w:val="24"/>
                <w:szCs w:val="24"/>
                <w:lang w:val="en-US" w:eastAsia="zh-CN"/>
              </w:rPr>
              <w:t>共计设置雾化喷头21个，用水量为2.52m</w:t>
            </w:r>
            <w:r>
              <w:rPr>
                <w:rFonts w:hint="eastAsia"/>
                <w:color w:val="FF0000"/>
                <w:sz w:val="24"/>
                <w:szCs w:val="24"/>
                <w:vertAlign w:val="superscript"/>
                <w:lang w:val="en-US" w:eastAsia="zh-CN"/>
              </w:rPr>
              <w:t>3</w:t>
            </w:r>
            <w:r>
              <w:rPr>
                <w:rFonts w:hint="eastAsia"/>
                <w:color w:val="FF0000"/>
                <w:sz w:val="24"/>
                <w:szCs w:val="24"/>
                <w:lang w:val="en-US" w:eastAsia="zh-CN"/>
              </w:rPr>
              <w:t>/d。</w:t>
            </w:r>
          </w:p>
          <w:p w14:paraId="47512270">
            <w:pPr>
              <w:spacing w:line="360" w:lineRule="auto"/>
              <w:ind w:firstLine="480" w:firstLineChars="200"/>
              <w:rPr>
                <w:rFonts w:hint="eastAsia"/>
                <w:color w:val="FF0000"/>
                <w:sz w:val="24"/>
                <w:szCs w:val="24"/>
                <w:lang w:val="en-US" w:eastAsia="zh-CN"/>
              </w:rPr>
            </w:pPr>
            <w:r>
              <w:rPr>
                <w:rFonts w:hint="eastAsia"/>
                <w:color w:val="FF0000"/>
                <w:sz w:val="24"/>
                <w:szCs w:val="24"/>
                <w:lang w:val="en-US" w:eastAsia="zh-CN"/>
              </w:rPr>
              <w:t>破碎车间喷雾压尘用水：建筑面积360</w:t>
            </w:r>
            <w:r>
              <w:rPr>
                <w:rFonts w:hint="default"/>
                <w:color w:val="FF0000"/>
                <w:sz w:val="24"/>
                <w:szCs w:val="24"/>
                <w:lang w:val="en-US" w:eastAsia="zh-CN"/>
              </w:rPr>
              <w:t>m</w:t>
            </w:r>
            <w:r>
              <w:rPr>
                <w:rFonts w:hint="default"/>
                <w:color w:val="FF0000"/>
                <w:sz w:val="24"/>
                <w:szCs w:val="24"/>
                <w:vertAlign w:val="superscript"/>
                <w:lang w:val="en-US" w:eastAsia="zh-CN"/>
              </w:rPr>
              <w:t>2</w:t>
            </w:r>
            <w:r>
              <w:rPr>
                <w:rFonts w:hint="eastAsia"/>
                <w:color w:val="FF0000"/>
                <w:sz w:val="24"/>
                <w:szCs w:val="24"/>
                <w:lang w:val="en-US" w:eastAsia="zh-CN"/>
              </w:rPr>
              <w:t>（长宽15m*24m），采用喷雾除尘装置进行压尘，</w:t>
            </w:r>
            <w:r>
              <w:rPr>
                <w:rFonts w:hint="eastAsia"/>
                <w:color w:val="0000FC"/>
                <w:sz w:val="24"/>
                <w:szCs w:val="24"/>
                <w:lang w:val="en-US" w:eastAsia="zh-CN"/>
              </w:rPr>
              <w:t>则破碎车间喷淋头行间距为12m，每行间距为7.5m，</w:t>
            </w:r>
            <w:r>
              <w:rPr>
                <w:rFonts w:hint="eastAsia"/>
                <w:color w:val="FF0000"/>
                <w:sz w:val="24"/>
                <w:szCs w:val="24"/>
                <w:lang w:val="en-US" w:eastAsia="zh-CN"/>
              </w:rPr>
              <w:t>共计设置雾化喷头4个，单个喷头喷雾量为15L/h，则用水量约为0.48m</w:t>
            </w:r>
            <w:r>
              <w:rPr>
                <w:rFonts w:hint="eastAsia"/>
                <w:color w:val="FF0000"/>
                <w:sz w:val="24"/>
                <w:szCs w:val="24"/>
                <w:vertAlign w:val="superscript"/>
                <w:lang w:val="en-US" w:eastAsia="zh-CN"/>
              </w:rPr>
              <w:t>3</w:t>
            </w:r>
            <w:r>
              <w:rPr>
                <w:rFonts w:hint="eastAsia"/>
                <w:color w:val="FF0000"/>
                <w:sz w:val="24"/>
                <w:szCs w:val="24"/>
                <w:lang w:val="en-US" w:eastAsia="zh-CN"/>
              </w:rPr>
              <w:t>/d。</w:t>
            </w:r>
          </w:p>
          <w:p w14:paraId="6139B4AE">
            <w:pPr>
              <w:spacing w:line="360" w:lineRule="auto"/>
              <w:ind w:firstLine="480" w:firstLineChars="200"/>
              <w:rPr>
                <w:rFonts w:hint="eastAsia"/>
                <w:color w:val="FF0000"/>
                <w:sz w:val="24"/>
                <w:lang w:val="en-US" w:eastAsia="zh-CN"/>
              </w:rPr>
            </w:pPr>
            <w:r>
              <w:rPr>
                <w:rFonts w:hint="eastAsia"/>
                <w:color w:val="FF0000"/>
                <w:sz w:val="24"/>
                <w:szCs w:val="24"/>
                <w:lang w:val="en-US" w:eastAsia="zh-CN"/>
              </w:rPr>
              <w:t>筛分车间喷雾除尘用水：</w:t>
            </w:r>
            <w:r>
              <w:rPr>
                <w:rFonts w:hint="eastAsia" w:cs="Times New Roman"/>
                <w:b w:val="0"/>
                <w:bCs/>
                <w:color w:val="FF0000"/>
                <w:sz w:val="24"/>
                <w:szCs w:val="24"/>
                <w:highlight w:val="none"/>
                <w:vertAlign w:val="baseline"/>
                <w:lang w:val="en-US" w:eastAsia="zh-CN"/>
              </w:rPr>
              <w:t>建筑面积400</w:t>
            </w:r>
            <w:r>
              <w:rPr>
                <w:rFonts w:hint="default" w:ascii="Times New Roman" w:hAnsi="Times New Roman" w:eastAsia="宋体" w:cs="Times New Roman"/>
                <w:b w:val="0"/>
                <w:bCs/>
                <w:color w:val="FF0000"/>
                <w:sz w:val="24"/>
                <w:szCs w:val="24"/>
                <w:vertAlign w:val="baseline"/>
                <w:lang w:val="en-US" w:eastAsia="zh-CN"/>
              </w:rPr>
              <w:t>m</w:t>
            </w:r>
            <w:r>
              <w:rPr>
                <w:rFonts w:hint="default" w:ascii="Times New Roman" w:hAnsi="Times New Roman" w:eastAsia="宋体" w:cs="Times New Roman"/>
                <w:b w:val="0"/>
                <w:bCs/>
                <w:color w:val="FF0000"/>
                <w:sz w:val="24"/>
                <w:szCs w:val="24"/>
                <w:vertAlign w:val="superscript"/>
                <w:lang w:val="en-US" w:eastAsia="zh-CN"/>
              </w:rPr>
              <w:t>2</w:t>
            </w:r>
            <w:r>
              <w:rPr>
                <w:rFonts w:hint="eastAsia" w:cs="Times New Roman"/>
                <w:b w:val="0"/>
                <w:bCs/>
                <w:color w:val="FF0000"/>
                <w:sz w:val="24"/>
                <w:szCs w:val="24"/>
                <w:highlight w:val="none"/>
                <w:vertAlign w:val="baseline"/>
                <w:lang w:val="en-US" w:eastAsia="zh-CN"/>
              </w:rPr>
              <w:t>（长宽20m*20m）</w:t>
            </w:r>
            <w:r>
              <w:rPr>
                <w:rFonts w:hint="eastAsia"/>
                <w:color w:val="FF0000"/>
                <w:sz w:val="24"/>
                <w:szCs w:val="24"/>
                <w:lang w:val="en-US" w:eastAsia="zh-CN"/>
              </w:rPr>
              <w:t>，</w:t>
            </w:r>
            <w:r>
              <w:rPr>
                <w:rFonts w:hint="eastAsia"/>
                <w:color w:val="0000FC"/>
                <w:sz w:val="24"/>
                <w:szCs w:val="24"/>
                <w:lang w:val="en-US" w:eastAsia="zh-CN"/>
              </w:rPr>
              <w:t>则筛分车间喷淋头行间距为10m，每行间距为10m，</w:t>
            </w:r>
            <w:r>
              <w:rPr>
                <w:rFonts w:hint="eastAsia"/>
                <w:color w:val="FF0000"/>
                <w:sz w:val="24"/>
                <w:szCs w:val="24"/>
                <w:lang w:val="en-US" w:eastAsia="zh-CN"/>
              </w:rPr>
              <w:t>共计设置雾</w:t>
            </w:r>
            <w:r>
              <w:rPr>
                <w:rFonts w:hint="eastAsia"/>
                <w:color w:val="FF0000"/>
                <w:sz w:val="24"/>
                <w:lang w:val="en-US" w:eastAsia="zh-CN"/>
              </w:rPr>
              <w:t>化喷头4个，用水量为0.48m</w:t>
            </w:r>
            <w:r>
              <w:rPr>
                <w:rFonts w:hint="eastAsia"/>
                <w:color w:val="FF0000"/>
                <w:sz w:val="24"/>
                <w:vertAlign w:val="superscript"/>
                <w:lang w:val="en-US" w:eastAsia="zh-CN"/>
              </w:rPr>
              <w:t>3</w:t>
            </w:r>
            <w:r>
              <w:rPr>
                <w:rFonts w:hint="eastAsia"/>
                <w:color w:val="FF0000"/>
                <w:sz w:val="24"/>
                <w:lang w:val="en-US" w:eastAsia="zh-CN"/>
              </w:rPr>
              <w:t>/d。</w:t>
            </w:r>
          </w:p>
          <w:p w14:paraId="0C44D458">
            <w:pPr>
              <w:spacing w:line="360" w:lineRule="auto"/>
              <w:ind w:firstLine="480" w:firstLineChars="200"/>
              <w:rPr>
                <w:rFonts w:hint="eastAsia"/>
                <w:color w:val="FF0000"/>
                <w:sz w:val="24"/>
                <w:lang w:val="en-US" w:eastAsia="zh-CN"/>
              </w:rPr>
            </w:pPr>
            <w:r>
              <w:rPr>
                <w:rFonts w:hint="eastAsia"/>
                <w:color w:val="FF0000"/>
                <w:sz w:val="24"/>
                <w:lang w:val="en-US" w:eastAsia="zh-CN"/>
              </w:rPr>
              <w:t>成品堆场喷雾压尘用水：建</w:t>
            </w:r>
            <w:r>
              <w:rPr>
                <w:rFonts w:hint="eastAsia"/>
                <w:color w:val="FF0000"/>
                <w:sz w:val="24"/>
                <w:szCs w:val="24"/>
                <w:lang w:val="en-US" w:eastAsia="zh-CN"/>
              </w:rPr>
              <w:t>筑面积</w:t>
            </w:r>
            <w:r>
              <w:rPr>
                <w:rFonts w:hint="eastAsia" w:cs="Times New Roman"/>
                <w:color w:val="FF0000"/>
                <w:sz w:val="24"/>
                <w:szCs w:val="24"/>
                <w:lang w:val="en-US" w:eastAsia="zh-CN"/>
              </w:rPr>
              <w:t>750m</w:t>
            </w:r>
            <w:r>
              <w:rPr>
                <w:rFonts w:hint="eastAsia" w:cs="Times New Roman"/>
                <w:color w:val="FF0000"/>
                <w:sz w:val="24"/>
                <w:szCs w:val="24"/>
                <w:vertAlign w:val="superscript"/>
                <w:lang w:val="en-US" w:eastAsia="zh-CN"/>
              </w:rPr>
              <w:t>2</w:t>
            </w:r>
            <w:r>
              <w:rPr>
                <w:rFonts w:hint="eastAsia" w:cs="Times New Roman"/>
                <w:color w:val="FF0000"/>
                <w:sz w:val="24"/>
                <w:szCs w:val="24"/>
                <w:lang w:val="en-US" w:eastAsia="zh-CN"/>
              </w:rPr>
              <w:t>（长宽高30</w:t>
            </w:r>
            <w:r>
              <w:rPr>
                <w:rFonts w:hint="eastAsia" w:cs="Times New Roman"/>
                <w:b w:val="0"/>
                <w:bCs/>
                <w:color w:val="FF0000"/>
                <w:sz w:val="24"/>
                <w:szCs w:val="24"/>
                <w:highlight w:val="none"/>
                <w:vertAlign w:val="baseline"/>
                <w:lang w:val="en-US" w:eastAsia="zh-CN"/>
              </w:rPr>
              <w:t>m</w:t>
            </w:r>
            <w:r>
              <w:rPr>
                <w:rFonts w:hint="eastAsia" w:cs="Times New Roman"/>
                <w:color w:val="FF0000"/>
                <w:sz w:val="24"/>
                <w:szCs w:val="24"/>
                <w:lang w:val="en-US" w:eastAsia="zh-CN"/>
              </w:rPr>
              <w:t>*25</w:t>
            </w:r>
            <w:r>
              <w:rPr>
                <w:rFonts w:hint="eastAsia" w:cs="Times New Roman"/>
                <w:b w:val="0"/>
                <w:bCs/>
                <w:color w:val="FF0000"/>
                <w:sz w:val="24"/>
                <w:szCs w:val="24"/>
                <w:highlight w:val="none"/>
                <w:vertAlign w:val="baseline"/>
                <w:lang w:val="en-US" w:eastAsia="zh-CN"/>
              </w:rPr>
              <w:t>m</w:t>
            </w:r>
            <w:r>
              <w:rPr>
                <w:rFonts w:hint="eastAsia" w:cs="Times New Roman"/>
                <w:color w:val="FF0000"/>
                <w:sz w:val="24"/>
                <w:szCs w:val="24"/>
                <w:lang w:val="en-US" w:eastAsia="zh-CN"/>
              </w:rPr>
              <w:t>），</w:t>
            </w:r>
            <w:r>
              <w:rPr>
                <w:rFonts w:hint="eastAsia"/>
                <w:color w:val="0000FC"/>
                <w:sz w:val="24"/>
                <w:szCs w:val="24"/>
                <w:lang w:val="en-US" w:eastAsia="zh-CN"/>
              </w:rPr>
              <w:t>则成品堆场车间喷淋头行间距为10m，每行间距为12.5m，</w:t>
            </w:r>
            <w:r>
              <w:rPr>
                <w:rFonts w:hint="eastAsia"/>
                <w:color w:val="FF0000"/>
                <w:sz w:val="24"/>
                <w:lang w:val="en-US" w:eastAsia="zh-CN"/>
              </w:rPr>
              <w:t>共设置雾化喷头6个，用水量为0.72m</w:t>
            </w:r>
            <w:r>
              <w:rPr>
                <w:rFonts w:hint="eastAsia"/>
                <w:color w:val="FF0000"/>
                <w:sz w:val="24"/>
                <w:vertAlign w:val="superscript"/>
                <w:lang w:val="en-US" w:eastAsia="zh-CN"/>
              </w:rPr>
              <w:t>3</w:t>
            </w:r>
            <w:r>
              <w:rPr>
                <w:rFonts w:hint="eastAsia"/>
                <w:color w:val="FF0000"/>
                <w:sz w:val="24"/>
                <w:lang w:val="en-US" w:eastAsia="zh-CN"/>
              </w:rPr>
              <w:t>/d。</w:t>
            </w:r>
          </w:p>
          <w:p w14:paraId="1E9EDFD2">
            <w:pPr>
              <w:spacing w:line="360" w:lineRule="auto"/>
              <w:ind w:firstLine="480" w:firstLineChars="200"/>
              <w:rPr>
                <w:rFonts w:hint="default"/>
                <w:color w:val="FF0000"/>
                <w:sz w:val="24"/>
                <w:lang w:val="en-US" w:eastAsia="zh-CN"/>
              </w:rPr>
            </w:pPr>
            <w:r>
              <w:rPr>
                <w:rFonts w:hint="eastAsia"/>
                <w:color w:val="FF0000"/>
                <w:sz w:val="24"/>
                <w:lang w:val="en-US" w:eastAsia="zh-CN"/>
              </w:rPr>
              <w:t>根据类比同类项目，</w:t>
            </w:r>
            <w:r>
              <w:rPr>
                <w:rFonts w:hint="eastAsia"/>
                <w:color w:val="FF0000"/>
                <w:sz w:val="24"/>
                <w:lang w:eastAsia="zh-CN"/>
              </w:rPr>
              <w:t>场区地面、</w:t>
            </w:r>
            <w:r>
              <w:rPr>
                <w:rFonts w:hint="eastAsia"/>
                <w:color w:val="FF0000"/>
                <w:sz w:val="24"/>
                <w:lang w:val="en-US" w:eastAsia="zh-CN"/>
              </w:rPr>
              <w:t>矿区道路采用洒水车</w:t>
            </w:r>
            <w:r>
              <w:rPr>
                <w:rFonts w:hint="eastAsia"/>
                <w:color w:val="FF0000"/>
                <w:sz w:val="24"/>
                <w:lang w:eastAsia="zh-CN"/>
              </w:rPr>
              <w:t>洒水量</w:t>
            </w:r>
            <w:r>
              <w:rPr>
                <w:rFonts w:hint="eastAsia"/>
                <w:color w:val="FF0000"/>
                <w:sz w:val="24"/>
                <w:lang w:val="en-US" w:eastAsia="zh-CN"/>
              </w:rPr>
              <w:t>约</w:t>
            </w:r>
            <w:r>
              <w:rPr>
                <w:rFonts w:hint="eastAsia"/>
                <w:color w:val="FF0000"/>
                <w:sz w:val="24"/>
                <w:lang w:eastAsia="zh-CN"/>
              </w:rPr>
              <w:t>为</w:t>
            </w:r>
            <w:r>
              <w:rPr>
                <w:rFonts w:hint="eastAsia"/>
                <w:color w:val="FF0000"/>
                <w:sz w:val="24"/>
                <w:lang w:val="en-US" w:eastAsia="zh-CN"/>
              </w:rPr>
              <w:t>4m</w:t>
            </w:r>
            <w:r>
              <w:rPr>
                <w:rFonts w:hint="eastAsia"/>
                <w:color w:val="FF0000"/>
                <w:sz w:val="24"/>
                <w:vertAlign w:val="superscript"/>
                <w:lang w:val="en-US" w:eastAsia="zh-CN"/>
              </w:rPr>
              <w:t>3</w:t>
            </w:r>
            <w:r>
              <w:rPr>
                <w:rFonts w:hint="eastAsia"/>
                <w:color w:val="FF0000"/>
                <w:sz w:val="24"/>
                <w:lang w:val="en-US" w:eastAsia="zh-CN"/>
              </w:rPr>
              <w:t>/d，开采区、装卸区及排土场采用雾炮机喷雾降尘，根据类比同类项目，一台雾炮机75L/h，设每天喷雾次数最大为4次，每次1小时，则喷雾降尘用水量为0.9m</w:t>
            </w:r>
            <w:r>
              <w:rPr>
                <w:rFonts w:hint="eastAsia"/>
                <w:color w:val="FF0000"/>
                <w:sz w:val="24"/>
                <w:vertAlign w:val="superscript"/>
                <w:lang w:val="en-US" w:eastAsia="zh-CN"/>
              </w:rPr>
              <w:t>3</w:t>
            </w:r>
            <w:r>
              <w:rPr>
                <w:rFonts w:hint="eastAsia"/>
                <w:color w:val="FF0000"/>
                <w:sz w:val="24"/>
                <w:lang w:val="en-US" w:eastAsia="zh-CN"/>
              </w:rPr>
              <w:t>/d。</w:t>
            </w:r>
          </w:p>
          <w:p w14:paraId="51F7C501">
            <w:pPr>
              <w:spacing w:line="360" w:lineRule="auto"/>
              <w:ind w:firstLine="480" w:firstLineChars="200"/>
              <w:rPr>
                <w:rFonts w:hint="eastAsia"/>
                <w:color w:val="FF0000"/>
                <w:sz w:val="24"/>
                <w:lang w:val="en-US" w:eastAsia="zh-CN"/>
              </w:rPr>
            </w:pPr>
            <w:r>
              <w:rPr>
                <w:rFonts w:hint="eastAsia"/>
                <w:color w:val="FF0000"/>
                <w:sz w:val="24"/>
                <w:lang w:val="en-US" w:eastAsia="zh-CN"/>
              </w:rPr>
              <w:t>综上所述，降尘用水量为9.08m</w:t>
            </w:r>
            <w:r>
              <w:rPr>
                <w:rFonts w:hint="eastAsia"/>
                <w:color w:val="FF0000"/>
                <w:sz w:val="24"/>
                <w:vertAlign w:val="superscript"/>
                <w:lang w:val="en-US" w:eastAsia="zh-CN"/>
              </w:rPr>
              <w:t>3</w:t>
            </w:r>
            <w:r>
              <w:rPr>
                <w:rFonts w:hint="eastAsia"/>
                <w:color w:val="FF0000"/>
                <w:sz w:val="24"/>
                <w:lang w:val="en-US" w:eastAsia="zh-CN"/>
              </w:rPr>
              <w:t>/d（2270m</w:t>
            </w:r>
            <w:r>
              <w:rPr>
                <w:rFonts w:hint="eastAsia"/>
                <w:color w:val="FF0000"/>
                <w:sz w:val="24"/>
                <w:vertAlign w:val="superscript"/>
                <w:lang w:val="en-US" w:eastAsia="zh-CN"/>
              </w:rPr>
              <w:t>3</w:t>
            </w:r>
            <w:r>
              <w:rPr>
                <w:rFonts w:hint="eastAsia"/>
                <w:color w:val="FF0000"/>
                <w:sz w:val="24"/>
                <w:lang w:val="en-US" w:eastAsia="zh-CN"/>
              </w:rPr>
              <w:t>/a），此部分用水采用清净水，水质本身不含污染物，洒水后基本全部自然蒸发散失，不外排。</w:t>
            </w:r>
          </w:p>
          <w:p w14:paraId="45FEA951">
            <w:pPr>
              <w:pStyle w:val="5"/>
              <w:bidi w:val="0"/>
              <w:rPr>
                <w:rFonts w:hint="default"/>
                <w:color w:val="0000FF"/>
                <w:lang w:val="en-US" w:eastAsia="zh-CN"/>
              </w:rPr>
            </w:pPr>
            <w:r>
              <w:rPr>
                <w:rFonts w:hint="eastAsia"/>
                <w:color w:val="0000FF"/>
                <w:lang w:val="en-US" w:eastAsia="zh-CN"/>
              </w:rPr>
              <w:t>表4-3  项目用排水情况表</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2034"/>
              <w:gridCol w:w="1023"/>
              <w:gridCol w:w="1023"/>
              <w:gridCol w:w="1023"/>
              <w:gridCol w:w="1024"/>
              <w:gridCol w:w="1633"/>
            </w:tblGrid>
            <w:tr w14:paraId="50562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0" w:type="dxa"/>
                  <w:gridSpan w:val="2"/>
                  <w:vMerge w:val="restart"/>
                  <w:tcBorders>
                    <w:tl2br w:val="nil"/>
                    <w:tr2bl w:val="nil"/>
                  </w:tcBorders>
                  <w:vAlign w:val="center"/>
                </w:tcPr>
                <w:p w14:paraId="78DC4CC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b/>
                      <w:bCs/>
                      <w:color w:val="0000FF"/>
                      <w:sz w:val="21"/>
                      <w:szCs w:val="21"/>
                      <w:lang w:val="en-US" w:eastAsia="zh-CN"/>
                    </w:rPr>
                  </w:pPr>
                  <w:r>
                    <w:rPr>
                      <w:rFonts w:hint="eastAsia" w:ascii="Times New Roman" w:hAnsi="Times New Roman" w:eastAsia="宋体"/>
                      <w:b/>
                      <w:bCs/>
                      <w:color w:val="0000FF"/>
                      <w:sz w:val="21"/>
                      <w:szCs w:val="21"/>
                      <w:lang w:val="en-US" w:eastAsia="zh-CN"/>
                    </w:rPr>
                    <w:t>项目类别</w:t>
                  </w:r>
                </w:p>
              </w:tc>
              <w:tc>
                <w:tcPr>
                  <w:tcW w:w="2046" w:type="dxa"/>
                  <w:gridSpan w:val="2"/>
                  <w:tcBorders>
                    <w:tl2br w:val="nil"/>
                    <w:tr2bl w:val="nil"/>
                  </w:tcBorders>
                  <w:vAlign w:val="center"/>
                </w:tcPr>
                <w:p w14:paraId="7923CDA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b/>
                      <w:bCs/>
                      <w:color w:val="0000FF"/>
                      <w:sz w:val="21"/>
                      <w:szCs w:val="21"/>
                      <w:lang w:val="en-US" w:eastAsia="zh-CN"/>
                    </w:rPr>
                  </w:pPr>
                  <w:r>
                    <w:rPr>
                      <w:rFonts w:hint="eastAsia" w:ascii="Times New Roman" w:hAnsi="Times New Roman" w:eastAsia="宋体"/>
                      <w:b/>
                      <w:bCs/>
                      <w:color w:val="0000FF"/>
                      <w:sz w:val="21"/>
                      <w:szCs w:val="21"/>
                      <w:lang w:val="en-US" w:eastAsia="zh-CN"/>
                    </w:rPr>
                    <w:t>用水量</w:t>
                  </w:r>
                </w:p>
              </w:tc>
              <w:tc>
                <w:tcPr>
                  <w:tcW w:w="2047" w:type="dxa"/>
                  <w:gridSpan w:val="2"/>
                  <w:tcBorders>
                    <w:tl2br w:val="nil"/>
                    <w:tr2bl w:val="nil"/>
                  </w:tcBorders>
                  <w:vAlign w:val="center"/>
                </w:tcPr>
                <w:p w14:paraId="7A631FF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b/>
                      <w:bCs/>
                      <w:color w:val="0000FF"/>
                      <w:sz w:val="21"/>
                      <w:szCs w:val="21"/>
                      <w:lang w:val="en-US" w:eastAsia="zh-CN"/>
                    </w:rPr>
                  </w:pPr>
                  <w:r>
                    <w:rPr>
                      <w:rFonts w:hint="eastAsia" w:ascii="Times New Roman" w:hAnsi="Times New Roman" w:eastAsia="宋体"/>
                      <w:b/>
                      <w:bCs/>
                      <w:color w:val="0000FF"/>
                      <w:sz w:val="21"/>
                      <w:szCs w:val="21"/>
                      <w:lang w:val="en-US" w:eastAsia="zh-CN"/>
                    </w:rPr>
                    <w:t>排水量</w:t>
                  </w:r>
                </w:p>
              </w:tc>
              <w:tc>
                <w:tcPr>
                  <w:tcW w:w="1633" w:type="dxa"/>
                  <w:vMerge w:val="restart"/>
                  <w:tcBorders>
                    <w:tl2br w:val="nil"/>
                    <w:tr2bl w:val="nil"/>
                  </w:tcBorders>
                  <w:vAlign w:val="center"/>
                </w:tcPr>
                <w:p w14:paraId="19209EF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b/>
                      <w:bCs/>
                      <w:color w:val="0000FF"/>
                      <w:sz w:val="21"/>
                      <w:szCs w:val="21"/>
                      <w:lang w:val="en-US" w:eastAsia="zh-CN"/>
                    </w:rPr>
                  </w:pPr>
                  <w:r>
                    <w:rPr>
                      <w:rFonts w:hint="eastAsia"/>
                      <w:b/>
                      <w:bCs/>
                      <w:color w:val="0000FF"/>
                      <w:sz w:val="21"/>
                      <w:szCs w:val="21"/>
                      <w:lang w:val="en-US" w:eastAsia="zh-CN"/>
                    </w:rPr>
                    <w:t>去向</w:t>
                  </w:r>
                </w:p>
              </w:tc>
            </w:tr>
            <w:tr w14:paraId="02BA6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0" w:type="dxa"/>
                  <w:gridSpan w:val="2"/>
                  <w:vMerge w:val="continue"/>
                  <w:tcBorders>
                    <w:tl2br w:val="nil"/>
                    <w:tr2bl w:val="nil"/>
                  </w:tcBorders>
                  <w:vAlign w:val="center"/>
                </w:tcPr>
                <w:p w14:paraId="1021AB0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b/>
                      <w:bCs/>
                      <w:color w:val="0000FF"/>
                      <w:sz w:val="21"/>
                      <w:szCs w:val="21"/>
                      <w:lang w:val="en-US" w:eastAsia="zh-CN"/>
                    </w:rPr>
                  </w:pPr>
                </w:p>
              </w:tc>
              <w:tc>
                <w:tcPr>
                  <w:tcW w:w="1023" w:type="dxa"/>
                  <w:tcBorders>
                    <w:tl2br w:val="nil"/>
                    <w:tr2bl w:val="nil"/>
                  </w:tcBorders>
                  <w:vAlign w:val="center"/>
                </w:tcPr>
                <w:p w14:paraId="3BF9CDA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b/>
                      <w:bCs/>
                      <w:color w:val="0000FF"/>
                      <w:sz w:val="21"/>
                      <w:szCs w:val="21"/>
                      <w:lang w:val="en-US" w:eastAsia="zh-CN"/>
                    </w:rPr>
                  </w:pPr>
                  <w:r>
                    <w:rPr>
                      <w:rFonts w:hint="eastAsia"/>
                      <w:color w:val="0000FF"/>
                      <w:lang w:val="en-US" w:eastAsia="zh-CN"/>
                    </w:rPr>
                    <w:t>m</w:t>
                  </w:r>
                  <w:r>
                    <w:rPr>
                      <w:rFonts w:hint="eastAsia"/>
                      <w:color w:val="0000FF"/>
                      <w:vertAlign w:val="superscript"/>
                      <w:lang w:val="en-US" w:eastAsia="zh-CN"/>
                    </w:rPr>
                    <w:t>3</w:t>
                  </w:r>
                  <w:r>
                    <w:rPr>
                      <w:rFonts w:hint="eastAsia"/>
                      <w:color w:val="0000FF"/>
                      <w:lang w:val="en-US" w:eastAsia="zh-CN"/>
                    </w:rPr>
                    <w:t>/d</w:t>
                  </w:r>
                </w:p>
              </w:tc>
              <w:tc>
                <w:tcPr>
                  <w:tcW w:w="1023" w:type="dxa"/>
                  <w:tcBorders>
                    <w:tl2br w:val="nil"/>
                    <w:tr2bl w:val="nil"/>
                  </w:tcBorders>
                  <w:vAlign w:val="center"/>
                </w:tcPr>
                <w:p w14:paraId="73E1E01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b/>
                      <w:bCs/>
                      <w:color w:val="0000FF"/>
                      <w:sz w:val="21"/>
                      <w:szCs w:val="21"/>
                      <w:lang w:val="en-US" w:eastAsia="zh-CN"/>
                    </w:rPr>
                  </w:pPr>
                  <w:r>
                    <w:rPr>
                      <w:rFonts w:hint="eastAsia"/>
                      <w:color w:val="0000FF"/>
                      <w:lang w:val="en-US" w:eastAsia="zh-CN"/>
                    </w:rPr>
                    <w:t>m</w:t>
                  </w:r>
                  <w:r>
                    <w:rPr>
                      <w:rFonts w:hint="eastAsia"/>
                      <w:color w:val="0000FF"/>
                      <w:vertAlign w:val="superscript"/>
                      <w:lang w:val="en-US" w:eastAsia="zh-CN"/>
                    </w:rPr>
                    <w:t>3</w:t>
                  </w:r>
                  <w:r>
                    <w:rPr>
                      <w:rFonts w:hint="eastAsia"/>
                      <w:color w:val="0000FF"/>
                      <w:lang w:val="en-US" w:eastAsia="zh-CN"/>
                    </w:rPr>
                    <w:t>/a</w:t>
                  </w:r>
                </w:p>
              </w:tc>
              <w:tc>
                <w:tcPr>
                  <w:tcW w:w="1023" w:type="dxa"/>
                  <w:tcBorders>
                    <w:tl2br w:val="nil"/>
                    <w:tr2bl w:val="nil"/>
                  </w:tcBorders>
                  <w:vAlign w:val="center"/>
                </w:tcPr>
                <w:p w14:paraId="58461FB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b/>
                      <w:bCs/>
                      <w:color w:val="0000FF"/>
                      <w:sz w:val="21"/>
                      <w:szCs w:val="21"/>
                      <w:lang w:val="en-US" w:eastAsia="zh-CN"/>
                    </w:rPr>
                  </w:pPr>
                  <w:r>
                    <w:rPr>
                      <w:rFonts w:hint="eastAsia"/>
                      <w:color w:val="0000FF"/>
                      <w:lang w:val="en-US" w:eastAsia="zh-CN"/>
                    </w:rPr>
                    <w:t>m</w:t>
                  </w:r>
                  <w:r>
                    <w:rPr>
                      <w:rFonts w:hint="eastAsia"/>
                      <w:color w:val="0000FF"/>
                      <w:vertAlign w:val="superscript"/>
                      <w:lang w:val="en-US" w:eastAsia="zh-CN"/>
                    </w:rPr>
                    <w:t>3</w:t>
                  </w:r>
                  <w:r>
                    <w:rPr>
                      <w:rFonts w:hint="eastAsia"/>
                      <w:color w:val="0000FF"/>
                      <w:lang w:val="en-US" w:eastAsia="zh-CN"/>
                    </w:rPr>
                    <w:t>/d</w:t>
                  </w:r>
                </w:p>
              </w:tc>
              <w:tc>
                <w:tcPr>
                  <w:tcW w:w="1024" w:type="dxa"/>
                  <w:tcBorders>
                    <w:tl2br w:val="nil"/>
                    <w:tr2bl w:val="nil"/>
                  </w:tcBorders>
                  <w:vAlign w:val="center"/>
                </w:tcPr>
                <w:p w14:paraId="38F6B4A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b/>
                      <w:bCs/>
                      <w:color w:val="0000FF"/>
                      <w:sz w:val="21"/>
                      <w:szCs w:val="21"/>
                      <w:lang w:val="en-US" w:eastAsia="zh-CN"/>
                    </w:rPr>
                  </w:pPr>
                  <w:r>
                    <w:rPr>
                      <w:rFonts w:hint="eastAsia"/>
                      <w:color w:val="0000FF"/>
                      <w:lang w:val="en-US" w:eastAsia="zh-CN"/>
                    </w:rPr>
                    <w:t>m</w:t>
                  </w:r>
                  <w:r>
                    <w:rPr>
                      <w:rFonts w:hint="eastAsia"/>
                      <w:color w:val="0000FF"/>
                      <w:vertAlign w:val="superscript"/>
                      <w:lang w:val="en-US" w:eastAsia="zh-CN"/>
                    </w:rPr>
                    <w:t>3</w:t>
                  </w:r>
                  <w:r>
                    <w:rPr>
                      <w:rFonts w:hint="eastAsia"/>
                      <w:color w:val="0000FF"/>
                      <w:lang w:val="en-US" w:eastAsia="zh-CN"/>
                    </w:rPr>
                    <w:t>/a</w:t>
                  </w:r>
                </w:p>
              </w:tc>
              <w:tc>
                <w:tcPr>
                  <w:tcW w:w="1633" w:type="dxa"/>
                  <w:vMerge w:val="continue"/>
                  <w:tcBorders>
                    <w:tl2br w:val="nil"/>
                    <w:tr2bl w:val="nil"/>
                  </w:tcBorders>
                  <w:vAlign w:val="center"/>
                </w:tcPr>
                <w:p w14:paraId="7B998B8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b/>
                      <w:bCs/>
                      <w:color w:val="0000FF"/>
                      <w:sz w:val="21"/>
                      <w:szCs w:val="21"/>
                      <w:lang w:val="en-US" w:eastAsia="zh-CN"/>
                    </w:rPr>
                  </w:pPr>
                </w:p>
              </w:tc>
            </w:tr>
            <w:tr w14:paraId="4C53C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720" w:type="dxa"/>
                  <w:gridSpan w:val="2"/>
                  <w:tcBorders>
                    <w:tl2br w:val="nil"/>
                    <w:tr2bl w:val="nil"/>
                  </w:tcBorders>
                  <w:vAlign w:val="center"/>
                </w:tcPr>
                <w:p w14:paraId="587764D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生活用水</w:t>
                  </w:r>
                </w:p>
              </w:tc>
              <w:tc>
                <w:tcPr>
                  <w:tcW w:w="1023" w:type="dxa"/>
                  <w:tcBorders>
                    <w:tl2br w:val="nil"/>
                    <w:tr2bl w:val="nil"/>
                  </w:tcBorders>
                  <w:vAlign w:val="center"/>
                </w:tcPr>
                <w:p w14:paraId="12389CC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2.25</w:t>
                  </w:r>
                </w:p>
              </w:tc>
              <w:tc>
                <w:tcPr>
                  <w:tcW w:w="1023" w:type="dxa"/>
                  <w:tcBorders>
                    <w:tl2br w:val="nil"/>
                    <w:tr2bl w:val="nil"/>
                  </w:tcBorders>
                  <w:vAlign w:val="center"/>
                </w:tcPr>
                <w:p w14:paraId="1F04752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562.5</w:t>
                  </w:r>
                </w:p>
              </w:tc>
              <w:tc>
                <w:tcPr>
                  <w:tcW w:w="1023" w:type="dxa"/>
                  <w:tcBorders>
                    <w:tl2br w:val="nil"/>
                    <w:tr2bl w:val="nil"/>
                  </w:tcBorders>
                  <w:vAlign w:val="center"/>
                </w:tcPr>
                <w:p w14:paraId="7054B34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1.8</w:t>
                  </w:r>
                </w:p>
              </w:tc>
              <w:tc>
                <w:tcPr>
                  <w:tcW w:w="1024" w:type="dxa"/>
                  <w:tcBorders>
                    <w:tl2br w:val="nil"/>
                    <w:tr2bl w:val="nil"/>
                  </w:tcBorders>
                  <w:vAlign w:val="center"/>
                </w:tcPr>
                <w:p w14:paraId="6C32260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450</w:t>
                  </w:r>
                </w:p>
              </w:tc>
              <w:tc>
                <w:tcPr>
                  <w:tcW w:w="1633" w:type="dxa"/>
                  <w:tcBorders>
                    <w:tl2br w:val="nil"/>
                    <w:tr2bl w:val="nil"/>
                  </w:tcBorders>
                  <w:vAlign w:val="center"/>
                </w:tcPr>
                <w:p w14:paraId="02382D0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进入化粪池，定期清掏拉运</w:t>
                  </w:r>
                </w:p>
              </w:tc>
            </w:tr>
            <w:tr w14:paraId="70E03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0" w:type="dxa"/>
                  <w:gridSpan w:val="2"/>
                  <w:tcBorders>
                    <w:tl2br w:val="nil"/>
                    <w:tr2bl w:val="nil"/>
                  </w:tcBorders>
                  <w:vAlign w:val="center"/>
                </w:tcPr>
                <w:p w14:paraId="47276B2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机械及车辆冲洗用水</w:t>
                  </w:r>
                </w:p>
              </w:tc>
              <w:tc>
                <w:tcPr>
                  <w:tcW w:w="1023" w:type="dxa"/>
                  <w:tcBorders>
                    <w:tl2br w:val="nil"/>
                    <w:tr2bl w:val="nil"/>
                  </w:tcBorders>
                  <w:vAlign w:val="center"/>
                </w:tcPr>
                <w:p w14:paraId="7D807D7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3</w:t>
                  </w:r>
                </w:p>
              </w:tc>
              <w:tc>
                <w:tcPr>
                  <w:tcW w:w="1023" w:type="dxa"/>
                  <w:tcBorders>
                    <w:tl2br w:val="nil"/>
                    <w:tr2bl w:val="nil"/>
                  </w:tcBorders>
                  <w:vAlign w:val="center"/>
                </w:tcPr>
                <w:p w14:paraId="5C1EEF0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3</w:t>
                  </w:r>
                </w:p>
              </w:tc>
              <w:tc>
                <w:tcPr>
                  <w:tcW w:w="1023" w:type="dxa"/>
                  <w:tcBorders>
                    <w:tl2br w:val="nil"/>
                    <w:tr2bl w:val="nil"/>
                  </w:tcBorders>
                  <w:vAlign w:val="center"/>
                </w:tcPr>
                <w:p w14:paraId="4796642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0</w:t>
                  </w:r>
                </w:p>
              </w:tc>
              <w:tc>
                <w:tcPr>
                  <w:tcW w:w="1024" w:type="dxa"/>
                  <w:tcBorders>
                    <w:tl2br w:val="nil"/>
                    <w:tr2bl w:val="nil"/>
                  </w:tcBorders>
                  <w:vAlign w:val="center"/>
                </w:tcPr>
                <w:p w14:paraId="56AB649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0</w:t>
                  </w:r>
                </w:p>
              </w:tc>
              <w:tc>
                <w:tcPr>
                  <w:tcW w:w="1633" w:type="dxa"/>
                  <w:tcBorders>
                    <w:tl2br w:val="nil"/>
                    <w:tr2bl w:val="nil"/>
                  </w:tcBorders>
                  <w:vAlign w:val="center"/>
                </w:tcPr>
                <w:p w14:paraId="15D4795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经沉淀池处理后循环使用</w:t>
                  </w:r>
                </w:p>
              </w:tc>
            </w:tr>
            <w:tr w14:paraId="58ACB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dxa"/>
                  <w:vMerge w:val="restart"/>
                  <w:tcBorders>
                    <w:tl2br w:val="nil"/>
                    <w:tr2bl w:val="nil"/>
                  </w:tcBorders>
                  <w:vAlign w:val="center"/>
                </w:tcPr>
                <w:p w14:paraId="5457767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喷淋降尘用水</w:t>
                  </w:r>
                </w:p>
              </w:tc>
              <w:tc>
                <w:tcPr>
                  <w:tcW w:w="2034" w:type="dxa"/>
                  <w:tcBorders>
                    <w:tl2br w:val="nil"/>
                    <w:tr2bl w:val="nil"/>
                  </w:tcBorders>
                  <w:vAlign w:val="center"/>
                </w:tcPr>
                <w:p w14:paraId="4801DBB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生产车间喷淋用水</w:t>
                  </w:r>
                </w:p>
              </w:tc>
              <w:tc>
                <w:tcPr>
                  <w:tcW w:w="1023" w:type="dxa"/>
                  <w:tcBorders>
                    <w:tl2br w:val="nil"/>
                    <w:tr2bl w:val="nil"/>
                  </w:tcBorders>
                  <w:vAlign w:val="center"/>
                </w:tcPr>
                <w:p w14:paraId="29BC93F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2.52</w:t>
                  </w:r>
                </w:p>
              </w:tc>
              <w:tc>
                <w:tcPr>
                  <w:tcW w:w="1023" w:type="dxa"/>
                  <w:tcBorders>
                    <w:tl2br w:val="nil"/>
                    <w:tr2bl w:val="nil"/>
                  </w:tcBorders>
                  <w:vAlign w:val="center"/>
                </w:tcPr>
                <w:p w14:paraId="25A6EA0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630</w:t>
                  </w:r>
                </w:p>
              </w:tc>
              <w:tc>
                <w:tcPr>
                  <w:tcW w:w="1023" w:type="dxa"/>
                  <w:tcBorders>
                    <w:tl2br w:val="nil"/>
                    <w:tr2bl w:val="nil"/>
                  </w:tcBorders>
                  <w:vAlign w:val="center"/>
                </w:tcPr>
                <w:p w14:paraId="6B37C64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0</w:t>
                  </w:r>
                </w:p>
              </w:tc>
              <w:tc>
                <w:tcPr>
                  <w:tcW w:w="1024" w:type="dxa"/>
                  <w:tcBorders>
                    <w:tl2br w:val="nil"/>
                    <w:tr2bl w:val="nil"/>
                  </w:tcBorders>
                  <w:vAlign w:val="center"/>
                </w:tcPr>
                <w:p w14:paraId="2BAF109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0</w:t>
                  </w:r>
                </w:p>
              </w:tc>
              <w:tc>
                <w:tcPr>
                  <w:tcW w:w="1633" w:type="dxa"/>
                  <w:vMerge w:val="restart"/>
                  <w:tcBorders>
                    <w:tl2br w:val="nil"/>
                    <w:tr2bl w:val="nil"/>
                  </w:tcBorders>
                  <w:vAlign w:val="center"/>
                </w:tcPr>
                <w:p w14:paraId="05657BC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自然蒸发</w:t>
                  </w:r>
                </w:p>
              </w:tc>
            </w:tr>
            <w:tr w14:paraId="35CBF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dxa"/>
                  <w:vMerge w:val="continue"/>
                  <w:tcBorders>
                    <w:tl2br w:val="nil"/>
                    <w:tr2bl w:val="nil"/>
                  </w:tcBorders>
                  <w:vAlign w:val="center"/>
                </w:tcPr>
                <w:p w14:paraId="436EE13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p>
              </w:tc>
              <w:tc>
                <w:tcPr>
                  <w:tcW w:w="2034" w:type="dxa"/>
                  <w:tcBorders>
                    <w:tl2br w:val="nil"/>
                    <w:tr2bl w:val="nil"/>
                  </w:tcBorders>
                  <w:vAlign w:val="center"/>
                </w:tcPr>
                <w:p w14:paraId="271EBD9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破碎车间喷淋用水</w:t>
                  </w:r>
                </w:p>
              </w:tc>
              <w:tc>
                <w:tcPr>
                  <w:tcW w:w="1023" w:type="dxa"/>
                  <w:tcBorders>
                    <w:tl2br w:val="nil"/>
                    <w:tr2bl w:val="nil"/>
                  </w:tcBorders>
                  <w:vAlign w:val="center"/>
                </w:tcPr>
                <w:p w14:paraId="2A16316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0.48</w:t>
                  </w:r>
                </w:p>
              </w:tc>
              <w:tc>
                <w:tcPr>
                  <w:tcW w:w="1023" w:type="dxa"/>
                  <w:tcBorders>
                    <w:tl2br w:val="nil"/>
                    <w:tr2bl w:val="nil"/>
                  </w:tcBorders>
                  <w:vAlign w:val="center"/>
                </w:tcPr>
                <w:p w14:paraId="61CDFB9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120</w:t>
                  </w:r>
                </w:p>
              </w:tc>
              <w:tc>
                <w:tcPr>
                  <w:tcW w:w="1023" w:type="dxa"/>
                  <w:tcBorders>
                    <w:tl2br w:val="nil"/>
                    <w:tr2bl w:val="nil"/>
                  </w:tcBorders>
                  <w:vAlign w:val="center"/>
                </w:tcPr>
                <w:p w14:paraId="66BDE25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0</w:t>
                  </w:r>
                </w:p>
              </w:tc>
              <w:tc>
                <w:tcPr>
                  <w:tcW w:w="1024" w:type="dxa"/>
                  <w:tcBorders>
                    <w:tl2br w:val="nil"/>
                    <w:tr2bl w:val="nil"/>
                  </w:tcBorders>
                  <w:vAlign w:val="center"/>
                </w:tcPr>
                <w:p w14:paraId="1D87A6E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0</w:t>
                  </w:r>
                </w:p>
              </w:tc>
              <w:tc>
                <w:tcPr>
                  <w:tcW w:w="1633" w:type="dxa"/>
                  <w:vMerge w:val="continue"/>
                  <w:tcBorders>
                    <w:tl2br w:val="nil"/>
                    <w:tr2bl w:val="nil"/>
                  </w:tcBorders>
                  <w:vAlign w:val="center"/>
                </w:tcPr>
                <w:p w14:paraId="3893161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p>
              </w:tc>
            </w:tr>
            <w:tr w14:paraId="0513A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dxa"/>
                  <w:vMerge w:val="continue"/>
                  <w:tcBorders>
                    <w:tl2br w:val="nil"/>
                    <w:tr2bl w:val="nil"/>
                  </w:tcBorders>
                  <w:vAlign w:val="center"/>
                </w:tcPr>
                <w:p w14:paraId="4502391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p>
              </w:tc>
              <w:tc>
                <w:tcPr>
                  <w:tcW w:w="2034" w:type="dxa"/>
                  <w:tcBorders>
                    <w:tl2br w:val="nil"/>
                    <w:tr2bl w:val="nil"/>
                  </w:tcBorders>
                  <w:vAlign w:val="center"/>
                </w:tcPr>
                <w:p w14:paraId="44FE8F3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筛分车间喷淋用水</w:t>
                  </w:r>
                </w:p>
              </w:tc>
              <w:tc>
                <w:tcPr>
                  <w:tcW w:w="1023" w:type="dxa"/>
                  <w:tcBorders>
                    <w:tl2br w:val="nil"/>
                    <w:tr2bl w:val="nil"/>
                  </w:tcBorders>
                  <w:vAlign w:val="center"/>
                </w:tcPr>
                <w:p w14:paraId="06A2D59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0.48</w:t>
                  </w:r>
                </w:p>
              </w:tc>
              <w:tc>
                <w:tcPr>
                  <w:tcW w:w="1023" w:type="dxa"/>
                  <w:tcBorders>
                    <w:tl2br w:val="nil"/>
                    <w:tr2bl w:val="nil"/>
                  </w:tcBorders>
                  <w:vAlign w:val="center"/>
                </w:tcPr>
                <w:p w14:paraId="431A8A2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120</w:t>
                  </w:r>
                </w:p>
              </w:tc>
              <w:tc>
                <w:tcPr>
                  <w:tcW w:w="1023" w:type="dxa"/>
                  <w:tcBorders>
                    <w:tl2br w:val="nil"/>
                    <w:tr2bl w:val="nil"/>
                  </w:tcBorders>
                  <w:vAlign w:val="center"/>
                </w:tcPr>
                <w:p w14:paraId="0710FD1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0</w:t>
                  </w:r>
                </w:p>
              </w:tc>
              <w:tc>
                <w:tcPr>
                  <w:tcW w:w="1024" w:type="dxa"/>
                  <w:tcBorders>
                    <w:tl2br w:val="nil"/>
                    <w:tr2bl w:val="nil"/>
                  </w:tcBorders>
                  <w:vAlign w:val="center"/>
                </w:tcPr>
                <w:p w14:paraId="60D916A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0</w:t>
                  </w:r>
                </w:p>
              </w:tc>
              <w:tc>
                <w:tcPr>
                  <w:tcW w:w="1633" w:type="dxa"/>
                  <w:vMerge w:val="continue"/>
                  <w:tcBorders>
                    <w:tl2br w:val="nil"/>
                    <w:tr2bl w:val="nil"/>
                  </w:tcBorders>
                  <w:vAlign w:val="center"/>
                </w:tcPr>
                <w:p w14:paraId="468ED61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p>
              </w:tc>
            </w:tr>
            <w:tr w14:paraId="1CBB2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dxa"/>
                  <w:vMerge w:val="continue"/>
                  <w:tcBorders>
                    <w:tl2br w:val="nil"/>
                    <w:tr2bl w:val="nil"/>
                  </w:tcBorders>
                  <w:vAlign w:val="center"/>
                </w:tcPr>
                <w:p w14:paraId="07E7F9E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p>
              </w:tc>
              <w:tc>
                <w:tcPr>
                  <w:tcW w:w="2034" w:type="dxa"/>
                  <w:tcBorders>
                    <w:tl2br w:val="nil"/>
                    <w:tr2bl w:val="nil"/>
                  </w:tcBorders>
                  <w:vAlign w:val="center"/>
                </w:tcPr>
                <w:p w14:paraId="63EFDB1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成品堆场喷淋用水</w:t>
                  </w:r>
                </w:p>
              </w:tc>
              <w:tc>
                <w:tcPr>
                  <w:tcW w:w="1023" w:type="dxa"/>
                  <w:tcBorders>
                    <w:tl2br w:val="nil"/>
                    <w:tr2bl w:val="nil"/>
                  </w:tcBorders>
                  <w:vAlign w:val="center"/>
                </w:tcPr>
                <w:p w14:paraId="03D289A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0.72</w:t>
                  </w:r>
                </w:p>
              </w:tc>
              <w:tc>
                <w:tcPr>
                  <w:tcW w:w="1023" w:type="dxa"/>
                  <w:tcBorders>
                    <w:tl2br w:val="nil"/>
                    <w:tr2bl w:val="nil"/>
                  </w:tcBorders>
                  <w:vAlign w:val="center"/>
                </w:tcPr>
                <w:p w14:paraId="47B5BA3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180</w:t>
                  </w:r>
                </w:p>
              </w:tc>
              <w:tc>
                <w:tcPr>
                  <w:tcW w:w="1023" w:type="dxa"/>
                  <w:tcBorders>
                    <w:tl2br w:val="nil"/>
                    <w:tr2bl w:val="nil"/>
                  </w:tcBorders>
                  <w:vAlign w:val="center"/>
                </w:tcPr>
                <w:p w14:paraId="5BB548C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0</w:t>
                  </w:r>
                </w:p>
              </w:tc>
              <w:tc>
                <w:tcPr>
                  <w:tcW w:w="1024" w:type="dxa"/>
                  <w:tcBorders>
                    <w:tl2br w:val="nil"/>
                    <w:tr2bl w:val="nil"/>
                  </w:tcBorders>
                  <w:vAlign w:val="center"/>
                </w:tcPr>
                <w:p w14:paraId="440A59B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0</w:t>
                  </w:r>
                </w:p>
              </w:tc>
              <w:tc>
                <w:tcPr>
                  <w:tcW w:w="1633" w:type="dxa"/>
                  <w:vMerge w:val="continue"/>
                  <w:tcBorders>
                    <w:tl2br w:val="nil"/>
                    <w:tr2bl w:val="nil"/>
                  </w:tcBorders>
                  <w:vAlign w:val="center"/>
                </w:tcPr>
                <w:p w14:paraId="6189FDF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p>
              </w:tc>
            </w:tr>
            <w:tr w14:paraId="1A348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dxa"/>
                  <w:vMerge w:val="continue"/>
                  <w:tcBorders>
                    <w:tl2br w:val="nil"/>
                    <w:tr2bl w:val="nil"/>
                  </w:tcBorders>
                  <w:vAlign w:val="center"/>
                </w:tcPr>
                <w:p w14:paraId="76C2A3C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p>
              </w:tc>
              <w:tc>
                <w:tcPr>
                  <w:tcW w:w="2034" w:type="dxa"/>
                  <w:tcBorders>
                    <w:tl2br w:val="nil"/>
                    <w:tr2bl w:val="nil"/>
                  </w:tcBorders>
                  <w:vAlign w:val="center"/>
                </w:tcPr>
                <w:p w14:paraId="2A03A7E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洒水车用水</w:t>
                  </w:r>
                </w:p>
              </w:tc>
              <w:tc>
                <w:tcPr>
                  <w:tcW w:w="1023" w:type="dxa"/>
                  <w:tcBorders>
                    <w:tl2br w:val="nil"/>
                    <w:tr2bl w:val="nil"/>
                  </w:tcBorders>
                  <w:vAlign w:val="center"/>
                </w:tcPr>
                <w:p w14:paraId="797156F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4</w:t>
                  </w:r>
                </w:p>
              </w:tc>
              <w:tc>
                <w:tcPr>
                  <w:tcW w:w="1023" w:type="dxa"/>
                  <w:tcBorders>
                    <w:tl2br w:val="nil"/>
                    <w:tr2bl w:val="nil"/>
                  </w:tcBorders>
                  <w:vAlign w:val="center"/>
                </w:tcPr>
                <w:p w14:paraId="49F59BE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1000</w:t>
                  </w:r>
                </w:p>
              </w:tc>
              <w:tc>
                <w:tcPr>
                  <w:tcW w:w="1023" w:type="dxa"/>
                  <w:tcBorders>
                    <w:tl2br w:val="nil"/>
                    <w:tr2bl w:val="nil"/>
                  </w:tcBorders>
                  <w:vAlign w:val="center"/>
                </w:tcPr>
                <w:p w14:paraId="05586C7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0</w:t>
                  </w:r>
                </w:p>
              </w:tc>
              <w:tc>
                <w:tcPr>
                  <w:tcW w:w="1024" w:type="dxa"/>
                  <w:tcBorders>
                    <w:tl2br w:val="nil"/>
                    <w:tr2bl w:val="nil"/>
                  </w:tcBorders>
                  <w:vAlign w:val="center"/>
                </w:tcPr>
                <w:p w14:paraId="428D212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0</w:t>
                  </w:r>
                </w:p>
              </w:tc>
              <w:tc>
                <w:tcPr>
                  <w:tcW w:w="1633" w:type="dxa"/>
                  <w:vMerge w:val="continue"/>
                  <w:tcBorders>
                    <w:tl2br w:val="nil"/>
                    <w:tr2bl w:val="nil"/>
                  </w:tcBorders>
                  <w:vAlign w:val="center"/>
                </w:tcPr>
                <w:p w14:paraId="184EC66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p>
              </w:tc>
            </w:tr>
            <w:tr w14:paraId="02B46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dxa"/>
                  <w:vMerge w:val="continue"/>
                  <w:tcBorders>
                    <w:tl2br w:val="nil"/>
                    <w:tr2bl w:val="nil"/>
                  </w:tcBorders>
                  <w:vAlign w:val="center"/>
                </w:tcPr>
                <w:p w14:paraId="286AC37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p>
              </w:tc>
              <w:tc>
                <w:tcPr>
                  <w:tcW w:w="2034" w:type="dxa"/>
                  <w:tcBorders>
                    <w:tl2br w:val="nil"/>
                    <w:tr2bl w:val="nil"/>
                  </w:tcBorders>
                  <w:vAlign w:val="center"/>
                </w:tcPr>
                <w:p w14:paraId="25E5EE8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雾炮机用水</w:t>
                  </w:r>
                </w:p>
              </w:tc>
              <w:tc>
                <w:tcPr>
                  <w:tcW w:w="1023" w:type="dxa"/>
                  <w:tcBorders>
                    <w:tl2br w:val="nil"/>
                    <w:tr2bl w:val="nil"/>
                  </w:tcBorders>
                  <w:vAlign w:val="center"/>
                </w:tcPr>
                <w:p w14:paraId="6BDF263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0.9</w:t>
                  </w:r>
                </w:p>
              </w:tc>
              <w:tc>
                <w:tcPr>
                  <w:tcW w:w="1023" w:type="dxa"/>
                  <w:tcBorders>
                    <w:tl2br w:val="nil"/>
                    <w:tr2bl w:val="nil"/>
                  </w:tcBorders>
                  <w:vAlign w:val="center"/>
                </w:tcPr>
                <w:p w14:paraId="38783C1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225</w:t>
                  </w:r>
                </w:p>
              </w:tc>
              <w:tc>
                <w:tcPr>
                  <w:tcW w:w="1023" w:type="dxa"/>
                  <w:tcBorders>
                    <w:tl2br w:val="nil"/>
                    <w:tr2bl w:val="nil"/>
                  </w:tcBorders>
                  <w:vAlign w:val="center"/>
                </w:tcPr>
                <w:p w14:paraId="3574A1E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0</w:t>
                  </w:r>
                </w:p>
              </w:tc>
              <w:tc>
                <w:tcPr>
                  <w:tcW w:w="1024" w:type="dxa"/>
                  <w:tcBorders>
                    <w:tl2br w:val="nil"/>
                    <w:tr2bl w:val="nil"/>
                  </w:tcBorders>
                  <w:vAlign w:val="center"/>
                </w:tcPr>
                <w:p w14:paraId="6388D14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r>
                    <w:rPr>
                      <w:rFonts w:hint="eastAsia"/>
                      <w:color w:val="0000FF"/>
                      <w:sz w:val="21"/>
                      <w:szCs w:val="21"/>
                      <w:lang w:val="en-US" w:eastAsia="zh-CN"/>
                    </w:rPr>
                    <w:t>0</w:t>
                  </w:r>
                </w:p>
              </w:tc>
              <w:tc>
                <w:tcPr>
                  <w:tcW w:w="1633" w:type="dxa"/>
                  <w:vMerge w:val="continue"/>
                  <w:tcBorders>
                    <w:tl2br w:val="nil"/>
                    <w:tr2bl w:val="nil"/>
                  </w:tcBorders>
                  <w:vAlign w:val="center"/>
                </w:tcPr>
                <w:p w14:paraId="1874286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color w:val="0000FF"/>
                      <w:sz w:val="21"/>
                      <w:szCs w:val="21"/>
                      <w:lang w:val="en-US" w:eastAsia="zh-CN"/>
                    </w:rPr>
                  </w:pPr>
                </w:p>
              </w:tc>
            </w:tr>
            <w:tr w14:paraId="4B7D4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0" w:type="dxa"/>
                  <w:gridSpan w:val="2"/>
                  <w:tcBorders>
                    <w:tl2br w:val="nil"/>
                    <w:tr2bl w:val="nil"/>
                  </w:tcBorders>
                  <w:vAlign w:val="center"/>
                </w:tcPr>
                <w:p w14:paraId="7EA27C5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合计</w:t>
                  </w:r>
                </w:p>
              </w:tc>
              <w:tc>
                <w:tcPr>
                  <w:tcW w:w="1023" w:type="dxa"/>
                  <w:tcBorders>
                    <w:tl2br w:val="nil"/>
                    <w:tr2bl w:val="nil"/>
                  </w:tcBorders>
                  <w:vAlign w:val="center"/>
                </w:tcPr>
                <w:p w14:paraId="020EC97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14.35</w:t>
                  </w:r>
                </w:p>
              </w:tc>
              <w:tc>
                <w:tcPr>
                  <w:tcW w:w="1023" w:type="dxa"/>
                  <w:tcBorders>
                    <w:tl2br w:val="nil"/>
                    <w:tr2bl w:val="nil"/>
                  </w:tcBorders>
                  <w:vAlign w:val="center"/>
                </w:tcPr>
                <w:p w14:paraId="3459979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2840.5</w:t>
                  </w:r>
                </w:p>
              </w:tc>
              <w:tc>
                <w:tcPr>
                  <w:tcW w:w="1023" w:type="dxa"/>
                  <w:tcBorders>
                    <w:tl2br w:val="nil"/>
                    <w:tr2bl w:val="nil"/>
                  </w:tcBorders>
                  <w:vAlign w:val="center"/>
                </w:tcPr>
                <w:p w14:paraId="2931355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1.8</w:t>
                  </w:r>
                </w:p>
              </w:tc>
              <w:tc>
                <w:tcPr>
                  <w:tcW w:w="1024" w:type="dxa"/>
                  <w:tcBorders>
                    <w:tl2br w:val="nil"/>
                    <w:tr2bl w:val="nil"/>
                  </w:tcBorders>
                  <w:vAlign w:val="center"/>
                </w:tcPr>
                <w:p w14:paraId="3E6D819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450</w:t>
                  </w:r>
                </w:p>
              </w:tc>
              <w:tc>
                <w:tcPr>
                  <w:tcW w:w="1633" w:type="dxa"/>
                  <w:tcBorders>
                    <w:tl2br w:val="nil"/>
                    <w:tr2bl w:val="nil"/>
                  </w:tcBorders>
                  <w:vAlign w:val="center"/>
                </w:tcPr>
                <w:p w14:paraId="2AB97A0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FF"/>
                      <w:sz w:val="21"/>
                      <w:szCs w:val="21"/>
                      <w:lang w:val="en-US" w:eastAsia="zh-CN"/>
                    </w:rPr>
                  </w:pPr>
                  <w:r>
                    <w:rPr>
                      <w:rFonts w:hint="eastAsia"/>
                      <w:color w:val="0000FF"/>
                      <w:sz w:val="21"/>
                      <w:szCs w:val="21"/>
                      <w:lang w:val="en-US" w:eastAsia="zh-CN"/>
                    </w:rPr>
                    <w:t>/</w:t>
                  </w:r>
                </w:p>
              </w:tc>
            </w:tr>
          </w:tbl>
          <w:p w14:paraId="36EC2C8C">
            <w:pPr>
              <w:pStyle w:val="4"/>
              <w:bidi w:val="0"/>
              <w:rPr>
                <w:rFonts w:hint="eastAsia"/>
              </w:rPr>
            </w:pPr>
            <w:r>
              <w:rPr>
                <w:rFonts w:hint="eastAsia"/>
                <w:lang w:val="en-US" w:eastAsia="zh-CN"/>
              </w:rPr>
              <w:t>4、</w:t>
            </w:r>
            <w:r>
              <w:rPr>
                <w:rFonts w:hint="eastAsia"/>
              </w:rPr>
              <w:t>运营期声污染源分析</w:t>
            </w:r>
          </w:p>
          <w:p w14:paraId="176DBC4D">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运营期开采作业需进行挖掘</w:t>
            </w:r>
            <w:r>
              <w:rPr>
                <w:rFonts w:hint="eastAsia" w:ascii="Times New Roman" w:hAnsi="Times New Roman" w:eastAsia="宋体"/>
                <w:sz w:val="24"/>
                <w:szCs w:val="24"/>
                <w:lang w:eastAsia="zh-CN"/>
              </w:rPr>
              <w:t>、</w:t>
            </w:r>
            <w:r>
              <w:rPr>
                <w:rFonts w:hint="eastAsia" w:ascii="Times New Roman" w:hAnsi="Times New Roman" w:eastAsia="宋体"/>
                <w:sz w:val="24"/>
                <w:szCs w:val="24"/>
              </w:rPr>
              <w:t>装</w:t>
            </w:r>
            <w:r>
              <w:rPr>
                <w:rFonts w:hint="eastAsia" w:ascii="Times New Roman" w:hAnsi="Times New Roman" w:eastAsia="宋体"/>
                <w:sz w:val="24"/>
                <w:szCs w:val="24"/>
                <w:lang w:val="en-US" w:eastAsia="zh-CN"/>
              </w:rPr>
              <w:t>卸</w:t>
            </w:r>
            <w:r>
              <w:rPr>
                <w:rFonts w:hint="eastAsia" w:ascii="Times New Roman" w:hAnsi="Times New Roman" w:eastAsia="宋体"/>
                <w:sz w:val="24"/>
                <w:szCs w:val="24"/>
              </w:rPr>
              <w:t>等活动，另外，石料运输车辆也会产生一定的噪声。挖机</w:t>
            </w:r>
            <w:r>
              <w:rPr>
                <w:rFonts w:hint="eastAsia" w:ascii="Times New Roman" w:hAnsi="Times New Roman" w:eastAsia="宋体"/>
                <w:sz w:val="24"/>
                <w:szCs w:val="24"/>
                <w:lang w:val="en-US" w:eastAsia="zh-CN"/>
              </w:rPr>
              <w:t>金额运输</w:t>
            </w:r>
            <w:r>
              <w:rPr>
                <w:rFonts w:hint="eastAsia" w:ascii="Times New Roman" w:hAnsi="Times New Roman" w:eastAsia="宋体"/>
                <w:sz w:val="24"/>
                <w:szCs w:val="24"/>
              </w:rPr>
              <w:t>等设备的噪声源强达到70-90dB（A）；运输车辆的噪声源强可达90dB（A）。生产中要求操作人员</w:t>
            </w:r>
            <w:r>
              <w:rPr>
                <w:rFonts w:hint="eastAsia"/>
                <w:sz w:val="24"/>
                <w:szCs w:val="24"/>
                <w:lang w:eastAsia="zh-CN"/>
              </w:rPr>
              <w:t>佩戴</w:t>
            </w:r>
            <w:r>
              <w:rPr>
                <w:rFonts w:hint="eastAsia" w:ascii="Times New Roman" w:hAnsi="Times New Roman" w:eastAsia="宋体"/>
                <w:sz w:val="24"/>
                <w:szCs w:val="24"/>
              </w:rPr>
              <w:t>防护用具。根据类比调查</w:t>
            </w:r>
            <w:r>
              <w:rPr>
                <w:rFonts w:hint="eastAsia" w:ascii="Times New Roman" w:hAnsi="Times New Roman" w:eastAsia="宋体"/>
                <w:sz w:val="24"/>
                <w:szCs w:val="24"/>
                <w:lang w:eastAsia="zh-CN"/>
              </w:rPr>
              <w:t>，</w:t>
            </w:r>
            <w:r>
              <w:rPr>
                <w:rFonts w:hint="eastAsia" w:ascii="Times New Roman" w:hAnsi="Times New Roman" w:eastAsia="宋体"/>
                <w:sz w:val="24"/>
                <w:szCs w:val="24"/>
              </w:rPr>
              <w:t>主要设备噪声值见下表。</w:t>
            </w:r>
          </w:p>
          <w:p w14:paraId="004BE13D">
            <w:pPr>
              <w:pStyle w:val="5"/>
              <w:bidi w:val="0"/>
              <w:rPr>
                <w:rFonts w:hint="eastAsia"/>
              </w:rPr>
            </w:pPr>
            <w:r>
              <w:rPr>
                <w:rFonts w:hint="eastAsia"/>
              </w:rPr>
              <w:t>表</w:t>
            </w:r>
            <w:r>
              <w:rPr>
                <w:rFonts w:hint="eastAsia"/>
                <w:lang w:val="en-US" w:eastAsia="zh-CN"/>
              </w:rPr>
              <w:t>4-4</w:t>
            </w:r>
            <w:r>
              <w:rPr>
                <w:rFonts w:hint="eastAsia"/>
              </w:rPr>
              <w:t xml:space="preserve">  噪声源</w:t>
            </w:r>
            <w:r>
              <w:rPr>
                <w:rFonts w:hint="eastAsia"/>
                <w:lang w:eastAsia="zh-CN"/>
              </w:rPr>
              <w:t>强</w:t>
            </w:r>
            <w:r>
              <w:rPr>
                <w:rFonts w:hint="eastAsia"/>
              </w:rPr>
              <w:t>汇总表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46"/>
              <w:gridCol w:w="1571"/>
              <w:gridCol w:w="1331"/>
              <w:gridCol w:w="1500"/>
              <w:gridCol w:w="1427"/>
              <w:gridCol w:w="1377"/>
            </w:tblGrid>
            <w:tr w14:paraId="78E381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53" w:type="pct"/>
                  <w:gridSpan w:val="3"/>
                  <w:noWrap w:val="0"/>
                  <w:vAlign w:val="center"/>
                </w:tcPr>
                <w:p w14:paraId="58969C4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sz w:val="21"/>
                      <w:szCs w:val="21"/>
                    </w:rPr>
                  </w:pPr>
                  <w:r>
                    <w:rPr>
                      <w:rFonts w:hint="eastAsia" w:ascii="Times New Roman" w:hAnsi="Times New Roman" w:eastAsia="宋体"/>
                      <w:b/>
                      <w:sz w:val="21"/>
                      <w:szCs w:val="21"/>
                    </w:rPr>
                    <w:t>噪声源</w:t>
                  </w:r>
                </w:p>
              </w:tc>
              <w:tc>
                <w:tcPr>
                  <w:tcW w:w="887" w:type="pct"/>
                  <w:vMerge w:val="restart"/>
                  <w:noWrap w:val="0"/>
                  <w:vAlign w:val="center"/>
                </w:tcPr>
                <w:p w14:paraId="6449275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b/>
                      <w:sz w:val="21"/>
                      <w:szCs w:val="21"/>
                      <w:lang w:eastAsia="zh-CN"/>
                    </w:rPr>
                  </w:pPr>
                  <w:r>
                    <w:rPr>
                      <w:rFonts w:hint="eastAsia" w:ascii="Times New Roman" w:hAnsi="Times New Roman" w:eastAsia="宋体"/>
                      <w:b/>
                      <w:sz w:val="21"/>
                      <w:szCs w:val="21"/>
                    </w:rPr>
                    <w:t>噪声级</w:t>
                  </w:r>
                  <w:r>
                    <w:rPr>
                      <w:rFonts w:ascii="Times New Roman" w:hAnsi="Times New Roman" w:eastAsia="宋体"/>
                      <w:b/>
                      <w:sz w:val="21"/>
                      <w:szCs w:val="21"/>
                    </w:rPr>
                    <w:t>dB</w:t>
                  </w:r>
                  <w:r>
                    <w:rPr>
                      <w:rFonts w:hint="eastAsia" w:ascii="Times New Roman" w:hAnsi="Times New Roman" w:eastAsia="宋体"/>
                      <w:b/>
                      <w:sz w:val="21"/>
                      <w:szCs w:val="21"/>
                      <w:lang w:eastAsia="zh-CN"/>
                    </w:rPr>
                    <w:t>（</w:t>
                  </w:r>
                  <w:r>
                    <w:rPr>
                      <w:rFonts w:ascii="Times New Roman" w:hAnsi="Times New Roman" w:eastAsia="宋体"/>
                      <w:b/>
                      <w:sz w:val="21"/>
                      <w:szCs w:val="21"/>
                    </w:rPr>
                    <w:t>A</w:t>
                  </w:r>
                  <w:r>
                    <w:rPr>
                      <w:rFonts w:hint="eastAsia" w:ascii="Times New Roman" w:hAnsi="Times New Roman" w:eastAsia="宋体"/>
                      <w:b/>
                      <w:sz w:val="21"/>
                      <w:szCs w:val="21"/>
                      <w:lang w:eastAsia="zh-CN"/>
                    </w:rPr>
                    <w:t>）</w:t>
                  </w:r>
                </w:p>
              </w:tc>
              <w:tc>
                <w:tcPr>
                  <w:tcW w:w="844" w:type="pct"/>
                  <w:vMerge w:val="restart"/>
                  <w:noWrap w:val="0"/>
                  <w:vAlign w:val="center"/>
                </w:tcPr>
                <w:p w14:paraId="5FB8C00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sz w:val="21"/>
                      <w:szCs w:val="21"/>
                    </w:rPr>
                  </w:pPr>
                  <w:r>
                    <w:rPr>
                      <w:rFonts w:hint="eastAsia" w:ascii="Times New Roman" w:hAnsi="Times New Roman" w:eastAsia="宋体"/>
                      <w:b/>
                      <w:sz w:val="21"/>
                      <w:szCs w:val="21"/>
                    </w:rPr>
                    <w:t>控制措施</w:t>
                  </w:r>
                </w:p>
              </w:tc>
              <w:tc>
                <w:tcPr>
                  <w:tcW w:w="814" w:type="pct"/>
                  <w:vMerge w:val="restart"/>
                  <w:noWrap w:val="0"/>
                  <w:vAlign w:val="center"/>
                </w:tcPr>
                <w:p w14:paraId="7840344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sz w:val="21"/>
                      <w:szCs w:val="21"/>
                    </w:rPr>
                  </w:pPr>
                  <w:r>
                    <w:rPr>
                      <w:rFonts w:hint="eastAsia" w:ascii="Times New Roman" w:hAnsi="Times New Roman" w:eastAsia="宋体"/>
                      <w:b/>
                      <w:sz w:val="21"/>
                      <w:szCs w:val="21"/>
                    </w:rPr>
                    <w:t>排放特征</w:t>
                  </w:r>
                </w:p>
              </w:tc>
            </w:tr>
            <w:tr w14:paraId="451E6D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7" w:type="pct"/>
                  <w:noWrap w:val="0"/>
                  <w:vAlign w:val="center"/>
                </w:tcPr>
                <w:p w14:paraId="18FF8A3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sz w:val="21"/>
                      <w:szCs w:val="21"/>
                    </w:rPr>
                  </w:pPr>
                  <w:r>
                    <w:rPr>
                      <w:rFonts w:hint="eastAsia" w:ascii="Times New Roman" w:hAnsi="Times New Roman" w:eastAsia="宋体"/>
                      <w:b/>
                      <w:sz w:val="21"/>
                      <w:szCs w:val="21"/>
                    </w:rPr>
                    <w:t>生产工序</w:t>
                  </w:r>
                </w:p>
              </w:tc>
              <w:tc>
                <w:tcPr>
                  <w:tcW w:w="929" w:type="pct"/>
                  <w:noWrap w:val="0"/>
                  <w:vAlign w:val="center"/>
                </w:tcPr>
                <w:p w14:paraId="133B25D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sz w:val="21"/>
                      <w:szCs w:val="21"/>
                    </w:rPr>
                  </w:pPr>
                  <w:r>
                    <w:rPr>
                      <w:rFonts w:hint="eastAsia" w:ascii="Times New Roman" w:hAnsi="Times New Roman" w:eastAsia="宋体"/>
                      <w:b/>
                      <w:sz w:val="21"/>
                      <w:szCs w:val="21"/>
                    </w:rPr>
                    <w:t>名称</w:t>
                  </w:r>
                </w:p>
              </w:tc>
              <w:tc>
                <w:tcPr>
                  <w:tcW w:w="787" w:type="pct"/>
                  <w:noWrap w:val="0"/>
                  <w:vAlign w:val="center"/>
                </w:tcPr>
                <w:p w14:paraId="3CFD7C5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sz w:val="21"/>
                      <w:szCs w:val="21"/>
                    </w:rPr>
                  </w:pPr>
                  <w:r>
                    <w:rPr>
                      <w:rFonts w:hint="eastAsia" w:ascii="Times New Roman" w:hAnsi="Times New Roman" w:eastAsia="宋体"/>
                      <w:b/>
                      <w:sz w:val="21"/>
                      <w:szCs w:val="21"/>
                    </w:rPr>
                    <w:t>数量（台）</w:t>
                  </w:r>
                </w:p>
              </w:tc>
              <w:tc>
                <w:tcPr>
                  <w:tcW w:w="887" w:type="pct"/>
                  <w:vMerge w:val="continue"/>
                  <w:noWrap w:val="0"/>
                  <w:vAlign w:val="center"/>
                </w:tcPr>
                <w:p w14:paraId="23E5371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844" w:type="pct"/>
                  <w:vMerge w:val="continue"/>
                  <w:noWrap w:val="0"/>
                  <w:vAlign w:val="center"/>
                </w:tcPr>
                <w:p w14:paraId="5C566B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814" w:type="pct"/>
                  <w:vMerge w:val="continue"/>
                  <w:noWrap w:val="0"/>
                  <w:vAlign w:val="center"/>
                </w:tcPr>
                <w:p w14:paraId="16022E0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r>
            <w:tr w14:paraId="2A4096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6" w:hRule="atLeast"/>
                <w:jc w:val="center"/>
              </w:trPr>
              <w:tc>
                <w:tcPr>
                  <w:tcW w:w="737" w:type="pct"/>
                  <w:vMerge w:val="restart"/>
                  <w:noWrap w:val="0"/>
                  <w:vAlign w:val="center"/>
                </w:tcPr>
                <w:p w14:paraId="04CBE1C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采矿设备</w:t>
                  </w:r>
                </w:p>
              </w:tc>
              <w:tc>
                <w:tcPr>
                  <w:tcW w:w="929" w:type="pct"/>
                  <w:noWrap w:val="0"/>
                  <w:vAlign w:val="center"/>
                </w:tcPr>
                <w:p w14:paraId="469384A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ascii="Times New Roman" w:hAnsi="Times New Roman" w:eastAsia="宋体"/>
                      <w:sz w:val="21"/>
                      <w:szCs w:val="21"/>
                    </w:rPr>
                  </w:pPr>
                  <w:r>
                    <w:rPr>
                      <w:rFonts w:hint="default" w:ascii="Times New Roman" w:hAnsi="Times New Roman" w:eastAsia="宋体" w:cs="Times New Roman"/>
                      <w:b w:val="0"/>
                      <w:bCs/>
                      <w:color w:val="auto"/>
                      <w:sz w:val="21"/>
                      <w:szCs w:val="21"/>
                      <w:highlight w:val="none"/>
                    </w:rPr>
                    <w:t>潜孔钻机</w:t>
                  </w:r>
                </w:p>
              </w:tc>
              <w:tc>
                <w:tcPr>
                  <w:tcW w:w="787" w:type="pct"/>
                  <w:noWrap w:val="0"/>
                  <w:vAlign w:val="center"/>
                </w:tcPr>
                <w:p w14:paraId="10BD627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1</w:t>
                  </w:r>
                </w:p>
              </w:tc>
              <w:tc>
                <w:tcPr>
                  <w:tcW w:w="887" w:type="pct"/>
                  <w:noWrap w:val="0"/>
                  <w:vAlign w:val="center"/>
                </w:tcPr>
                <w:p w14:paraId="57A21F3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w:t>
                  </w:r>
                </w:p>
              </w:tc>
              <w:tc>
                <w:tcPr>
                  <w:tcW w:w="844" w:type="pct"/>
                  <w:noWrap w:val="0"/>
                  <w:vAlign w:val="center"/>
                </w:tcPr>
                <w:p w14:paraId="030068C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消声、减震</w:t>
                  </w:r>
                </w:p>
              </w:tc>
              <w:tc>
                <w:tcPr>
                  <w:tcW w:w="814" w:type="pct"/>
                  <w:noWrap w:val="0"/>
                  <w:vAlign w:val="center"/>
                </w:tcPr>
                <w:p w14:paraId="31CD195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连续</w:t>
                  </w:r>
                </w:p>
              </w:tc>
            </w:tr>
            <w:tr w14:paraId="5C16B1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7" w:type="pct"/>
                  <w:vMerge w:val="continue"/>
                  <w:noWrap w:val="0"/>
                  <w:vAlign w:val="center"/>
                </w:tcPr>
                <w:p w14:paraId="1D127DB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929" w:type="pct"/>
                  <w:noWrap w:val="0"/>
                  <w:vAlign w:val="center"/>
                </w:tcPr>
                <w:p w14:paraId="055B0AE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ascii="Times New Roman" w:hAnsi="Times New Roman" w:eastAsia="宋体"/>
                      <w:sz w:val="21"/>
                      <w:szCs w:val="21"/>
                    </w:rPr>
                  </w:pPr>
                  <w:r>
                    <w:rPr>
                      <w:rFonts w:hint="default" w:ascii="Times New Roman" w:hAnsi="Times New Roman" w:eastAsia="宋体" w:cs="Times New Roman"/>
                      <w:b w:val="0"/>
                      <w:bCs/>
                      <w:color w:val="auto"/>
                      <w:sz w:val="21"/>
                      <w:szCs w:val="21"/>
                      <w:highlight w:val="none"/>
                    </w:rPr>
                    <w:t>液压挖掘机</w:t>
                  </w:r>
                </w:p>
              </w:tc>
              <w:tc>
                <w:tcPr>
                  <w:tcW w:w="787" w:type="pct"/>
                  <w:noWrap w:val="0"/>
                  <w:vAlign w:val="center"/>
                </w:tcPr>
                <w:p w14:paraId="3516F92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1</w:t>
                  </w:r>
                </w:p>
              </w:tc>
              <w:tc>
                <w:tcPr>
                  <w:tcW w:w="887" w:type="pct"/>
                  <w:noWrap w:val="0"/>
                  <w:vAlign w:val="center"/>
                </w:tcPr>
                <w:p w14:paraId="68B4CC4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86</w:t>
                  </w:r>
                </w:p>
              </w:tc>
              <w:tc>
                <w:tcPr>
                  <w:tcW w:w="844" w:type="pct"/>
                  <w:noWrap w:val="0"/>
                  <w:vAlign w:val="center"/>
                </w:tcPr>
                <w:p w14:paraId="473ADA9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消声、减震</w:t>
                  </w:r>
                </w:p>
              </w:tc>
              <w:tc>
                <w:tcPr>
                  <w:tcW w:w="814" w:type="pct"/>
                  <w:noWrap w:val="0"/>
                  <w:vAlign w:val="center"/>
                </w:tcPr>
                <w:p w14:paraId="232D958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连续</w:t>
                  </w:r>
                </w:p>
              </w:tc>
            </w:tr>
            <w:tr w14:paraId="1EE75B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7" w:type="pct"/>
                  <w:vMerge w:val="continue"/>
                  <w:noWrap w:val="0"/>
                  <w:vAlign w:val="center"/>
                </w:tcPr>
                <w:p w14:paraId="74BB2F5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929" w:type="pct"/>
                  <w:noWrap w:val="0"/>
                  <w:vAlign w:val="center"/>
                </w:tcPr>
                <w:p w14:paraId="69B7A6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ascii="Times New Roman" w:hAnsi="Times New Roman" w:eastAsia="宋体"/>
                      <w:sz w:val="21"/>
                      <w:szCs w:val="21"/>
                    </w:rPr>
                  </w:pPr>
                  <w:r>
                    <w:rPr>
                      <w:rFonts w:hint="default" w:ascii="Times New Roman" w:hAnsi="Times New Roman" w:eastAsia="宋体" w:cs="Times New Roman"/>
                      <w:b w:val="0"/>
                      <w:bCs/>
                      <w:color w:val="auto"/>
                      <w:sz w:val="21"/>
                      <w:szCs w:val="21"/>
                      <w:highlight w:val="none"/>
                    </w:rPr>
                    <w:t>液压破碎锤</w:t>
                  </w:r>
                </w:p>
              </w:tc>
              <w:tc>
                <w:tcPr>
                  <w:tcW w:w="787" w:type="pct"/>
                  <w:noWrap w:val="0"/>
                  <w:vAlign w:val="center"/>
                </w:tcPr>
                <w:p w14:paraId="2A81D58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1</w:t>
                  </w:r>
                </w:p>
              </w:tc>
              <w:tc>
                <w:tcPr>
                  <w:tcW w:w="887" w:type="pct"/>
                  <w:noWrap w:val="0"/>
                  <w:vAlign w:val="center"/>
                </w:tcPr>
                <w:p w14:paraId="1019C02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90</w:t>
                  </w:r>
                </w:p>
              </w:tc>
              <w:tc>
                <w:tcPr>
                  <w:tcW w:w="844" w:type="pct"/>
                  <w:noWrap w:val="0"/>
                  <w:vAlign w:val="center"/>
                </w:tcPr>
                <w:p w14:paraId="7E4657E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消声、减震</w:t>
                  </w:r>
                </w:p>
              </w:tc>
              <w:tc>
                <w:tcPr>
                  <w:tcW w:w="814" w:type="pct"/>
                  <w:noWrap w:val="0"/>
                  <w:vAlign w:val="center"/>
                </w:tcPr>
                <w:p w14:paraId="41E3499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连续</w:t>
                  </w:r>
                </w:p>
              </w:tc>
            </w:tr>
            <w:tr w14:paraId="4701C6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7" w:type="pct"/>
                  <w:vMerge w:val="continue"/>
                  <w:noWrap w:val="0"/>
                  <w:vAlign w:val="center"/>
                </w:tcPr>
                <w:p w14:paraId="65BA752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929" w:type="pct"/>
                  <w:noWrap w:val="0"/>
                  <w:vAlign w:val="center"/>
                </w:tcPr>
                <w:p w14:paraId="393F2D8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自卸汽车</w:t>
                  </w:r>
                </w:p>
              </w:tc>
              <w:tc>
                <w:tcPr>
                  <w:tcW w:w="787" w:type="pct"/>
                  <w:noWrap w:val="0"/>
                  <w:vAlign w:val="center"/>
                </w:tcPr>
                <w:p w14:paraId="4B5B173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5</w:t>
                  </w:r>
                </w:p>
              </w:tc>
              <w:tc>
                <w:tcPr>
                  <w:tcW w:w="887" w:type="pct"/>
                  <w:noWrap w:val="0"/>
                  <w:vAlign w:val="center"/>
                </w:tcPr>
                <w:p w14:paraId="3C15546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82</w:t>
                  </w:r>
                </w:p>
              </w:tc>
              <w:tc>
                <w:tcPr>
                  <w:tcW w:w="844" w:type="pct"/>
                  <w:noWrap w:val="0"/>
                  <w:vAlign w:val="center"/>
                </w:tcPr>
                <w:p w14:paraId="2787ED1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定期检修</w:t>
                  </w:r>
                </w:p>
              </w:tc>
              <w:tc>
                <w:tcPr>
                  <w:tcW w:w="814" w:type="pct"/>
                  <w:noWrap w:val="0"/>
                  <w:vAlign w:val="center"/>
                </w:tcPr>
                <w:p w14:paraId="3AC86D8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连续</w:t>
                  </w:r>
                </w:p>
              </w:tc>
            </w:tr>
            <w:tr w14:paraId="3C557E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7" w:type="pct"/>
                  <w:vMerge w:val="restart"/>
                  <w:noWrap w:val="0"/>
                  <w:vAlign w:val="center"/>
                </w:tcPr>
                <w:p w14:paraId="52D3188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加工生产线设备</w:t>
                  </w:r>
                </w:p>
              </w:tc>
              <w:tc>
                <w:tcPr>
                  <w:tcW w:w="929" w:type="pct"/>
                  <w:noWrap w:val="0"/>
                  <w:vAlign w:val="center"/>
                </w:tcPr>
                <w:p w14:paraId="7114B54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颚式破碎机</w:t>
                  </w:r>
                </w:p>
              </w:tc>
              <w:tc>
                <w:tcPr>
                  <w:tcW w:w="787" w:type="pct"/>
                  <w:noWrap w:val="0"/>
                  <w:vAlign w:val="center"/>
                </w:tcPr>
                <w:p w14:paraId="6E998A9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w:t>
                  </w:r>
                </w:p>
              </w:tc>
              <w:tc>
                <w:tcPr>
                  <w:tcW w:w="887" w:type="pct"/>
                  <w:noWrap w:val="0"/>
                  <w:vAlign w:val="center"/>
                </w:tcPr>
                <w:p w14:paraId="0FFF42B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90</w:t>
                  </w:r>
                </w:p>
              </w:tc>
              <w:tc>
                <w:tcPr>
                  <w:tcW w:w="844" w:type="pct"/>
                  <w:noWrap w:val="0"/>
                  <w:vAlign w:val="center"/>
                </w:tcPr>
                <w:p w14:paraId="0B0AD3A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rPr>
                    <w:t>消声、减震</w:t>
                  </w:r>
                </w:p>
              </w:tc>
              <w:tc>
                <w:tcPr>
                  <w:tcW w:w="814" w:type="pct"/>
                  <w:noWrap w:val="0"/>
                  <w:vAlign w:val="center"/>
                </w:tcPr>
                <w:p w14:paraId="16EA70C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rPr>
                    <w:t>连续</w:t>
                  </w:r>
                </w:p>
              </w:tc>
            </w:tr>
            <w:tr w14:paraId="67887E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7" w:type="pct"/>
                  <w:vMerge w:val="continue"/>
                  <w:noWrap w:val="0"/>
                  <w:vAlign w:val="center"/>
                </w:tcPr>
                <w:p w14:paraId="792937D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929" w:type="pct"/>
                  <w:noWrap w:val="0"/>
                  <w:vAlign w:val="center"/>
                </w:tcPr>
                <w:p w14:paraId="65250BC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反击式破碎机</w:t>
                  </w:r>
                </w:p>
              </w:tc>
              <w:tc>
                <w:tcPr>
                  <w:tcW w:w="787" w:type="pct"/>
                  <w:noWrap w:val="0"/>
                  <w:vAlign w:val="center"/>
                </w:tcPr>
                <w:p w14:paraId="359859A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1</w:t>
                  </w:r>
                </w:p>
              </w:tc>
              <w:tc>
                <w:tcPr>
                  <w:tcW w:w="887" w:type="pct"/>
                  <w:noWrap w:val="0"/>
                  <w:vAlign w:val="center"/>
                </w:tcPr>
                <w:p w14:paraId="569E5F2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90</w:t>
                  </w:r>
                </w:p>
              </w:tc>
              <w:tc>
                <w:tcPr>
                  <w:tcW w:w="844" w:type="pct"/>
                  <w:noWrap w:val="0"/>
                  <w:vAlign w:val="center"/>
                </w:tcPr>
                <w:p w14:paraId="658A581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消声、减震</w:t>
                  </w:r>
                </w:p>
              </w:tc>
              <w:tc>
                <w:tcPr>
                  <w:tcW w:w="814" w:type="pct"/>
                  <w:noWrap w:val="0"/>
                  <w:vAlign w:val="center"/>
                </w:tcPr>
                <w:p w14:paraId="1E9A32F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连续</w:t>
                  </w:r>
                </w:p>
              </w:tc>
            </w:tr>
            <w:tr w14:paraId="78B1F9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7" w:type="pct"/>
                  <w:vMerge w:val="continue"/>
                  <w:noWrap w:val="0"/>
                  <w:vAlign w:val="center"/>
                </w:tcPr>
                <w:p w14:paraId="4A1D7C8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929" w:type="pct"/>
                  <w:noWrap w:val="0"/>
                  <w:vAlign w:val="center"/>
                </w:tcPr>
                <w:p w14:paraId="248E683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振动筛</w:t>
                  </w:r>
                </w:p>
              </w:tc>
              <w:tc>
                <w:tcPr>
                  <w:tcW w:w="787" w:type="pct"/>
                  <w:noWrap w:val="0"/>
                  <w:vAlign w:val="center"/>
                </w:tcPr>
                <w:p w14:paraId="689AE9C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1</w:t>
                  </w:r>
                </w:p>
              </w:tc>
              <w:tc>
                <w:tcPr>
                  <w:tcW w:w="887" w:type="pct"/>
                  <w:noWrap w:val="0"/>
                  <w:vAlign w:val="center"/>
                </w:tcPr>
                <w:p w14:paraId="3E70D0C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w:t>
                  </w:r>
                </w:p>
              </w:tc>
              <w:tc>
                <w:tcPr>
                  <w:tcW w:w="844" w:type="pct"/>
                  <w:noWrap w:val="0"/>
                  <w:vAlign w:val="center"/>
                </w:tcPr>
                <w:p w14:paraId="01F1C90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消声、减震</w:t>
                  </w:r>
                </w:p>
              </w:tc>
              <w:tc>
                <w:tcPr>
                  <w:tcW w:w="814" w:type="pct"/>
                  <w:noWrap w:val="0"/>
                  <w:vAlign w:val="center"/>
                </w:tcPr>
                <w:p w14:paraId="079AB68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rPr>
                    <w:t>连续</w:t>
                  </w:r>
                </w:p>
              </w:tc>
            </w:tr>
            <w:tr w14:paraId="170BD9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7" w:type="pct"/>
                  <w:vMerge w:val="continue"/>
                  <w:noWrap w:val="0"/>
                  <w:vAlign w:val="center"/>
                </w:tcPr>
                <w:p w14:paraId="3D7D703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929" w:type="pct"/>
                  <w:noWrap w:val="0"/>
                  <w:vAlign w:val="center"/>
                </w:tcPr>
                <w:p w14:paraId="4EFE9AD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皮带输送机</w:t>
                  </w:r>
                </w:p>
              </w:tc>
              <w:tc>
                <w:tcPr>
                  <w:tcW w:w="787" w:type="pct"/>
                  <w:noWrap w:val="0"/>
                  <w:vAlign w:val="center"/>
                </w:tcPr>
                <w:p w14:paraId="4A55E07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1</w:t>
                  </w:r>
                </w:p>
              </w:tc>
              <w:tc>
                <w:tcPr>
                  <w:tcW w:w="887" w:type="pct"/>
                  <w:noWrap w:val="0"/>
                  <w:vAlign w:val="center"/>
                </w:tcPr>
                <w:p w14:paraId="70A5828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75</w:t>
                  </w:r>
                </w:p>
              </w:tc>
              <w:tc>
                <w:tcPr>
                  <w:tcW w:w="844" w:type="pct"/>
                  <w:noWrap w:val="0"/>
                  <w:vAlign w:val="center"/>
                </w:tcPr>
                <w:p w14:paraId="73D2F1B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消声、减震</w:t>
                  </w:r>
                </w:p>
              </w:tc>
              <w:tc>
                <w:tcPr>
                  <w:tcW w:w="814" w:type="pct"/>
                  <w:noWrap w:val="0"/>
                  <w:vAlign w:val="center"/>
                </w:tcPr>
                <w:p w14:paraId="6FB1559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kern w:val="2"/>
                      <w:sz w:val="21"/>
                      <w:szCs w:val="21"/>
                      <w:lang w:val="en-US" w:eastAsia="zh-CN" w:bidi="ar-SA"/>
                    </w:rPr>
                  </w:pPr>
                  <w:r>
                    <w:rPr>
                      <w:rFonts w:hint="eastAsia" w:ascii="Times New Roman" w:hAnsi="Times New Roman" w:eastAsia="宋体"/>
                      <w:sz w:val="21"/>
                      <w:szCs w:val="21"/>
                    </w:rPr>
                    <w:t>连续</w:t>
                  </w:r>
                </w:p>
              </w:tc>
            </w:tr>
            <w:tr w14:paraId="44670F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7" w:type="pct"/>
                  <w:vMerge w:val="continue"/>
                  <w:noWrap w:val="0"/>
                  <w:vAlign w:val="center"/>
                </w:tcPr>
                <w:p w14:paraId="755E8F0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929" w:type="pct"/>
                  <w:noWrap w:val="0"/>
                  <w:vAlign w:val="center"/>
                </w:tcPr>
                <w:p w14:paraId="353B96C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振动给料机</w:t>
                  </w:r>
                </w:p>
              </w:tc>
              <w:tc>
                <w:tcPr>
                  <w:tcW w:w="787" w:type="pct"/>
                  <w:noWrap w:val="0"/>
                  <w:vAlign w:val="center"/>
                </w:tcPr>
                <w:p w14:paraId="4D26667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1</w:t>
                  </w:r>
                </w:p>
              </w:tc>
              <w:tc>
                <w:tcPr>
                  <w:tcW w:w="887" w:type="pct"/>
                  <w:noWrap w:val="0"/>
                  <w:vAlign w:val="center"/>
                </w:tcPr>
                <w:p w14:paraId="4F336F1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75</w:t>
                  </w:r>
                </w:p>
              </w:tc>
              <w:tc>
                <w:tcPr>
                  <w:tcW w:w="844" w:type="pct"/>
                  <w:noWrap w:val="0"/>
                  <w:vAlign w:val="center"/>
                </w:tcPr>
                <w:p w14:paraId="0B4450F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消声、减震</w:t>
                  </w:r>
                </w:p>
              </w:tc>
              <w:tc>
                <w:tcPr>
                  <w:tcW w:w="814" w:type="pct"/>
                  <w:noWrap w:val="0"/>
                  <w:vAlign w:val="center"/>
                </w:tcPr>
                <w:p w14:paraId="1D7A3FC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kern w:val="2"/>
                      <w:sz w:val="21"/>
                      <w:szCs w:val="21"/>
                      <w:lang w:val="en-US" w:eastAsia="zh-CN" w:bidi="ar-SA"/>
                    </w:rPr>
                  </w:pPr>
                  <w:r>
                    <w:rPr>
                      <w:rFonts w:hint="eastAsia" w:ascii="Times New Roman" w:hAnsi="Times New Roman" w:eastAsia="宋体"/>
                      <w:sz w:val="21"/>
                      <w:szCs w:val="21"/>
                    </w:rPr>
                    <w:t>连续</w:t>
                  </w:r>
                </w:p>
              </w:tc>
            </w:tr>
          </w:tbl>
          <w:p w14:paraId="1C7B534D">
            <w:pPr>
              <w:pStyle w:val="4"/>
              <w:bidi w:val="0"/>
              <w:rPr>
                <w:rFonts w:hint="eastAsia"/>
              </w:rPr>
            </w:pPr>
            <w:r>
              <w:rPr>
                <w:rFonts w:hint="eastAsia"/>
                <w:lang w:val="en-US" w:eastAsia="zh-CN"/>
              </w:rPr>
              <w:t>5、</w:t>
            </w:r>
            <w:r>
              <w:rPr>
                <w:rFonts w:hint="eastAsia"/>
              </w:rPr>
              <w:t>运营期固废污染源分析</w:t>
            </w:r>
          </w:p>
          <w:p w14:paraId="766B87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本项目运营期固体废物主要为生活垃圾</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剥离表土和废石、</w:t>
            </w:r>
            <w:r>
              <w:rPr>
                <w:rFonts w:hint="eastAsia" w:ascii="Times New Roman" w:hAnsi="Times New Roman" w:eastAsia="宋体" w:cs="Times New Roman"/>
                <w:color w:val="auto"/>
                <w:sz w:val="24"/>
                <w:szCs w:val="24"/>
              </w:rPr>
              <w:t>废机油</w:t>
            </w:r>
            <w:r>
              <w:rPr>
                <w:rFonts w:hint="eastAsia" w:ascii="Times New Roman" w:hAnsi="Times New Roman" w:eastAsia="宋体" w:cs="Times New Roman"/>
                <w:color w:val="auto"/>
                <w:sz w:val="24"/>
                <w:szCs w:val="24"/>
                <w:lang w:val="en-US" w:eastAsia="zh-CN"/>
              </w:rPr>
              <w:t>及废机油桶</w:t>
            </w:r>
            <w:r>
              <w:rPr>
                <w:rFonts w:hint="eastAsia" w:ascii="Times New Roman" w:hAnsi="Times New Roman" w:eastAsia="宋体" w:cs="Times New Roman"/>
                <w:color w:val="auto"/>
                <w:sz w:val="24"/>
                <w:szCs w:val="24"/>
              </w:rPr>
              <w:t>及沉淀池底泥。</w:t>
            </w:r>
          </w:p>
          <w:p w14:paraId="7D9343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（1）生活垃圾</w:t>
            </w:r>
          </w:p>
          <w:p w14:paraId="73F060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color w:val="auto"/>
                <w:sz w:val="24"/>
                <w:szCs w:val="24"/>
              </w:rPr>
              <w:t>本项目员工</w:t>
            </w:r>
            <w:r>
              <w:rPr>
                <w:rFonts w:hint="eastAsia" w:ascii="Times New Roman" w:hAnsi="Times New Roman" w:eastAsia="宋体" w:cs="Times New Roman"/>
                <w:color w:val="auto"/>
                <w:sz w:val="24"/>
                <w:szCs w:val="24"/>
                <w:lang w:val="en-US" w:eastAsia="zh-CN"/>
              </w:rPr>
              <w:t>50</w:t>
            </w:r>
            <w:r>
              <w:rPr>
                <w:rFonts w:hint="eastAsia" w:ascii="Times New Roman" w:hAnsi="Times New Roman" w:eastAsia="宋体" w:cs="Times New Roman"/>
                <w:color w:val="auto"/>
                <w:sz w:val="24"/>
                <w:szCs w:val="24"/>
              </w:rPr>
              <w:t>人，生活垃圾产生量按0.5kg/d·人，则该项目每天产生生活垃圾</w:t>
            </w:r>
            <w:r>
              <w:rPr>
                <w:rFonts w:hint="eastAsia" w:ascii="Times New Roman" w:hAnsi="Times New Roman" w:eastAsia="宋体" w:cs="Times New Roman"/>
                <w:color w:val="auto"/>
                <w:sz w:val="24"/>
                <w:szCs w:val="24"/>
                <w:lang w:val="en-US" w:eastAsia="zh-CN"/>
              </w:rPr>
              <w:t>25</w:t>
            </w:r>
            <w:r>
              <w:rPr>
                <w:rFonts w:hint="eastAsia" w:ascii="Times New Roman" w:hAnsi="Times New Roman" w:eastAsia="宋体" w:cs="Times New Roman"/>
                <w:color w:val="auto"/>
                <w:sz w:val="24"/>
                <w:szCs w:val="24"/>
              </w:rPr>
              <w:t>kg/d，产生量</w:t>
            </w:r>
            <w:r>
              <w:rPr>
                <w:rFonts w:hint="eastAsia" w:ascii="Times New Roman" w:hAnsi="Times New Roman" w:eastAsia="宋体" w:cs="Times New Roman"/>
                <w:color w:val="auto"/>
                <w:sz w:val="24"/>
                <w:szCs w:val="24"/>
                <w:lang w:val="en-US" w:eastAsia="zh-CN"/>
              </w:rPr>
              <w:t>6.25</w:t>
            </w:r>
            <w:r>
              <w:rPr>
                <w:rFonts w:hint="eastAsia" w:ascii="Times New Roman" w:hAnsi="Times New Roman" w:eastAsia="宋体" w:cs="Times New Roman"/>
                <w:color w:val="auto"/>
                <w:sz w:val="24"/>
                <w:szCs w:val="24"/>
              </w:rPr>
              <w:t>t/a。</w:t>
            </w:r>
          </w:p>
          <w:p w14:paraId="3884E311">
            <w:pPr>
              <w:pStyle w:val="54"/>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480" w:leftChars="0" w:firstLine="0" w:firstLineChars="0"/>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（2）剥离表土和废石</w:t>
            </w:r>
          </w:p>
          <w:p w14:paraId="6F6D9387">
            <w:pPr>
              <w:pStyle w:val="54"/>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b w:val="0"/>
                <w:bCs w:val="0"/>
                <w:color w:val="FF0000"/>
                <w:sz w:val="24"/>
                <w:szCs w:val="24"/>
                <w:highlight w:val="none"/>
                <w:lang w:val="en-US" w:eastAsia="zh-CN"/>
              </w:rPr>
            </w:pPr>
            <w:r>
              <w:rPr>
                <w:rFonts w:hint="eastAsia" w:ascii="Times New Roman" w:hAnsi="Times New Roman" w:eastAsia="宋体" w:cs="Times New Roman"/>
                <w:b w:val="0"/>
                <w:bCs w:val="0"/>
                <w:color w:val="FF0000"/>
                <w:sz w:val="24"/>
                <w:szCs w:val="24"/>
                <w:highlight w:val="none"/>
                <w:lang w:val="en-US" w:eastAsia="zh-CN"/>
              </w:rPr>
              <w:t>西侧排土场占地面积约</w:t>
            </w:r>
            <w:r>
              <w:rPr>
                <w:rFonts w:hint="default" w:ascii="Times New Roman" w:hAnsi="Times New Roman" w:eastAsia="宋体" w:cs="Times New Roman"/>
                <w:b w:val="0"/>
                <w:bCs w:val="0"/>
                <w:color w:val="FF0000"/>
                <w:sz w:val="24"/>
                <w:szCs w:val="24"/>
                <w:highlight w:val="none"/>
                <w:lang w:val="en-US" w:eastAsia="zh-CN"/>
              </w:rPr>
              <w:t>25973m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，东侧排土场占地面积约</w:t>
            </w:r>
            <w:r>
              <w:rPr>
                <w:rFonts w:hint="default" w:ascii="Times New Roman" w:hAnsi="Times New Roman" w:eastAsia="宋体" w:cs="Times New Roman"/>
                <w:b w:val="0"/>
                <w:bCs w:val="0"/>
                <w:color w:val="FF0000"/>
                <w:sz w:val="24"/>
                <w:szCs w:val="24"/>
                <w:highlight w:val="none"/>
                <w:lang w:val="en-US" w:eastAsia="zh-CN"/>
              </w:rPr>
              <w:t>23370m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，共计</w:t>
            </w:r>
            <w:r>
              <w:rPr>
                <w:rFonts w:hint="default" w:ascii="Times New Roman" w:hAnsi="Times New Roman" w:eastAsia="宋体" w:cs="Times New Roman"/>
                <w:b w:val="0"/>
                <w:bCs w:val="0"/>
                <w:color w:val="FF0000"/>
                <w:sz w:val="24"/>
                <w:szCs w:val="24"/>
                <w:highlight w:val="none"/>
                <w:lang w:val="en-US" w:eastAsia="zh-CN"/>
              </w:rPr>
              <w:t>49343m</w:t>
            </w:r>
            <w:r>
              <w:rPr>
                <w:rFonts w:hint="default" w:ascii="Times New Roman" w:hAnsi="Times New Roman" w:eastAsia="宋体" w:cs="Times New Roman"/>
                <w:b w:val="0"/>
                <w:bCs w:val="0"/>
                <w:color w:val="FF0000"/>
                <w:sz w:val="24"/>
                <w:szCs w:val="24"/>
                <w:highlight w:val="none"/>
                <w:vertAlign w:val="superscript"/>
                <w:lang w:val="en-US" w:eastAsia="zh-CN"/>
              </w:rPr>
              <w:t>2</w:t>
            </w:r>
            <w:r>
              <w:rPr>
                <w:rFonts w:hint="eastAsia" w:ascii="Times New Roman" w:hAnsi="Times New Roman" w:eastAsia="宋体" w:cs="Times New Roman"/>
                <w:b w:val="0"/>
                <w:bCs w:val="0"/>
                <w:color w:val="FF0000"/>
                <w:sz w:val="24"/>
                <w:szCs w:val="24"/>
                <w:highlight w:val="none"/>
                <w:lang w:val="en-US" w:eastAsia="zh-CN"/>
              </w:rPr>
              <w:t>，</w:t>
            </w:r>
            <w:r>
              <w:rPr>
                <w:rFonts w:hint="eastAsia" w:ascii="Times New Roman" w:hAnsi="Times New Roman" w:eastAsia="宋体" w:cs="Times New Roman"/>
                <w:b w:val="0"/>
                <w:bCs w:val="0"/>
                <w:color w:val="0000FC"/>
                <w:sz w:val="24"/>
                <w:szCs w:val="24"/>
                <w:highlight w:val="none"/>
                <w:lang w:val="en-US" w:eastAsia="zh-CN"/>
              </w:rPr>
              <w:t>矿山后期剥离量约为</w:t>
            </w:r>
            <w:r>
              <w:rPr>
                <w:rFonts w:hint="default" w:ascii="Times New Roman" w:hAnsi="Times New Roman" w:eastAsia="宋体" w:cs="Times New Roman"/>
                <w:b w:val="0"/>
                <w:bCs w:val="0"/>
                <w:color w:val="0000FC"/>
                <w:sz w:val="24"/>
                <w:szCs w:val="24"/>
                <w:highlight w:val="none"/>
                <w:lang w:val="en-US" w:eastAsia="zh-CN"/>
              </w:rPr>
              <w:t>100.77</w:t>
            </w:r>
            <w:r>
              <w:rPr>
                <w:rFonts w:hint="eastAsia" w:ascii="Times New Roman" w:hAnsi="Times New Roman" w:eastAsia="宋体" w:cs="Times New Roman"/>
                <w:b w:val="0"/>
                <w:bCs w:val="0"/>
                <w:color w:val="0000FC"/>
                <w:sz w:val="24"/>
                <w:szCs w:val="24"/>
                <w:highlight w:val="none"/>
                <w:lang w:val="en-US" w:eastAsia="zh-CN"/>
              </w:rPr>
              <w:t>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cs="Times New Roman"/>
                <w:b w:val="0"/>
                <w:bCs w:val="0"/>
                <w:color w:val="0000FC"/>
                <w:sz w:val="24"/>
                <w:szCs w:val="24"/>
                <w:highlight w:val="none"/>
                <w:vertAlign w:val="baseline"/>
                <w:lang w:val="en-US" w:eastAsia="zh-CN"/>
              </w:rPr>
              <w:t>，矿山道路、办公生活区、加工区、成品堆场等临时用地（占地面积约为99998平方米）建设前也需进行表土剥离，平均剥离表土厚度按约</w:t>
            </w:r>
            <w:r>
              <w:rPr>
                <w:rFonts w:hint="default" w:cs="Times New Roman"/>
                <w:b w:val="0"/>
                <w:bCs w:val="0"/>
                <w:color w:val="0000FC"/>
                <w:sz w:val="24"/>
                <w:szCs w:val="24"/>
                <w:highlight w:val="none"/>
                <w:vertAlign w:val="baseline"/>
                <w:lang w:val="en-US" w:eastAsia="zh-CN"/>
              </w:rPr>
              <w:t>50cm</w:t>
            </w:r>
            <w:r>
              <w:rPr>
                <w:rFonts w:hint="eastAsia" w:cs="Times New Roman"/>
                <w:b w:val="0"/>
                <w:bCs w:val="0"/>
                <w:color w:val="0000FC"/>
                <w:sz w:val="24"/>
                <w:szCs w:val="24"/>
                <w:highlight w:val="none"/>
                <w:vertAlign w:val="baseline"/>
                <w:lang w:val="en-US" w:eastAsia="zh-CN"/>
              </w:rPr>
              <w:t>计算，则剥离量为4.9999万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ascii="Times New Roman" w:hAnsi="Times New Roman" w:eastAsia="宋体" w:cs="Times New Roman"/>
                <w:b w:val="0"/>
                <w:bCs w:val="0"/>
                <w:color w:val="0000FC"/>
                <w:sz w:val="24"/>
                <w:szCs w:val="24"/>
                <w:highlight w:val="none"/>
                <w:lang w:val="en-US" w:eastAsia="zh-CN"/>
              </w:rPr>
              <w:t>。根据估算西侧排土场</w:t>
            </w:r>
            <w:r>
              <w:rPr>
                <w:rFonts w:hint="eastAsia" w:cs="Times New Roman"/>
                <w:b w:val="0"/>
                <w:bCs w:val="0"/>
                <w:color w:val="0000FC"/>
                <w:sz w:val="24"/>
                <w:szCs w:val="24"/>
                <w:highlight w:val="none"/>
                <w:lang w:val="en-US" w:eastAsia="zh-CN"/>
              </w:rPr>
              <w:t>最大堆放量</w:t>
            </w:r>
            <w:r>
              <w:rPr>
                <w:rFonts w:hint="eastAsia" w:ascii="Times New Roman" w:hAnsi="Times New Roman" w:eastAsia="宋体" w:cs="Times New Roman"/>
                <w:b w:val="0"/>
                <w:bCs w:val="0"/>
                <w:color w:val="0000FC"/>
                <w:sz w:val="24"/>
                <w:szCs w:val="24"/>
                <w:highlight w:val="none"/>
                <w:lang w:val="en-US" w:eastAsia="zh-CN"/>
              </w:rPr>
              <w:t>约</w:t>
            </w:r>
            <w:r>
              <w:rPr>
                <w:rFonts w:hint="default" w:ascii="Times New Roman" w:hAnsi="Times New Roman" w:eastAsia="宋体" w:cs="Times New Roman"/>
                <w:b w:val="0"/>
                <w:bCs w:val="0"/>
                <w:color w:val="0000FC"/>
                <w:sz w:val="24"/>
                <w:szCs w:val="24"/>
                <w:highlight w:val="none"/>
                <w:lang w:val="en-US" w:eastAsia="zh-CN"/>
              </w:rPr>
              <w:t>59</w:t>
            </w:r>
            <w:r>
              <w:rPr>
                <w:rFonts w:hint="eastAsia" w:ascii="Times New Roman" w:hAnsi="Times New Roman" w:eastAsia="宋体" w:cs="Times New Roman"/>
                <w:b w:val="0"/>
                <w:bCs w:val="0"/>
                <w:color w:val="0000FC"/>
                <w:sz w:val="24"/>
                <w:szCs w:val="24"/>
                <w:highlight w:val="none"/>
                <w:lang w:val="en-US" w:eastAsia="zh-CN"/>
              </w:rPr>
              <w:t>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ascii="Times New Roman" w:hAnsi="Times New Roman" w:eastAsia="宋体" w:cs="Times New Roman"/>
                <w:b w:val="0"/>
                <w:bCs w:val="0"/>
                <w:color w:val="0000FC"/>
                <w:sz w:val="24"/>
                <w:szCs w:val="24"/>
                <w:highlight w:val="none"/>
                <w:lang w:val="en-US" w:eastAsia="zh-CN"/>
              </w:rPr>
              <w:t>，东侧排土场</w:t>
            </w:r>
            <w:r>
              <w:rPr>
                <w:rFonts w:hint="eastAsia" w:cs="Times New Roman"/>
                <w:b w:val="0"/>
                <w:bCs w:val="0"/>
                <w:color w:val="0000FC"/>
                <w:sz w:val="24"/>
                <w:szCs w:val="24"/>
                <w:highlight w:val="none"/>
                <w:lang w:val="en-US" w:eastAsia="zh-CN"/>
              </w:rPr>
              <w:t>最大堆放量</w:t>
            </w:r>
            <w:r>
              <w:rPr>
                <w:rFonts w:hint="eastAsia" w:ascii="Times New Roman" w:hAnsi="Times New Roman" w:eastAsia="宋体" w:cs="Times New Roman"/>
                <w:b w:val="0"/>
                <w:bCs w:val="0"/>
                <w:color w:val="0000FC"/>
                <w:sz w:val="24"/>
                <w:szCs w:val="24"/>
                <w:highlight w:val="none"/>
                <w:lang w:val="en-US" w:eastAsia="zh-CN"/>
              </w:rPr>
              <w:t>约</w:t>
            </w:r>
            <w:r>
              <w:rPr>
                <w:rFonts w:hint="default" w:ascii="Times New Roman" w:hAnsi="Times New Roman" w:eastAsia="宋体" w:cs="Times New Roman"/>
                <w:b w:val="0"/>
                <w:bCs w:val="0"/>
                <w:color w:val="0000FC"/>
                <w:sz w:val="24"/>
                <w:szCs w:val="24"/>
                <w:highlight w:val="none"/>
                <w:lang w:val="en-US" w:eastAsia="zh-CN"/>
              </w:rPr>
              <w:t>47</w:t>
            </w:r>
            <w:r>
              <w:rPr>
                <w:rFonts w:hint="eastAsia" w:ascii="Times New Roman" w:hAnsi="Times New Roman" w:eastAsia="宋体" w:cs="Times New Roman"/>
                <w:b w:val="0"/>
                <w:bCs w:val="0"/>
                <w:color w:val="0000FC"/>
                <w:sz w:val="24"/>
                <w:szCs w:val="24"/>
                <w:highlight w:val="none"/>
                <w:lang w:val="en-US" w:eastAsia="zh-CN"/>
              </w:rPr>
              <w:t>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ascii="Times New Roman" w:hAnsi="Times New Roman" w:eastAsia="宋体" w:cs="Times New Roman"/>
                <w:b w:val="0"/>
                <w:bCs w:val="0"/>
                <w:color w:val="0000FC"/>
                <w:sz w:val="24"/>
                <w:szCs w:val="24"/>
                <w:highlight w:val="none"/>
                <w:lang w:val="en-US" w:eastAsia="zh-CN"/>
              </w:rPr>
              <w:t>，合计堆存方量为</w:t>
            </w:r>
            <w:r>
              <w:rPr>
                <w:rFonts w:hint="default" w:ascii="Times New Roman" w:hAnsi="Times New Roman" w:eastAsia="宋体" w:cs="Times New Roman"/>
                <w:b w:val="0"/>
                <w:bCs w:val="0"/>
                <w:color w:val="0000FC"/>
                <w:sz w:val="24"/>
                <w:szCs w:val="24"/>
                <w:highlight w:val="none"/>
                <w:lang w:val="en-US" w:eastAsia="zh-CN"/>
              </w:rPr>
              <w:t>106</w:t>
            </w:r>
            <w:r>
              <w:rPr>
                <w:rFonts w:hint="eastAsia" w:ascii="Times New Roman" w:hAnsi="Times New Roman" w:eastAsia="宋体" w:cs="Times New Roman"/>
                <w:b w:val="0"/>
                <w:bCs w:val="0"/>
                <w:color w:val="0000FC"/>
                <w:sz w:val="24"/>
                <w:szCs w:val="24"/>
                <w:highlight w:val="none"/>
                <w:lang w:val="en-US" w:eastAsia="zh-CN"/>
              </w:rPr>
              <w:t>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ascii="Times New Roman" w:hAnsi="Times New Roman" w:eastAsia="宋体" w:cs="Times New Roman"/>
                <w:b w:val="0"/>
                <w:bCs w:val="0"/>
                <w:color w:val="0000FC"/>
                <w:sz w:val="24"/>
                <w:szCs w:val="24"/>
                <w:highlight w:val="none"/>
                <w:lang w:val="en-US" w:eastAsia="zh-CN"/>
              </w:rPr>
              <w:t>，</w:t>
            </w:r>
            <w:r>
              <w:rPr>
                <w:rFonts w:hint="eastAsia" w:cs="Times New Roman"/>
                <w:b w:val="0"/>
                <w:bCs w:val="0"/>
                <w:color w:val="0000FC"/>
                <w:sz w:val="24"/>
                <w:szCs w:val="24"/>
                <w:highlight w:val="none"/>
                <w:lang w:val="en-US" w:eastAsia="zh-CN"/>
              </w:rPr>
              <w:t>综上所述，本项目最大剥离量为105.7699</w:t>
            </w:r>
            <w:r>
              <w:rPr>
                <w:rFonts w:hint="eastAsia" w:cs="Times New Roman"/>
                <w:b w:val="0"/>
                <w:bCs w:val="0"/>
                <w:color w:val="0000FC"/>
                <w:sz w:val="24"/>
                <w:szCs w:val="24"/>
                <w:highlight w:val="none"/>
                <w:vertAlign w:val="baseline"/>
                <w:lang w:val="en-US" w:eastAsia="zh-CN"/>
              </w:rPr>
              <w:t>万</w:t>
            </w:r>
            <w:r>
              <w:rPr>
                <w:rFonts w:hint="default" w:ascii="Times New Roman" w:hAnsi="Times New Roman" w:eastAsia="宋体" w:cs="Times New Roman"/>
                <w:b w:val="0"/>
                <w:bCs w:val="0"/>
                <w:color w:val="0000FC"/>
                <w:sz w:val="24"/>
                <w:szCs w:val="24"/>
                <w:highlight w:val="none"/>
                <w:lang w:val="en-US" w:eastAsia="zh-CN"/>
              </w:rPr>
              <w:t>m</w:t>
            </w:r>
            <w:r>
              <w:rPr>
                <w:rFonts w:hint="default" w:ascii="Times New Roman" w:hAnsi="Times New Roman" w:eastAsia="宋体" w:cs="Times New Roman"/>
                <w:b w:val="0"/>
                <w:bCs w:val="0"/>
                <w:color w:val="0000FC"/>
                <w:sz w:val="24"/>
                <w:szCs w:val="24"/>
                <w:highlight w:val="none"/>
                <w:vertAlign w:val="superscript"/>
                <w:lang w:val="en-US" w:eastAsia="zh-CN"/>
              </w:rPr>
              <w:t>3</w:t>
            </w:r>
            <w:r>
              <w:rPr>
                <w:rFonts w:hint="eastAsia" w:cs="Times New Roman"/>
                <w:b w:val="0"/>
                <w:bCs w:val="0"/>
                <w:color w:val="0000FC"/>
                <w:sz w:val="24"/>
                <w:szCs w:val="24"/>
                <w:highlight w:val="none"/>
                <w:vertAlign w:val="baseline"/>
                <w:lang w:val="en-US" w:eastAsia="zh-CN"/>
              </w:rPr>
              <w:t>，</w:t>
            </w:r>
            <w:r>
              <w:rPr>
                <w:rFonts w:hint="eastAsia" w:ascii="Times New Roman" w:hAnsi="Times New Roman" w:eastAsia="宋体" w:cs="Times New Roman"/>
                <w:b w:val="0"/>
                <w:bCs w:val="0"/>
                <w:color w:val="FF0000"/>
                <w:sz w:val="24"/>
                <w:szCs w:val="24"/>
                <w:highlight w:val="none"/>
                <w:lang w:val="en-US" w:eastAsia="zh-CN"/>
              </w:rPr>
              <w:t>可满足矿山废石及表土堆放。</w:t>
            </w:r>
          </w:p>
          <w:p w14:paraId="5EDABD4C">
            <w:pPr>
              <w:pStyle w:val="54"/>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b/>
                <w:bCs/>
                <w:sz w:val="24"/>
                <w:szCs w:val="24"/>
              </w:rPr>
            </w:pPr>
            <w:r>
              <w:rPr>
                <w:rFonts w:hint="eastAsia" w:ascii="Times New Roman" w:hAnsi="Times New Roman" w:eastAsia="宋体" w:cs="Times New Roman"/>
                <w:b w:val="0"/>
                <w:bCs w:val="0"/>
                <w:color w:val="FF0000"/>
                <w:sz w:val="24"/>
                <w:szCs w:val="24"/>
                <w:highlight w:val="none"/>
                <w:lang w:val="en-US" w:eastAsia="zh-CN"/>
              </w:rPr>
              <w:t>表土剥离后通过汽车直接运往排土场，再采用推土机展平，设计排土高度</w:t>
            </w:r>
            <w:r>
              <w:rPr>
                <w:rFonts w:hint="default" w:ascii="Times New Roman" w:hAnsi="Times New Roman" w:eastAsia="宋体" w:cs="Times New Roman"/>
                <w:b w:val="0"/>
                <w:bCs w:val="0"/>
                <w:color w:val="FF0000"/>
                <w:sz w:val="24"/>
                <w:szCs w:val="24"/>
                <w:highlight w:val="none"/>
                <w:lang w:val="en-US" w:eastAsia="zh-CN"/>
              </w:rPr>
              <w:t>8m</w:t>
            </w:r>
            <w:r>
              <w:rPr>
                <w:rFonts w:hint="eastAsia" w:ascii="Times New Roman" w:hAnsi="Times New Roman" w:eastAsia="宋体" w:cs="Times New Roman"/>
                <w:b w:val="0"/>
                <w:bCs w:val="0"/>
                <w:color w:val="FF0000"/>
                <w:sz w:val="24"/>
                <w:szCs w:val="24"/>
                <w:highlight w:val="none"/>
                <w:lang w:val="en-US" w:eastAsia="zh-CN"/>
              </w:rPr>
              <w:t>，设计坡度角</w:t>
            </w:r>
            <w:r>
              <w:rPr>
                <w:rFonts w:hint="default" w:ascii="Times New Roman" w:hAnsi="Times New Roman" w:eastAsia="宋体" w:cs="Times New Roman"/>
                <w:b w:val="0"/>
                <w:bCs w:val="0"/>
                <w:color w:val="FF0000"/>
                <w:sz w:val="24"/>
                <w:szCs w:val="24"/>
                <w:highlight w:val="none"/>
                <w:lang w:val="en-US" w:eastAsia="zh-CN"/>
              </w:rPr>
              <w:t>32°</w:t>
            </w:r>
            <w:r>
              <w:rPr>
                <w:rFonts w:hint="eastAsia" w:ascii="Times New Roman" w:hAnsi="Times New Roman" w:eastAsia="宋体" w:cs="Times New Roman"/>
                <w:b w:val="0"/>
                <w:bCs w:val="0"/>
                <w:color w:val="FF0000"/>
                <w:sz w:val="24"/>
                <w:szCs w:val="24"/>
                <w:highlight w:val="none"/>
                <w:lang w:val="en-US" w:eastAsia="zh-CN"/>
              </w:rPr>
              <w:t>，能满足矿山未来排土需</w:t>
            </w:r>
            <w:r>
              <w:rPr>
                <w:rFonts w:hint="eastAsia" w:ascii="Times New Roman" w:hAnsi="Times New Roman" w:cs="Times New Roman"/>
                <w:b w:val="0"/>
                <w:bCs w:val="0"/>
                <w:color w:val="FF0000"/>
                <w:sz w:val="24"/>
                <w:szCs w:val="24"/>
                <w:highlight w:val="none"/>
                <w:lang w:val="en-US" w:eastAsia="zh-CN"/>
              </w:rPr>
              <w:t>要</w:t>
            </w:r>
            <w:r>
              <w:rPr>
                <w:rFonts w:hint="eastAsia" w:ascii="宋体" w:hAnsi="宋体" w:cs="宋体"/>
                <w:color w:val="FF0000"/>
                <w:kern w:val="0"/>
                <w:sz w:val="24"/>
                <w:szCs w:val="24"/>
                <w:lang w:val="en-US" w:eastAsia="zh-CN" w:bidi="ar"/>
              </w:rPr>
              <w:t>。</w:t>
            </w:r>
            <w:r>
              <w:rPr>
                <w:rFonts w:hint="default" w:ascii="Times New Roman" w:hAnsi="Times New Roman" w:eastAsia="宋体" w:cs="Times New Roman"/>
                <w:b w:val="0"/>
                <w:bCs/>
                <w:color w:val="000000"/>
                <w:sz w:val="24"/>
                <w:u w:val="none"/>
                <w:lang w:val="en-US" w:eastAsia="zh-CN"/>
              </w:rPr>
              <w:t>项目产生的废石部分用于道路平整，其余堆放于排土场，用密目网苫盖，定期洒水抑尘，用于后期植被恢复覆土。</w:t>
            </w:r>
          </w:p>
          <w:p w14:paraId="6D151451">
            <w:pPr>
              <w:pageBreakBefore w:val="0"/>
              <w:kinsoku/>
              <w:wordWrap/>
              <w:overflowPunct/>
              <w:topLinePunct w:val="0"/>
              <w:bidi w:val="0"/>
              <w:spacing w:beforeAutospacing="0" w:afterAutospacing="0" w:line="360" w:lineRule="auto"/>
              <w:ind w:firstLine="482" w:firstLineChars="200"/>
              <w:rPr>
                <w:rFonts w:hint="default" w:ascii="Times New Roman" w:hAnsi="Times New Roman" w:eastAsia="宋体"/>
                <w:sz w:val="24"/>
                <w:szCs w:val="24"/>
                <w:lang w:val="en-US" w:eastAsia="zh-CN"/>
              </w:rPr>
            </w:pPr>
            <w:r>
              <w:rPr>
                <w:rFonts w:hint="eastAsia" w:ascii="Times New Roman" w:hAnsi="Times New Roman" w:eastAsia="宋体"/>
                <w:b/>
                <w:bCs/>
                <w:sz w:val="24"/>
                <w:szCs w:val="24"/>
              </w:rPr>
              <w:t>（</w:t>
            </w:r>
            <w:r>
              <w:rPr>
                <w:rFonts w:hint="eastAsia" w:ascii="Times New Roman" w:hAnsi="Times New Roman" w:eastAsia="宋体"/>
                <w:b/>
                <w:bCs/>
                <w:sz w:val="24"/>
                <w:szCs w:val="24"/>
                <w:lang w:val="en-US" w:eastAsia="zh-CN"/>
              </w:rPr>
              <w:t>3</w:t>
            </w:r>
            <w:r>
              <w:rPr>
                <w:rFonts w:hint="eastAsia" w:ascii="Times New Roman" w:hAnsi="Times New Roman" w:eastAsia="宋体"/>
                <w:b/>
                <w:bCs/>
                <w:sz w:val="24"/>
                <w:szCs w:val="24"/>
              </w:rPr>
              <w:t>）废机油</w:t>
            </w:r>
            <w:r>
              <w:rPr>
                <w:rFonts w:hint="eastAsia" w:ascii="Times New Roman" w:hAnsi="Times New Roman" w:eastAsia="宋体"/>
                <w:b/>
                <w:bCs/>
                <w:sz w:val="24"/>
                <w:szCs w:val="24"/>
                <w:lang w:eastAsia="zh-CN"/>
              </w:rPr>
              <w:t>、</w:t>
            </w:r>
            <w:r>
              <w:rPr>
                <w:rFonts w:hint="eastAsia" w:ascii="Times New Roman" w:hAnsi="Times New Roman" w:eastAsia="宋体"/>
                <w:b/>
                <w:bCs/>
                <w:sz w:val="24"/>
                <w:szCs w:val="24"/>
                <w:lang w:val="en-US" w:eastAsia="zh-CN"/>
              </w:rPr>
              <w:t>废机油桶</w:t>
            </w:r>
          </w:p>
          <w:p w14:paraId="1AD81A42">
            <w:pPr>
              <w:pStyle w:val="54"/>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本项目废机油主要来源项目机械设备维修过程，废机油及废机油桶属于《国家危险废物名录》中危险废物，废物类别为HW08，废物代码为900-214-08和</w:t>
            </w:r>
            <w:r>
              <w:rPr>
                <w:rFonts w:hint="default" w:ascii="Times New Roman" w:hAnsi="Times New Roman" w:eastAsia="宋体" w:cs="Times New Roman"/>
                <w:b w:val="0"/>
                <w:bCs/>
                <w:color w:val="auto"/>
                <w:kern w:val="2"/>
                <w:sz w:val="24"/>
                <w:szCs w:val="24"/>
                <w:lang w:val="en-US" w:eastAsia="zh-CN" w:bidi="ar-SA"/>
              </w:rPr>
              <w:t>900-249-08</w:t>
            </w:r>
            <w:r>
              <w:rPr>
                <w:rFonts w:hint="eastAsia" w:ascii="Times New Roman" w:hAnsi="Times New Roman" w:eastAsia="宋体" w:cs="Times New Roman"/>
                <w:b w:val="0"/>
                <w:bCs/>
                <w:color w:val="auto"/>
                <w:kern w:val="2"/>
                <w:sz w:val="24"/>
                <w:szCs w:val="24"/>
                <w:lang w:val="en-US" w:eastAsia="zh-CN" w:bidi="ar-SA"/>
              </w:rPr>
              <w:t>，根据建设单位提供，本项目废机油产生量约为0.5t/a，存储于危险废物贮存库内，危险废物贮存库面积约占10m</w:t>
            </w:r>
            <w:r>
              <w:rPr>
                <w:rFonts w:hint="eastAsia" w:ascii="Times New Roman" w:hAnsi="Times New Roman" w:eastAsia="宋体" w:cs="Times New Roman"/>
                <w:b w:val="0"/>
                <w:bCs/>
                <w:color w:val="auto"/>
                <w:kern w:val="2"/>
                <w:sz w:val="24"/>
                <w:szCs w:val="24"/>
                <w:vertAlign w:val="superscript"/>
                <w:lang w:val="en-US" w:eastAsia="zh-CN" w:bidi="ar-SA"/>
              </w:rPr>
              <w:t>2</w:t>
            </w:r>
            <w:r>
              <w:rPr>
                <w:rFonts w:hint="eastAsia" w:ascii="Times New Roman" w:hAnsi="Times New Roman" w:eastAsia="宋体" w:cs="Times New Roman"/>
                <w:b w:val="0"/>
                <w:bCs/>
                <w:color w:val="auto"/>
                <w:kern w:val="2"/>
                <w:sz w:val="24"/>
                <w:szCs w:val="24"/>
                <w:lang w:val="en-US" w:eastAsia="zh-CN" w:bidi="ar-SA"/>
              </w:rPr>
              <w:t>。</w:t>
            </w:r>
            <w:bookmarkStart w:id="16" w:name="_Toc18839"/>
          </w:p>
          <w:p w14:paraId="52CE85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b/>
                <w:bCs w:val="0"/>
                <w:kern w:val="2"/>
                <w:sz w:val="24"/>
                <w:szCs w:val="24"/>
                <w:lang w:val="en-US" w:eastAsia="zh-CN" w:bidi="ar-SA"/>
              </w:rPr>
            </w:pPr>
            <w:r>
              <w:rPr>
                <w:rFonts w:hint="eastAsia" w:ascii="Times New Roman" w:hAnsi="Times New Roman" w:eastAsia="宋体" w:cs="Times New Roman"/>
                <w:b/>
                <w:bCs w:val="0"/>
                <w:kern w:val="2"/>
                <w:sz w:val="24"/>
                <w:szCs w:val="24"/>
                <w:lang w:val="en-US" w:eastAsia="zh-CN" w:bidi="ar-SA"/>
              </w:rPr>
              <w:t>（4）沉淀池底泥</w:t>
            </w:r>
          </w:p>
          <w:p w14:paraId="7D1C8C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项目冲洗平台产生的沉淀池底泥收集后用于后续土地复垦回填使用。</w:t>
            </w:r>
          </w:p>
          <w:p w14:paraId="2DB1E510">
            <w:pPr>
              <w:pStyle w:val="4"/>
              <w:bidi w:val="0"/>
              <w:rPr>
                <w:rFonts w:hint="default"/>
                <w:highlight w:val="yellow"/>
                <w:lang w:val="en-US" w:eastAsia="zh-CN"/>
              </w:rPr>
            </w:pPr>
            <w:r>
              <w:rPr>
                <w:rFonts w:hint="eastAsia"/>
                <w:lang w:val="en-US" w:eastAsia="zh-CN"/>
              </w:rPr>
              <w:t>6、环境风险影响分析</w:t>
            </w:r>
          </w:p>
          <w:p w14:paraId="0414E264">
            <w:pPr>
              <w:keepNext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根据《建设项目环境风险评价技术导则》</w:t>
            </w:r>
            <w:r>
              <w:rPr>
                <w:rFonts w:hint="eastAsia" w:ascii="Times New Roman" w:hAnsi="Times New Roman" w:eastAsia="宋体"/>
                <w:sz w:val="24"/>
                <w:szCs w:val="24"/>
                <w:lang w:eastAsia="zh-CN"/>
              </w:rPr>
              <w:t>（</w:t>
            </w:r>
            <w:r>
              <w:rPr>
                <w:rFonts w:ascii="Times New Roman" w:hAnsi="Times New Roman" w:eastAsia="宋体"/>
                <w:sz w:val="24"/>
                <w:szCs w:val="24"/>
              </w:rPr>
              <w:t>HJ169-2018</w:t>
            </w:r>
            <w:r>
              <w:rPr>
                <w:rFonts w:hint="eastAsia" w:ascii="Times New Roman" w:hAnsi="Times New Roman" w:eastAsia="宋体"/>
                <w:sz w:val="24"/>
                <w:szCs w:val="24"/>
                <w:lang w:eastAsia="zh-CN"/>
              </w:rPr>
              <w:t>）</w:t>
            </w:r>
            <w:r>
              <w:rPr>
                <w:rFonts w:ascii="Times New Roman" w:hAnsi="Times New Roman" w:eastAsia="宋体"/>
                <w:sz w:val="24"/>
                <w:szCs w:val="24"/>
              </w:rPr>
              <w:t>中的相关要求，是相对于详细评价工作内容而言，在描述危险物质、环境影响途径、环境危害后果、风险防范措施等方面给出定性的说明，以便于为企业的风险管理提供科学依据。</w:t>
            </w:r>
          </w:p>
          <w:bookmarkEnd w:id="16"/>
          <w:p w14:paraId="0AAFA669">
            <w:pPr>
              <w:pStyle w:val="6"/>
              <w:keepNext w:val="0"/>
              <w:pageBreakBefore w:val="0"/>
              <w:kinsoku/>
              <w:wordWrap/>
              <w:overflowPunct/>
              <w:topLinePunct w:val="0"/>
              <w:autoSpaceDE/>
              <w:autoSpaceDN/>
              <w:bidi w:val="0"/>
              <w:adjustRightInd/>
              <w:snapToGrid/>
              <w:spacing w:before="0" w:beforeLines="0" w:beforeAutospacing="0" w:afterAutospacing="0" w:line="360" w:lineRule="auto"/>
              <w:ind w:left="0" w:leftChars="0" w:firstLine="482" w:firstLineChars="200"/>
              <w:textAlignment w:val="auto"/>
              <w:rPr>
                <w:rFonts w:hint="default" w:ascii="Times New Roman" w:hAnsi="Times New Roman" w:eastAsia="宋体"/>
                <w:sz w:val="24"/>
                <w:szCs w:val="24"/>
                <w:lang w:val="en-US" w:eastAsia="zh-CN"/>
              </w:rPr>
            </w:pP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1</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风险识别</w:t>
            </w:r>
          </w:p>
          <w:p w14:paraId="24D9395A">
            <w:pPr>
              <w:pStyle w:val="6"/>
              <w:keepNext w:val="0"/>
              <w:pageBreakBefore w:val="0"/>
              <w:kinsoku/>
              <w:wordWrap/>
              <w:overflowPunct/>
              <w:topLinePunct w:val="0"/>
              <w:autoSpaceDE/>
              <w:autoSpaceDN/>
              <w:bidi w:val="0"/>
              <w:adjustRightInd/>
              <w:snapToGrid/>
              <w:spacing w:before="0" w:beforeLines="0" w:beforeAutospacing="0" w:afterAutospacing="0" w:line="360" w:lineRule="auto"/>
              <w:ind w:left="0" w:leftChars="0" w:firstLine="480" w:firstLineChars="200"/>
              <w:textAlignment w:val="auto"/>
              <w:rPr>
                <w:rFonts w:ascii="Times New Roman" w:hAnsi="Times New Roman" w:eastAsia="宋体"/>
                <w:b w:val="0"/>
                <w:bCs/>
                <w:sz w:val="24"/>
                <w:szCs w:val="24"/>
              </w:rPr>
            </w:pPr>
            <w:r>
              <w:rPr>
                <w:rFonts w:hint="eastAsia" w:ascii="Times New Roman" w:hAnsi="Times New Roman" w:eastAsia="宋体"/>
                <w:b w:val="0"/>
                <w:bCs/>
                <w:sz w:val="24"/>
                <w:szCs w:val="24"/>
                <w:lang w:eastAsia="zh-CN"/>
              </w:rPr>
              <w:fldChar w:fldCharType="begin"/>
            </w:r>
            <w:r>
              <w:rPr>
                <w:rFonts w:hint="eastAsia" w:ascii="Times New Roman" w:hAnsi="Times New Roman" w:eastAsia="宋体"/>
                <w:b w:val="0"/>
                <w:bCs/>
                <w:sz w:val="24"/>
                <w:szCs w:val="24"/>
                <w:lang w:eastAsia="zh-CN"/>
              </w:rPr>
              <w:instrText xml:space="preserve"> = 1 \* GB3 \* MERGEFORMAT </w:instrText>
            </w:r>
            <w:r>
              <w:rPr>
                <w:rFonts w:hint="eastAsia" w:ascii="Times New Roman" w:hAnsi="Times New Roman" w:eastAsia="宋体"/>
                <w:b w:val="0"/>
                <w:bCs/>
                <w:sz w:val="24"/>
                <w:szCs w:val="24"/>
                <w:lang w:eastAsia="zh-CN"/>
              </w:rPr>
              <w:fldChar w:fldCharType="separate"/>
            </w:r>
            <w:r>
              <w:rPr>
                <w:rFonts w:ascii="Times New Roman" w:hAnsi="Times New Roman" w:eastAsia="宋体"/>
                <w:b w:val="0"/>
                <w:bCs/>
                <w:sz w:val="24"/>
                <w:szCs w:val="24"/>
              </w:rPr>
              <w:t>①</w:t>
            </w:r>
            <w:r>
              <w:rPr>
                <w:rFonts w:hint="eastAsia" w:ascii="Times New Roman" w:hAnsi="Times New Roman" w:eastAsia="宋体"/>
                <w:b w:val="0"/>
                <w:bCs/>
                <w:sz w:val="24"/>
                <w:szCs w:val="24"/>
                <w:lang w:eastAsia="zh-CN"/>
              </w:rPr>
              <w:fldChar w:fldCharType="end"/>
            </w:r>
            <w:r>
              <w:rPr>
                <w:rFonts w:hint="eastAsia" w:ascii="Times New Roman" w:hAnsi="Times New Roman" w:eastAsia="宋体"/>
                <w:b w:val="0"/>
                <w:bCs/>
                <w:sz w:val="24"/>
                <w:szCs w:val="24"/>
              </w:rPr>
              <w:t>物质风险识别</w:t>
            </w:r>
          </w:p>
          <w:p w14:paraId="7A234754">
            <w:pPr>
              <w:keepNext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ascii="Times New Roman" w:hAnsi="Times New Roman" w:eastAsia="宋体"/>
                <w:sz w:val="24"/>
                <w:szCs w:val="24"/>
              </w:rPr>
            </w:pPr>
            <w:bookmarkStart w:id="17" w:name="_Toc496624372"/>
            <w:bookmarkStart w:id="18" w:name="_Toc511999868"/>
            <w:r>
              <w:rPr>
                <w:rFonts w:hint="eastAsia" w:ascii="Times New Roman" w:hAnsi="Times New Roman" w:eastAsia="宋体" w:cs="Times New Roman"/>
                <w:b w:val="0"/>
                <w:bCs w:val="0"/>
                <w:color w:val="0000FC"/>
                <w:sz w:val="24"/>
                <w:szCs w:val="24"/>
                <w:highlight w:val="none"/>
                <w:lang w:val="en-US" w:eastAsia="zh-CN"/>
              </w:rPr>
              <w:t>矿山不设置炸药库，所有爆破工作均委托专业的第三方爆破公司进行。</w:t>
            </w:r>
          </w:p>
          <w:p w14:paraId="549B5304">
            <w:pPr>
              <w:keepNext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sz w:val="24"/>
                <w:szCs w:val="24"/>
                <w:lang w:val="en-US" w:eastAsia="zh-CN"/>
              </w:rPr>
            </w:pPr>
            <w:r>
              <w:rPr>
                <w:rFonts w:ascii="Times New Roman" w:hAnsi="Times New Roman" w:eastAsia="宋体"/>
                <w:sz w:val="24"/>
                <w:szCs w:val="24"/>
              </w:rPr>
              <w:t>本项目的主要风险因子是矿山开采过程中矿山开采机械设备使用的柴油</w:t>
            </w:r>
            <w:r>
              <w:rPr>
                <w:rFonts w:hint="eastAsia" w:ascii="Times New Roman" w:hAnsi="Times New Roman" w:eastAsia="宋体"/>
                <w:sz w:val="24"/>
                <w:szCs w:val="24"/>
                <w:lang w:val="en-US" w:eastAsia="zh-CN"/>
              </w:rPr>
              <w:t>以及废机油等</w:t>
            </w:r>
            <w:r>
              <w:rPr>
                <w:rFonts w:hint="eastAsia" w:ascii="Times New Roman" w:hAnsi="Times New Roman" w:eastAsia="宋体"/>
                <w:sz w:val="24"/>
                <w:szCs w:val="24"/>
              </w:rPr>
              <w:t>。</w:t>
            </w:r>
            <w:r>
              <w:rPr>
                <w:rFonts w:hint="eastAsia" w:ascii="Times New Roman" w:hAnsi="Times New Roman" w:eastAsia="宋体"/>
                <w:color w:val="0000FC"/>
                <w:sz w:val="24"/>
                <w:szCs w:val="24"/>
                <w:highlight w:val="none"/>
              </w:rPr>
              <w:t>机械用油采用</w:t>
            </w:r>
            <w:r>
              <w:rPr>
                <w:rFonts w:hint="eastAsia"/>
                <w:color w:val="0000FC"/>
                <w:sz w:val="24"/>
                <w:szCs w:val="24"/>
                <w:highlight w:val="none"/>
                <w:lang w:val="en-US" w:eastAsia="zh-CN"/>
              </w:rPr>
              <w:t>油罐车</w:t>
            </w:r>
            <w:r>
              <w:rPr>
                <w:rFonts w:hint="eastAsia" w:ascii="Times New Roman" w:hAnsi="Times New Roman" w:eastAsia="宋体"/>
                <w:color w:val="0000FC"/>
                <w:sz w:val="24"/>
                <w:szCs w:val="24"/>
                <w:highlight w:val="none"/>
              </w:rPr>
              <w:t>拉运，厂区内无</w:t>
            </w:r>
            <w:r>
              <w:rPr>
                <w:rFonts w:ascii="Times New Roman" w:hAnsi="Times New Roman" w:eastAsia="宋体"/>
                <w:color w:val="0000FC"/>
                <w:sz w:val="24"/>
                <w:szCs w:val="24"/>
                <w:highlight w:val="none"/>
              </w:rPr>
              <w:t>柴油的储存</w:t>
            </w:r>
            <w:r>
              <w:rPr>
                <w:rFonts w:hint="eastAsia"/>
                <w:color w:val="0000FC"/>
                <w:sz w:val="24"/>
                <w:szCs w:val="24"/>
                <w:highlight w:val="none"/>
                <w:lang w:val="en-US" w:eastAsia="zh-CN"/>
              </w:rPr>
              <w:t>库及储存桶，只配备2个200L的临时油桶，将油罐车拉运至厂区后，转接至临时油桶</w:t>
            </w:r>
            <w:r>
              <w:rPr>
                <w:rFonts w:hint="eastAsia"/>
                <w:color w:val="0000FC"/>
                <w:kern w:val="0"/>
                <w:sz w:val="24"/>
              </w:rPr>
              <w:t>用于矿山挖掘机、装载机等机械车辆的燃料使用</w:t>
            </w:r>
            <w:r>
              <w:rPr>
                <w:rFonts w:hint="eastAsia"/>
                <w:color w:val="0000FC"/>
                <w:kern w:val="0"/>
                <w:sz w:val="24"/>
                <w:lang w:eastAsia="zh-CN"/>
              </w:rPr>
              <w:t>，</w:t>
            </w:r>
            <w:r>
              <w:rPr>
                <w:rFonts w:hint="eastAsia"/>
                <w:color w:val="0000FC"/>
                <w:kern w:val="0"/>
                <w:sz w:val="24"/>
                <w:lang w:val="en-US" w:eastAsia="zh-CN"/>
              </w:rPr>
              <w:t>待车辆和机械加油后将空置的临时油桶暂存至机修间内</w:t>
            </w:r>
            <w:r>
              <w:rPr>
                <w:rFonts w:hint="eastAsia"/>
                <w:color w:val="0000FC"/>
                <w:kern w:val="0"/>
                <w:sz w:val="24"/>
              </w:rPr>
              <w:t>。</w:t>
            </w:r>
            <w:r>
              <w:rPr>
                <w:rFonts w:hint="eastAsia" w:ascii="Times New Roman" w:hAnsi="Times New Roman" w:eastAsia="宋体"/>
                <w:sz w:val="24"/>
                <w:szCs w:val="24"/>
                <w:lang w:val="en-US" w:eastAsia="zh-CN"/>
              </w:rPr>
              <w:t>维修及更换的废机油暂存于危险废物贮存库。</w:t>
            </w:r>
          </w:p>
          <w:p w14:paraId="29A37CFE">
            <w:pPr>
              <w:keepNext w:val="0"/>
              <w:keepLines w:val="0"/>
              <w:pageBreakBefore w:val="0"/>
              <w:widowControl w:val="0"/>
              <w:kinsoku/>
              <w:overflowPunct w:val="0"/>
              <w:topLinePunct w:val="0"/>
              <w:bidi w:val="0"/>
              <w:ind w:firstLine="560"/>
              <w:jc w:val="left"/>
              <w:rPr>
                <w:rFonts w:hint="default" w:ascii="Times New Roman" w:hAnsi="Times New Roman" w:cs="Times New Roman"/>
                <w:color w:val="0000FC"/>
                <w:highlight w:val="none"/>
              </w:rPr>
            </w:pPr>
            <w:r>
              <w:rPr>
                <w:rFonts w:hint="default" w:ascii="Times New Roman" w:hAnsi="Times New Roman" w:cs="Times New Roman"/>
                <w:color w:val="0000FC"/>
                <w:kern w:val="2"/>
                <w:sz w:val="24"/>
                <w:szCs w:val="24"/>
                <w:lang w:eastAsia="zh-CN"/>
              </w:rPr>
              <w:t>根据</w:t>
            </w:r>
            <w:r>
              <w:rPr>
                <w:rFonts w:hint="default" w:ascii="Times New Roman" w:hAnsi="Times New Roman" w:cs="Times New Roman"/>
                <w:color w:val="0000FC"/>
                <w:lang w:eastAsia="zh-CN"/>
              </w:rPr>
              <w:t>《企业突发环境事件风险分级方法》</w:t>
            </w:r>
            <w:r>
              <w:rPr>
                <w:rFonts w:hint="default" w:ascii="Times New Roman" w:hAnsi="Times New Roman" w:cs="Times New Roman" w:eastAsiaTheme="minorEastAsia"/>
                <w:color w:val="0000FC"/>
                <w:sz w:val="24"/>
                <w:szCs w:val="24"/>
                <w:lang w:val="en-US" w:eastAsia="zh-CN"/>
              </w:rPr>
              <w:t>（HJ941-2018）</w:t>
            </w:r>
            <w:r>
              <w:rPr>
                <w:rFonts w:hint="default" w:ascii="Times New Roman" w:hAnsi="Times New Roman" w:eastAsia="宋体" w:cs="Times New Roman"/>
                <w:color w:val="0000FC"/>
                <w:kern w:val="0"/>
                <w:sz w:val="24"/>
                <w:szCs w:val="24"/>
              </w:rPr>
              <w:t>附录</w:t>
            </w:r>
            <w:r>
              <w:rPr>
                <w:rFonts w:hint="default" w:ascii="Times New Roman" w:hAnsi="Times New Roman" w:eastAsia="宋体" w:cs="Times New Roman"/>
                <w:color w:val="0000FC"/>
                <w:kern w:val="0"/>
                <w:sz w:val="24"/>
                <w:szCs w:val="24"/>
                <w:lang w:val="en-US" w:eastAsia="zh-CN"/>
              </w:rPr>
              <w:t>A</w:t>
            </w:r>
            <w:r>
              <w:rPr>
                <w:rFonts w:hint="default" w:ascii="Times New Roman" w:hAnsi="Times New Roman" w:eastAsia="宋体" w:cs="Times New Roman"/>
                <w:color w:val="0000FC"/>
                <w:kern w:val="0"/>
                <w:sz w:val="24"/>
                <w:szCs w:val="24"/>
              </w:rPr>
              <w:t>《突发环境事件风险物质及临界量清单》</w:t>
            </w:r>
            <w:r>
              <w:rPr>
                <w:rFonts w:hint="default" w:ascii="Times New Roman" w:hAnsi="Times New Roman" w:eastAsia="宋体" w:cs="Times New Roman"/>
                <w:color w:val="0000FC"/>
                <w:kern w:val="0"/>
                <w:sz w:val="24"/>
                <w:szCs w:val="24"/>
                <w:lang w:eastAsia="zh-CN"/>
              </w:rPr>
              <w:t>，确定本</w:t>
            </w:r>
            <w:r>
              <w:rPr>
                <w:rFonts w:hint="eastAsia" w:cs="Times New Roman"/>
                <w:color w:val="0000FC"/>
                <w:kern w:val="0"/>
                <w:sz w:val="24"/>
                <w:szCs w:val="24"/>
                <w:lang w:eastAsia="zh-CN"/>
              </w:rPr>
              <w:t>矿山</w:t>
            </w:r>
            <w:r>
              <w:rPr>
                <w:rFonts w:hint="default" w:ascii="Times New Roman" w:hAnsi="Times New Roman" w:eastAsia="宋体" w:cs="Times New Roman"/>
                <w:color w:val="0000FC"/>
                <w:kern w:val="0"/>
                <w:sz w:val="24"/>
                <w:szCs w:val="24"/>
                <w:lang w:eastAsia="zh-CN"/>
              </w:rPr>
              <w:t>涉及的环境</w:t>
            </w:r>
            <w:r>
              <w:rPr>
                <w:rFonts w:hint="default" w:ascii="Times New Roman" w:hAnsi="Times New Roman" w:eastAsia="宋体" w:cs="Times New Roman"/>
                <w:color w:val="0000FC"/>
                <w:kern w:val="0"/>
                <w:sz w:val="24"/>
                <w:szCs w:val="24"/>
              </w:rPr>
              <w:t>风险物质</w:t>
            </w:r>
            <w:r>
              <w:rPr>
                <w:rFonts w:hint="default" w:ascii="Times New Roman" w:hAnsi="Times New Roman" w:eastAsia="宋体" w:cs="Times New Roman"/>
                <w:color w:val="0000FC"/>
                <w:kern w:val="0"/>
                <w:sz w:val="24"/>
                <w:szCs w:val="24"/>
                <w:lang w:eastAsia="zh-CN"/>
              </w:rPr>
              <w:t>为</w:t>
            </w:r>
            <w:r>
              <w:rPr>
                <w:rFonts w:hint="default" w:ascii="Times New Roman" w:hAnsi="Times New Roman" w:cs="Times New Roman"/>
                <w:color w:val="0000FC"/>
                <w:kern w:val="0"/>
                <w:sz w:val="24"/>
                <w:szCs w:val="24"/>
                <w:lang w:eastAsia="zh-CN"/>
              </w:rPr>
              <w:t>柴油</w:t>
            </w:r>
            <w:r>
              <w:rPr>
                <w:rFonts w:hint="default" w:ascii="Times New Roman" w:hAnsi="Times New Roman" w:cs="Times New Roman"/>
                <w:color w:val="0000FC"/>
                <w:kern w:val="2"/>
                <w:sz w:val="24"/>
                <w:szCs w:val="24"/>
              </w:rPr>
              <w:t>，</w:t>
            </w:r>
            <w:r>
              <w:rPr>
                <w:rFonts w:hint="eastAsia" w:cs="Times New Roman"/>
                <w:color w:val="0000FC"/>
                <w:kern w:val="2"/>
                <w:sz w:val="24"/>
                <w:szCs w:val="24"/>
                <w:lang w:val="en-US" w:eastAsia="zh-CN"/>
              </w:rPr>
              <w:t>废机油</w:t>
            </w:r>
            <w:r>
              <w:rPr>
                <w:rFonts w:hint="default" w:ascii="Times New Roman" w:hAnsi="Times New Roman" w:cs="Times New Roman"/>
                <w:color w:val="0000FC"/>
                <w:szCs w:val="22"/>
                <w:lang w:eastAsia="zh-CN" w:bidi="ar"/>
              </w:rPr>
              <w:t>（矿物油类，如石油、</w:t>
            </w:r>
            <w:r>
              <w:rPr>
                <w:rFonts w:hint="eastAsia" w:cs="Times New Roman"/>
                <w:color w:val="0000FC"/>
                <w:szCs w:val="22"/>
                <w:lang w:eastAsia="zh-CN" w:bidi="ar"/>
              </w:rPr>
              <w:t>柴油</w:t>
            </w:r>
            <w:r>
              <w:rPr>
                <w:rFonts w:hint="default" w:ascii="Times New Roman" w:hAnsi="Times New Roman" w:cs="Times New Roman"/>
                <w:color w:val="0000FC"/>
                <w:szCs w:val="22"/>
                <w:lang w:eastAsia="zh-CN" w:bidi="ar"/>
              </w:rPr>
              <w:t>、柴油等）</w:t>
            </w:r>
            <w:r>
              <w:rPr>
                <w:rFonts w:hint="default" w:ascii="Times New Roman" w:hAnsi="Times New Roman" w:cs="Times New Roman"/>
                <w:color w:val="0000FC"/>
                <w:szCs w:val="22"/>
                <w:lang w:bidi="ar"/>
              </w:rPr>
              <w:t>临界量为2</w:t>
            </w:r>
            <w:r>
              <w:rPr>
                <w:rFonts w:hint="default" w:ascii="Times New Roman" w:hAnsi="Times New Roman" w:cs="Times New Roman"/>
                <w:color w:val="0000FC"/>
                <w:szCs w:val="22"/>
                <w:lang w:val="en-US" w:eastAsia="zh-CN" w:bidi="ar"/>
              </w:rPr>
              <w:t>500</w:t>
            </w:r>
            <w:r>
              <w:rPr>
                <w:rFonts w:hint="default" w:ascii="Times New Roman" w:hAnsi="Times New Roman" w:cs="Times New Roman"/>
                <w:color w:val="0000FC"/>
                <w:szCs w:val="22"/>
                <w:lang w:bidi="ar"/>
              </w:rPr>
              <w:t>t。</w:t>
            </w:r>
          </w:p>
          <w:p w14:paraId="54CDEEAE">
            <w:pPr>
              <w:keepNext w:val="0"/>
              <w:keepLines w:val="0"/>
              <w:pageBreakBefore w:val="0"/>
              <w:widowControl w:val="0"/>
              <w:kinsoku/>
              <w:overflowPunct w:val="0"/>
              <w:topLinePunct w:val="0"/>
              <w:bidi w:val="0"/>
              <w:ind w:left="0" w:leftChars="0" w:firstLine="480" w:firstLineChars="200"/>
              <w:jc w:val="left"/>
              <w:rPr>
                <w:rFonts w:hint="default" w:ascii="Times New Roman" w:hAnsi="Times New Roman" w:cs="Times New Roman"/>
                <w:color w:val="0000FC"/>
                <w:sz w:val="24"/>
                <w:szCs w:val="24"/>
              </w:rPr>
            </w:pPr>
            <w:r>
              <w:rPr>
                <w:rFonts w:hint="default" w:ascii="Times New Roman" w:hAnsi="Times New Roman" w:cs="Times New Roman"/>
                <w:color w:val="0000FC"/>
                <w:kern w:val="2"/>
                <w:sz w:val="24"/>
                <w:szCs w:val="24"/>
              </w:rPr>
              <w:t>则</w:t>
            </w:r>
            <w:r>
              <w:rPr>
                <w:rFonts w:hint="default" w:ascii="Times New Roman" w:hAnsi="Times New Roman" w:cs="Times New Roman"/>
                <w:color w:val="0000FC"/>
                <w:kern w:val="2"/>
                <w:sz w:val="24"/>
                <w:szCs w:val="24"/>
                <w:lang w:val="en-US" w:eastAsia="zh-CN"/>
              </w:rPr>
              <w:t>=</w:t>
            </w:r>
            <w:r>
              <w:rPr>
                <w:rFonts w:hint="default" w:ascii="Times New Roman" w:hAnsi="Times New Roman" w:cs="Times New Roman" w:eastAsiaTheme="minorEastAsia"/>
                <w:color w:val="0000FC"/>
                <w:sz w:val="24"/>
                <w:szCs w:val="24"/>
                <w:lang w:val="en-US" w:eastAsia="zh-CN"/>
              </w:rPr>
              <w:t>Q值</w:t>
            </w:r>
            <w:r>
              <w:rPr>
                <w:rFonts w:hint="default" w:ascii="Times New Roman" w:hAnsi="Times New Roman" w:cs="Times New Roman"/>
                <w:color w:val="0000FC"/>
                <w:kern w:val="2"/>
                <w:sz w:val="24"/>
                <w:szCs w:val="24"/>
              </w:rPr>
              <w:t>计算公式如下：</w:t>
            </w:r>
          </w:p>
          <w:p w14:paraId="0170DE87">
            <w:pPr>
              <w:keepNext w:val="0"/>
              <w:keepLines w:val="0"/>
              <w:pageBreakBefore w:val="0"/>
              <w:widowControl w:val="0"/>
              <w:kinsoku/>
              <w:overflowPunct w:val="0"/>
              <w:topLinePunct w:val="0"/>
              <w:bidi w:val="0"/>
              <w:ind w:left="0" w:leftChars="0" w:firstLine="480" w:firstLineChars="200"/>
              <w:jc w:val="left"/>
              <w:rPr>
                <w:rFonts w:hint="default" w:ascii="Times New Roman" w:hAnsi="Times New Roman" w:cs="Times New Roman"/>
                <w:color w:val="0000FC"/>
                <w:kern w:val="2"/>
                <w:sz w:val="24"/>
                <w:szCs w:val="24"/>
              </w:rPr>
            </w:pPr>
            <w:r>
              <w:rPr>
                <w:rFonts w:hint="default" w:ascii="Times New Roman" w:hAnsi="Times New Roman" w:cs="Times New Roman"/>
                <w:color w:val="0000FC"/>
                <w:kern w:val="2"/>
                <w:sz w:val="24"/>
                <w:szCs w:val="24"/>
              </w:rPr>
              <w:t>按照数值大小，将</w:t>
            </w:r>
            <w:r>
              <w:rPr>
                <w:rFonts w:hint="default" w:ascii="Times New Roman" w:hAnsi="Times New Roman" w:cs="Times New Roman"/>
                <w:color w:val="0000FC"/>
                <w:kern w:val="2"/>
                <w:sz w:val="24"/>
                <w:szCs w:val="24"/>
                <w:lang w:val="en-US" w:eastAsia="zh-CN"/>
              </w:rPr>
              <w:t>Q</w:t>
            </w:r>
            <w:r>
              <w:rPr>
                <w:rFonts w:hint="default" w:ascii="Times New Roman" w:hAnsi="Times New Roman" w:cs="Times New Roman"/>
                <w:color w:val="0000FC"/>
                <w:kern w:val="2"/>
                <w:sz w:val="24"/>
                <w:szCs w:val="24"/>
              </w:rPr>
              <w:t>划分为4个水平：</w:t>
            </w:r>
          </w:p>
          <w:p w14:paraId="0EB622C0">
            <w:pPr>
              <w:keepNext w:val="0"/>
              <w:keepLines w:val="0"/>
              <w:pageBreakBefore w:val="0"/>
              <w:widowControl w:val="0"/>
              <w:kinsoku/>
              <w:overflowPunct w:val="0"/>
              <w:topLinePunct w:val="0"/>
              <w:bidi w:val="0"/>
              <w:ind w:left="0" w:leftChars="0" w:firstLine="480" w:firstLineChars="200"/>
              <w:jc w:val="left"/>
              <w:rPr>
                <w:rFonts w:hint="default" w:ascii="Times New Roman" w:hAnsi="Times New Roman" w:cs="Times New Roman"/>
                <w:color w:val="0000FC"/>
                <w:kern w:val="2"/>
                <w:sz w:val="24"/>
                <w:szCs w:val="24"/>
              </w:rPr>
            </w:pPr>
            <w:r>
              <w:rPr>
                <w:rFonts w:hint="default" w:ascii="Times New Roman" w:hAnsi="Times New Roman" w:cs="Times New Roman"/>
                <w:color w:val="0000FC"/>
                <w:kern w:val="2"/>
                <w:sz w:val="24"/>
                <w:szCs w:val="24"/>
              </w:rPr>
              <w:fldChar w:fldCharType="begin"/>
            </w:r>
            <w:r>
              <w:rPr>
                <w:rFonts w:hint="default" w:ascii="Times New Roman" w:hAnsi="Times New Roman" w:cs="Times New Roman"/>
                <w:color w:val="0000FC"/>
                <w:kern w:val="2"/>
                <w:sz w:val="24"/>
                <w:szCs w:val="24"/>
              </w:rPr>
              <w:instrText xml:space="preserve"> = 1 \* GB3 \* MERGEFORMAT </w:instrText>
            </w:r>
            <w:r>
              <w:rPr>
                <w:rFonts w:hint="default" w:ascii="Times New Roman" w:hAnsi="Times New Roman" w:cs="Times New Roman"/>
                <w:color w:val="0000FC"/>
                <w:kern w:val="2"/>
                <w:sz w:val="24"/>
                <w:szCs w:val="24"/>
              </w:rPr>
              <w:fldChar w:fldCharType="separate"/>
            </w:r>
            <w:r>
              <w:rPr>
                <w:rFonts w:hint="default" w:ascii="Times New Roman" w:hAnsi="Times New Roman" w:cs="Times New Roman"/>
                <w:color w:val="0000FC"/>
                <w:kern w:val="2"/>
                <w:sz w:val="24"/>
                <w:szCs w:val="24"/>
              </w:rPr>
              <w:t>①</w:t>
            </w:r>
            <w:r>
              <w:rPr>
                <w:rFonts w:hint="default" w:ascii="Times New Roman" w:hAnsi="Times New Roman" w:cs="Times New Roman"/>
                <w:color w:val="0000FC"/>
                <w:kern w:val="2"/>
                <w:sz w:val="24"/>
                <w:szCs w:val="24"/>
              </w:rPr>
              <w:fldChar w:fldCharType="end"/>
            </w:r>
            <w:r>
              <w:rPr>
                <w:rFonts w:hint="default" w:ascii="Times New Roman" w:hAnsi="Times New Roman" w:cs="Times New Roman"/>
                <w:color w:val="0000FC"/>
                <w:kern w:val="2"/>
                <w:sz w:val="24"/>
                <w:szCs w:val="24"/>
              </w:rPr>
              <w:t>Q＜1，以 Q0 表示，企业直接评为一般环境风险等级；</w:t>
            </w:r>
          </w:p>
          <w:p w14:paraId="05B572DF">
            <w:pPr>
              <w:keepNext w:val="0"/>
              <w:keepLines w:val="0"/>
              <w:pageBreakBefore w:val="0"/>
              <w:widowControl w:val="0"/>
              <w:kinsoku/>
              <w:overflowPunct w:val="0"/>
              <w:topLinePunct w:val="0"/>
              <w:bidi w:val="0"/>
              <w:ind w:left="0" w:leftChars="0" w:firstLine="480" w:firstLineChars="200"/>
              <w:jc w:val="left"/>
              <w:rPr>
                <w:rFonts w:hint="default" w:ascii="Times New Roman" w:hAnsi="Times New Roman" w:cs="Times New Roman"/>
                <w:color w:val="0000FC"/>
                <w:kern w:val="2"/>
                <w:sz w:val="24"/>
                <w:szCs w:val="24"/>
              </w:rPr>
            </w:pPr>
            <w:r>
              <w:rPr>
                <w:rFonts w:hint="default" w:ascii="Times New Roman" w:hAnsi="Times New Roman" w:cs="Times New Roman"/>
                <w:color w:val="0000FC"/>
                <w:kern w:val="2"/>
                <w:sz w:val="24"/>
                <w:szCs w:val="24"/>
              </w:rPr>
              <w:fldChar w:fldCharType="begin"/>
            </w:r>
            <w:r>
              <w:rPr>
                <w:rFonts w:hint="default" w:ascii="Times New Roman" w:hAnsi="Times New Roman" w:cs="Times New Roman"/>
                <w:color w:val="0000FC"/>
                <w:kern w:val="2"/>
                <w:sz w:val="24"/>
                <w:szCs w:val="24"/>
              </w:rPr>
              <w:instrText xml:space="preserve"> = 2 \* GB3 \* MERGEFORMAT </w:instrText>
            </w:r>
            <w:r>
              <w:rPr>
                <w:rFonts w:hint="default" w:ascii="Times New Roman" w:hAnsi="Times New Roman" w:cs="Times New Roman"/>
                <w:color w:val="0000FC"/>
                <w:kern w:val="2"/>
                <w:sz w:val="24"/>
                <w:szCs w:val="24"/>
              </w:rPr>
              <w:fldChar w:fldCharType="separate"/>
            </w:r>
            <w:r>
              <w:rPr>
                <w:rFonts w:hint="default" w:ascii="Times New Roman" w:hAnsi="Times New Roman" w:cs="Times New Roman"/>
                <w:color w:val="0000FC"/>
                <w:kern w:val="2"/>
                <w:sz w:val="24"/>
                <w:szCs w:val="24"/>
              </w:rPr>
              <w:t>②</w:t>
            </w:r>
            <w:r>
              <w:rPr>
                <w:rFonts w:hint="default" w:ascii="Times New Roman" w:hAnsi="Times New Roman" w:cs="Times New Roman"/>
                <w:color w:val="0000FC"/>
                <w:kern w:val="2"/>
                <w:sz w:val="24"/>
                <w:szCs w:val="24"/>
              </w:rPr>
              <w:fldChar w:fldCharType="end"/>
            </w:r>
            <w:r>
              <w:rPr>
                <w:rFonts w:hint="default" w:ascii="Times New Roman" w:hAnsi="Times New Roman" w:cs="Times New Roman"/>
                <w:color w:val="0000FC"/>
                <w:kern w:val="2"/>
                <w:sz w:val="24"/>
                <w:szCs w:val="24"/>
              </w:rPr>
              <w:t>1≤Q＜10，以Q1表示；</w:t>
            </w:r>
          </w:p>
          <w:p w14:paraId="052A8EDE">
            <w:pPr>
              <w:keepNext w:val="0"/>
              <w:keepLines w:val="0"/>
              <w:pageBreakBefore w:val="0"/>
              <w:widowControl w:val="0"/>
              <w:kinsoku/>
              <w:overflowPunct w:val="0"/>
              <w:topLinePunct w:val="0"/>
              <w:bidi w:val="0"/>
              <w:ind w:left="0" w:leftChars="0" w:firstLine="480" w:firstLineChars="200"/>
              <w:jc w:val="left"/>
              <w:rPr>
                <w:rFonts w:hint="default" w:ascii="Times New Roman" w:hAnsi="Times New Roman" w:cs="Times New Roman"/>
                <w:color w:val="0000FC"/>
                <w:kern w:val="2"/>
                <w:sz w:val="24"/>
                <w:szCs w:val="24"/>
              </w:rPr>
            </w:pPr>
            <w:r>
              <w:rPr>
                <w:rFonts w:hint="default" w:ascii="Times New Roman" w:hAnsi="Times New Roman" w:cs="Times New Roman"/>
                <w:color w:val="0000FC"/>
                <w:kern w:val="2"/>
                <w:sz w:val="24"/>
                <w:szCs w:val="24"/>
              </w:rPr>
              <w:fldChar w:fldCharType="begin"/>
            </w:r>
            <w:r>
              <w:rPr>
                <w:rFonts w:hint="default" w:ascii="Times New Roman" w:hAnsi="Times New Roman" w:cs="Times New Roman"/>
                <w:color w:val="0000FC"/>
                <w:kern w:val="2"/>
                <w:sz w:val="24"/>
                <w:szCs w:val="24"/>
              </w:rPr>
              <w:instrText xml:space="preserve"> = 3 \* GB3 \* MERGEFORMAT </w:instrText>
            </w:r>
            <w:r>
              <w:rPr>
                <w:rFonts w:hint="default" w:ascii="Times New Roman" w:hAnsi="Times New Roman" w:cs="Times New Roman"/>
                <w:color w:val="0000FC"/>
                <w:kern w:val="2"/>
                <w:sz w:val="24"/>
                <w:szCs w:val="24"/>
              </w:rPr>
              <w:fldChar w:fldCharType="separate"/>
            </w:r>
            <w:r>
              <w:rPr>
                <w:rFonts w:hint="default" w:ascii="Times New Roman" w:hAnsi="Times New Roman" w:cs="Times New Roman"/>
                <w:color w:val="0000FC"/>
                <w:kern w:val="2"/>
                <w:sz w:val="24"/>
                <w:szCs w:val="24"/>
              </w:rPr>
              <w:t>③</w:t>
            </w:r>
            <w:r>
              <w:rPr>
                <w:rFonts w:hint="default" w:ascii="Times New Roman" w:hAnsi="Times New Roman" w:cs="Times New Roman"/>
                <w:color w:val="0000FC"/>
                <w:kern w:val="2"/>
                <w:sz w:val="24"/>
                <w:szCs w:val="24"/>
              </w:rPr>
              <w:fldChar w:fldCharType="end"/>
            </w:r>
            <w:r>
              <w:rPr>
                <w:rFonts w:hint="default" w:ascii="Times New Roman" w:hAnsi="Times New Roman" w:cs="Times New Roman"/>
                <w:color w:val="0000FC"/>
                <w:kern w:val="2"/>
                <w:sz w:val="24"/>
                <w:szCs w:val="24"/>
              </w:rPr>
              <w:t>10≤Q＜100，以Q2表示；</w:t>
            </w:r>
          </w:p>
          <w:p w14:paraId="22CC0567">
            <w:pPr>
              <w:keepNext w:val="0"/>
              <w:keepLines w:val="0"/>
              <w:pageBreakBefore w:val="0"/>
              <w:widowControl w:val="0"/>
              <w:kinsoku/>
              <w:overflowPunct w:val="0"/>
              <w:topLinePunct w:val="0"/>
              <w:bidi w:val="0"/>
              <w:ind w:left="0" w:leftChars="0" w:firstLine="480" w:firstLineChars="200"/>
              <w:jc w:val="left"/>
              <w:rPr>
                <w:rFonts w:hint="default" w:ascii="Times New Roman" w:hAnsi="Times New Roman" w:cs="Times New Roman"/>
                <w:color w:val="0000FC"/>
                <w:kern w:val="2"/>
                <w:sz w:val="24"/>
                <w:szCs w:val="24"/>
                <w:lang w:val="en-US" w:eastAsia="zh-CN"/>
              </w:rPr>
            </w:pPr>
            <w:r>
              <w:rPr>
                <w:rFonts w:hint="default" w:ascii="Times New Roman" w:hAnsi="Times New Roman" w:cs="Times New Roman"/>
                <w:color w:val="0000FC"/>
                <w:kern w:val="2"/>
                <w:sz w:val="24"/>
                <w:szCs w:val="24"/>
              </w:rPr>
              <w:fldChar w:fldCharType="begin"/>
            </w:r>
            <w:r>
              <w:rPr>
                <w:rFonts w:hint="default" w:ascii="Times New Roman" w:hAnsi="Times New Roman" w:cs="Times New Roman"/>
                <w:color w:val="0000FC"/>
                <w:kern w:val="2"/>
                <w:sz w:val="24"/>
                <w:szCs w:val="24"/>
              </w:rPr>
              <w:instrText xml:space="preserve"> = 4 \* GB3 \* MERGEFORMAT </w:instrText>
            </w:r>
            <w:r>
              <w:rPr>
                <w:rFonts w:hint="default" w:ascii="Times New Roman" w:hAnsi="Times New Roman" w:cs="Times New Roman"/>
                <w:color w:val="0000FC"/>
                <w:kern w:val="2"/>
                <w:sz w:val="24"/>
                <w:szCs w:val="24"/>
              </w:rPr>
              <w:fldChar w:fldCharType="separate"/>
            </w:r>
            <w:r>
              <w:rPr>
                <w:rFonts w:hint="default" w:ascii="Times New Roman" w:hAnsi="Times New Roman" w:cs="Times New Roman"/>
                <w:color w:val="0000FC"/>
                <w:kern w:val="2"/>
                <w:sz w:val="24"/>
                <w:szCs w:val="24"/>
              </w:rPr>
              <w:t>④</w:t>
            </w:r>
            <w:r>
              <w:rPr>
                <w:rFonts w:hint="default" w:ascii="Times New Roman" w:hAnsi="Times New Roman" w:cs="Times New Roman"/>
                <w:color w:val="0000FC"/>
                <w:kern w:val="2"/>
                <w:sz w:val="24"/>
                <w:szCs w:val="24"/>
              </w:rPr>
              <w:fldChar w:fldCharType="end"/>
            </w:r>
            <w:r>
              <w:rPr>
                <w:rFonts w:hint="default" w:ascii="Times New Roman" w:hAnsi="Times New Roman" w:cs="Times New Roman"/>
                <w:color w:val="0000FC"/>
                <w:kern w:val="2"/>
                <w:sz w:val="24"/>
                <w:szCs w:val="24"/>
              </w:rPr>
              <w:t>Q≥100，以Q3表示。</w:t>
            </w:r>
          </w:p>
          <w:p w14:paraId="63D62679">
            <w:pPr>
              <w:keepNext w:val="0"/>
              <w:keepLines w:val="0"/>
              <w:pageBreakBefore w:val="0"/>
              <w:widowControl w:val="0"/>
              <w:kinsoku/>
              <w:overflowPunct w:val="0"/>
              <w:topLinePunct w:val="0"/>
              <w:bidi w:val="0"/>
              <w:ind w:left="0" w:leftChars="0" w:firstLine="480" w:firstLineChars="200"/>
              <w:jc w:val="left"/>
              <w:rPr>
                <w:rFonts w:hint="default" w:ascii="Times New Roman" w:hAnsi="Times New Roman" w:cs="Times New Roman"/>
                <w:color w:val="0000FC"/>
                <w:kern w:val="2"/>
                <w:sz w:val="24"/>
                <w:szCs w:val="24"/>
                <w:lang w:val="en-US" w:eastAsia="zh-CN"/>
              </w:rPr>
            </w:pPr>
            <w:r>
              <w:rPr>
                <w:rFonts w:hint="default" w:ascii="Times New Roman" w:hAnsi="Times New Roman" w:cs="Times New Roman"/>
                <w:color w:val="0000FC"/>
                <w:kern w:val="2"/>
                <w:sz w:val="24"/>
                <w:szCs w:val="24"/>
                <w:lang w:val="en-US" w:eastAsia="zh-CN"/>
              </w:rPr>
              <w:t>根据上述计算，本企业风险物质存储数量及临界量的比值，计算结果如下表。</w:t>
            </w:r>
          </w:p>
          <w:p w14:paraId="0BF7DDD7">
            <w:pPr>
              <w:pStyle w:val="5"/>
              <w:bidi w:val="0"/>
              <w:rPr>
                <w:rFonts w:hint="default" w:ascii="Times New Roman" w:hAnsi="Times New Roman" w:eastAsia="宋体" w:cs="Times New Roman"/>
                <w:color w:val="0000FC"/>
                <w:lang w:val="en-US" w:eastAsia="zh-CN"/>
              </w:rPr>
            </w:pPr>
            <w:r>
              <w:rPr>
                <w:rFonts w:hint="default" w:ascii="Times New Roman" w:hAnsi="Times New Roman" w:eastAsia="宋体" w:cs="Times New Roman"/>
                <w:color w:val="0000FC"/>
                <w:lang w:val="en-US" w:eastAsia="zh-CN"/>
              </w:rPr>
              <w:t>表</w:t>
            </w:r>
            <w:r>
              <w:rPr>
                <w:rFonts w:hint="eastAsia" w:ascii="Times New Roman" w:hAnsi="Times New Roman" w:eastAsia="宋体" w:cs="Times New Roman"/>
                <w:color w:val="0000FC"/>
                <w:lang w:val="en-US" w:eastAsia="zh-CN"/>
              </w:rPr>
              <w:t>4-5</w:t>
            </w:r>
            <w:r>
              <w:rPr>
                <w:rFonts w:hint="default" w:ascii="Times New Roman" w:hAnsi="Times New Roman" w:eastAsia="宋体" w:cs="Times New Roman"/>
                <w:color w:val="0000FC"/>
                <w:lang w:val="en-US" w:eastAsia="zh-CN"/>
              </w:rPr>
              <w:t xml:space="preserve">  风险物质存在数量及其临界量</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2068"/>
              <w:gridCol w:w="2247"/>
              <w:gridCol w:w="1251"/>
              <w:gridCol w:w="1252"/>
            </w:tblGrid>
            <w:tr w14:paraId="3B205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66" w:type="pct"/>
                  <w:tcBorders>
                    <w:tl2br w:val="nil"/>
                    <w:tr2bl w:val="nil"/>
                  </w:tcBorders>
                  <w:noWrap w:val="0"/>
                  <w:vAlign w:val="center"/>
                </w:tcPr>
                <w:p w14:paraId="32089A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FC"/>
                      <w:sz w:val="21"/>
                      <w:szCs w:val="21"/>
                      <w:vertAlign w:val="baseline"/>
                      <w:lang w:val="en-US" w:eastAsia="zh-CN"/>
                    </w:rPr>
                  </w:pPr>
                  <w:r>
                    <w:rPr>
                      <w:rFonts w:hint="default" w:ascii="Times New Roman" w:hAnsi="Times New Roman" w:cs="Times New Roman" w:eastAsiaTheme="minorEastAsia"/>
                      <w:b/>
                      <w:bCs/>
                      <w:color w:val="0000FC"/>
                      <w:sz w:val="21"/>
                      <w:szCs w:val="21"/>
                      <w:vertAlign w:val="baseline"/>
                      <w:lang w:val="en-US" w:eastAsia="zh-CN"/>
                    </w:rPr>
                    <w:t>名称</w:t>
                  </w:r>
                </w:p>
              </w:tc>
              <w:tc>
                <w:tcPr>
                  <w:tcW w:w="1223" w:type="pct"/>
                  <w:tcBorders>
                    <w:tl2br w:val="nil"/>
                    <w:tr2bl w:val="nil"/>
                  </w:tcBorders>
                  <w:noWrap w:val="0"/>
                  <w:vAlign w:val="center"/>
                </w:tcPr>
                <w:p w14:paraId="38FE8E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FC"/>
                      <w:sz w:val="21"/>
                      <w:szCs w:val="21"/>
                      <w:vertAlign w:val="baseline"/>
                      <w:lang w:val="en-US" w:eastAsia="zh-CN"/>
                    </w:rPr>
                  </w:pPr>
                  <w:r>
                    <w:rPr>
                      <w:rFonts w:hint="default" w:ascii="Times New Roman" w:hAnsi="Times New Roman" w:cs="Times New Roman" w:eastAsiaTheme="minorEastAsia"/>
                      <w:b/>
                      <w:bCs/>
                      <w:color w:val="0000FC"/>
                      <w:sz w:val="21"/>
                      <w:szCs w:val="21"/>
                      <w:vertAlign w:val="baseline"/>
                      <w:lang w:val="en-US" w:eastAsia="zh-CN"/>
                    </w:rPr>
                    <w:t>最大储存量w（t）</w:t>
                  </w:r>
                </w:p>
              </w:tc>
              <w:tc>
                <w:tcPr>
                  <w:tcW w:w="1329" w:type="pct"/>
                  <w:tcBorders>
                    <w:tl2br w:val="nil"/>
                    <w:tr2bl w:val="nil"/>
                  </w:tcBorders>
                  <w:noWrap w:val="0"/>
                  <w:vAlign w:val="center"/>
                </w:tcPr>
                <w:p w14:paraId="0B2EA8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FC"/>
                      <w:sz w:val="21"/>
                      <w:szCs w:val="21"/>
                      <w:vertAlign w:val="baseline"/>
                      <w:lang w:val="en-US" w:eastAsia="zh-CN"/>
                    </w:rPr>
                  </w:pPr>
                  <w:r>
                    <w:rPr>
                      <w:rFonts w:hint="default" w:ascii="Times New Roman" w:hAnsi="Times New Roman" w:cs="Times New Roman" w:eastAsiaTheme="minorEastAsia"/>
                      <w:b/>
                      <w:bCs/>
                      <w:color w:val="0000FC"/>
                      <w:sz w:val="21"/>
                      <w:szCs w:val="21"/>
                      <w:vertAlign w:val="baseline"/>
                      <w:lang w:val="en-US" w:eastAsia="zh-CN"/>
                    </w:rPr>
                    <w:t>临界量W（t）</w:t>
                  </w:r>
                </w:p>
              </w:tc>
              <w:tc>
                <w:tcPr>
                  <w:tcW w:w="740" w:type="pct"/>
                  <w:tcBorders>
                    <w:tl2br w:val="nil"/>
                    <w:tr2bl w:val="nil"/>
                  </w:tcBorders>
                  <w:noWrap w:val="0"/>
                  <w:vAlign w:val="center"/>
                </w:tcPr>
                <w:p w14:paraId="418532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FC"/>
                      <w:sz w:val="21"/>
                      <w:szCs w:val="21"/>
                      <w:vertAlign w:val="baseline"/>
                      <w:lang w:val="en-US" w:eastAsia="zh-CN"/>
                    </w:rPr>
                  </w:pPr>
                  <w:r>
                    <w:rPr>
                      <w:rFonts w:hint="default" w:ascii="Times New Roman" w:hAnsi="Times New Roman" w:cs="Times New Roman" w:eastAsiaTheme="minorEastAsia"/>
                      <w:b/>
                      <w:bCs/>
                      <w:color w:val="0000FC"/>
                      <w:sz w:val="21"/>
                      <w:szCs w:val="21"/>
                      <w:vertAlign w:val="baseline"/>
                      <w:lang w:val="en-US" w:eastAsia="zh-CN"/>
                    </w:rPr>
                    <w:t>w/W</w:t>
                  </w:r>
                </w:p>
              </w:tc>
              <w:tc>
                <w:tcPr>
                  <w:tcW w:w="740" w:type="pct"/>
                  <w:tcBorders>
                    <w:tl2br w:val="nil"/>
                    <w:tr2bl w:val="nil"/>
                  </w:tcBorders>
                  <w:noWrap w:val="0"/>
                  <w:vAlign w:val="center"/>
                </w:tcPr>
                <w:p w14:paraId="479D04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FC"/>
                      <w:sz w:val="21"/>
                      <w:szCs w:val="21"/>
                      <w:vertAlign w:val="baseline"/>
                      <w:lang w:val="en-US" w:eastAsia="zh-CN"/>
                    </w:rPr>
                  </w:pPr>
                  <w:r>
                    <w:rPr>
                      <w:rFonts w:hint="default" w:ascii="Times New Roman" w:hAnsi="Times New Roman" w:cs="Times New Roman"/>
                      <w:b/>
                      <w:bCs/>
                      <w:color w:val="0000FC"/>
                      <w:sz w:val="21"/>
                    </w:rPr>
                    <w:t>Q</w:t>
                  </w:r>
                </w:p>
              </w:tc>
            </w:tr>
            <w:tr w14:paraId="5E26A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66" w:type="pct"/>
                  <w:tcBorders>
                    <w:tl2br w:val="nil"/>
                    <w:tr2bl w:val="nil"/>
                  </w:tcBorders>
                  <w:noWrap w:val="0"/>
                  <w:vAlign w:val="center"/>
                </w:tcPr>
                <w:p w14:paraId="16FFCE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C"/>
                      <w:sz w:val="21"/>
                      <w:szCs w:val="21"/>
                      <w:vertAlign w:val="baseline"/>
                      <w:lang w:val="en-US" w:eastAsia="zh-CN"/>
                    </w:rPr>
                  </w:pPr>
                  <w:r>
                    <w:rPr>
                      <w:rFonts w:hint="eastAsia" w:cs="Times New Roman" w:eastAsiaTheme="minorEastAsia"/>
                      <w:b w:val="0"/>
                      <w:bCs w:val="0"/>
                      <w:color w:val="0000FC"/>
                      <w:sz w:val="21"/>
                      <w:szCs w:val="21"/>
                      <w:vertAlign w:val="baseline"/>
                      <w:lang w:val="en-US" w:eastAsia="zh-CN"/>
                    </w:rPr>
                    <w:t>柴油</w:t>
                  </w:r>
                </w:p>
              </w:tc>
              <w:tc>
                <w:tcPr>
                  <w:tcW w:w="1223" w:type="pct"/>
                  <w:tcBorders>
                    <w:tl2br w:val="nil"/>
                    <w:tr2bl w:val="nil"/>
                  </w:tcBorders>
                  <w:noWrap w:val="0"/>
                  <w:vAlign w:val="center"/>
                </w:tcPr>
                <w:p w14:paraId="594BC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C"/>
                      <w:sz w:val="21"/>
                      <w:szCs w:val="21"/>
                      <w:vertAlign w:val="baseline"/>
                      <w:lang w:val="en-US" w:eastAsia="zh-CN"/>
                    </w:rPr>
                  </w:pPr>
                  <w:r>
                    <w:rPr>
                      <w:rFonts w:hint="eastAsia" w:cs="Times New Roman" w:eastAsiaTheme="minorEastAsia"/>
                      <w:b w:val="0"/>
                      <w:bCs w:val="0"/>
                      <w:color w:val="0000FC"/>
                      <w:sz w:val="21"/>
                      <w:szCs w:val="21"/>
                      <w:vertAlign w:val="baseline"/>
                      <w:lang w:val="en-US" w:eastAsia="zh-CN"/>
                    </w:rPr>
                    <w:t>/</w:t>
                  </w:r>
                </w:p>
              </w:tc>
              <w:tc>
                <w:tcPr>
                  <w:tcW w:w="1329" w:type="pct"/>
                  <w:tcBorders>
                    <w:tl2br w:val="nil"/>
                    <w:tr2bl w:val="nil"/>
                  </w:tcBorders>
                  <w:noWrap w:val="0"/>
                  <w:vAlign w:val="center"/>
                </w:tcPr>
                <w:p w14:paraId="681C5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C"/>
                      <w:sz w:val="21"/>
                      <w:szCs w:val="21"/>
                      <w:vertAlign w:val="baseline"/>
                      <w:lang w:val="en-US" w:eastAsia="zh-CN"/>
                    </w:rPr>
                  </w:pPr>
                  <w:r>
                    <w:rPr>
                      <w:rFonts w:hint="eastAsia" w:cs="Times New Roman" w:eastAsiaTheme="minorEastAsia"/>
                      <w:b w:val="0"/>
                      <w:bCs w:val="0"/>
                      <w:color w:val="0000FC"/>
                      <w:sz w:val="21"/>
                      <w:szCs w:val="21"/>
                      <w:vertAlign w:val="baseline"/>
                      <w:lang w:val="en-US" w:eastAsia="zh-CN"/>
                    </w:rPr>
                    <w:t>2500</w:t>
                  </w:r>
                </w:p>
              </w:tc>
              <w:tc>
                <w:tcPr>
                  <w:tcW w:w="740" w:type="pct"/>
                  <w:tcBorders>
                    <w:tl2br w:val="nil"/>
                    <w:tr2bl w:val="nil"/>
                  </w:tcBorders>
                  <w:noWrap w:val="0"/>
                  <w:vAlign w:val="center"/>
                </w:tcPr>
                <w:p w14:paraId="53409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C"/>
                      <w:sz w:val="21"/>
                      <w:szCs w:val="21"/>
                      <w:vertAlign w:val="baseline"/>
                      <w:lang w:val="en-US" w:eastAsia="zh-CN"/>
                    </w:rPr>
                  </w:pPr>
                  <w:r>
                    <w:rPr>
                      <w:rFonts w:hint="eastAsia" w:cs="Times New Roman" w:eastAsiaTheme="minorEastAsia"/>
                      <w:b w:val="0"/>
                      <w:bCs w:val="0"/>
                      <w:color w:val="0000FC"/>
                      <w:sz w:val="21"/>
                      <w:szCs w:val="21"/>
                      <w:vertAlign w:val="baseline"/>
                      <w:lang w:val="en-US" w:eastAsia="zh-CN"/>
                    </w:rPr>
                    <w:t>/</w:t>
                  </w:r>
                </w:p>
              </w:tc>
              <w:tc>
                <w:tcPr>
                  <w:tcW w:w="740" w:type="pct"/>
                  <w:tcBorders>
                    <w:tl2br w:val="nil"/>
                    <w:tr2bl w:val="nil"/>
                  </w:tcBorders>
                  <w:noWrap w:val="0"/>
                  <w:vAlign w:val="center"/>
                </w:tcPr>
                <w:p w14:paraId="79AFC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C"/>
                      <w:sz w:val="21"/>
                      <w:szCs w:val="21"/>
                      <w:vertAlign w:val="baseline"/>
                      <w:lang w:val="en-US" w:eastAsia="zh-CN"/>
                    </w:rPr>
                  </w:pPr>
                  <w:r>
                    <w:rPr>
                      <w:rFonts w:hint="eastAsia" w:cs="Times New Roman" w:eastAsiaTheme="minorEastAsia"/>
                      <w:b w:val="0"/>
                      <w:bCs w:val="0"/>
                      <w:color w:val="0000FC"/>
                      <w:sz w:val="21"/>
                      <w:szCs w:val="21"/>
                      <w:vertAlign w:val="baseline"/>
                      <w:lang w:val="en-US" w:eastAsia="zh-CN"/>
                    </w:rPr>
                    <w:t>/</w:t>
                  </w:r>
                </w:p>
              </w:tc>
            </w:tr>
            <w:tr w14:paraId="2B0DD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66" w:type="pct"/>
                  <w:tcBorders>
                    <w:tl2br w:val="nil"/>
                    <w:tr2bl w:val="nil"/>
                  </w:tcBorders>
                  <w:noWrap w:val="0"/>
                  <w:vAlign w:val="center"/>
                </w:tcPr>
                <w:p w14:paraId="342663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eastAsiaTheme="minorEastAsia"/>
                      <w:b w:val="0"/>
                      <w:bCs w:val="0"/>
                      <w:color w:val="0000FC"/>
                      <w:sz w:val="21"/>
                      <w:szCs w:val="21"/>
                      <w:vertAlign w:val="baseline"/>
                      <w:lang w:val="en-US" w:eastAsia="zh-CN"/>
                    </w:rPr>
                  </w:pPr>
                  <w:r>
                    <w:rPr>
                      <w:rFonts w:hint="eastAsia" w:cs="Times New Roman" w:eastAsiaTheme="minorEastAsia"/>
                      <w:b w:val="0"/>
                      <w:bCs w:val="0"/>
                      <w:color w:val="0000FC"/>
                      <w:sz w:val="21"/>
                      <w:szCs w:val="21"/>
                      <w:vertAlign w:val="baseline"/>
                      <w:lang w:val="en-US" w:eastAsia="zh-CN"/>
                    </w:rPr>
                    <w:t>废机油</w:t>
                  </w:r>
                </w:p>
              </w:tc>
              <w:tc>
                <w:tcPr>
                  <w:tcW w:w="1223" w:type="pct"/>
                  <w:tcBorders>
                    <w:tl2br w:val="nil"/>
                    <w:tr2bl w:val="nil"/>
                  </w:tcBorders>
                  <w:noWrap w:val="0"/>
                  <w:vAlign w:val="center"/>
                </w:tcPr>
                <w:p w14:paraId="1A00DD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eastAsiaTheme="minorEastAsia"/>
                      <w:b w:val="0"/>
                      <w:bCs w:val="0"/>
                      <w:color w:val="0000FC"/>
                      <w:sz w:val="21"/>
                      <w:szCs w:val="21"/>
                      <w:vertAlign w:val="baseline"/>
                      <w:lang w:val="en-US" w:eastAsia="zh-CN"/>
                    </w:rPr>
                  </w:pPr>
                  <w:r>
                    <w:rPr>
                      <w:rFonts w:hint="eastAsia" w:cs="Times New Roman" w:eastAsiaTheme="minorEastAsia"/>
                      <w:b w:val="0"/>
                      <w:bCs w:val="0"/>
                      <w:color w:val="0000FC"/>
                      <w:sz w:val="21"/>
                      <w:szCs w:val="21"/>
                      <w:vertAlign w:val="baseline"/>
                      <w:lang w:val="en-US" w:eastAsia="zh-CN"/>
                    </w:rPr>
                    <w:t>0.1</w:t>
                  </w:r>
                </w:p>
              </w:tc>
              <w:tc>
                <w:tcPr>
                  <w:tcW w:w="1329" w:type="pct"/>
                  <w:tcBorders>
                    <w:tl2br w:val="nil"/>
                    <w:tr2bl w:val="nil"/>
                  </w:tcBorders>
                  <w:noWrap w:val="0"/>
                  <w:vAlign w:val="center"/>
                </w:tcPr>
                <w:p w14:paraId="575923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eastAsiaTheme="minorEastAsia"/>
                      <w:b w:val="0"/>
                      <w:bCs w:val="0"/>
                      <w:color w:val="0000FC"/>
                      <w:sz w:val="21"/>
                      <w:szCs w:val="21"/>
                      <w:vertAlign w:val="baseline"/>
                      <w:lang w:val="en-US" w:eastAsia="zh-CN"/>
                    </w:rPr>
                  </w:pPr>
                  <w:r>
                    <w:rPr>
                      <w:rFonts w:hint="eastAsia" w:cs="Times New Roman" w:eastAsiaTheme="minorEastAsia"/>
                      <w:b w:val="0"/>
                      <w:bCs w:val="0"/>
                      <w:color w:val="0000FC"/>
                      <w:sz w:val="21"/>
                      <w:szCs w:val="21"/>
                      <w:vertAlign w:val="baseline"/>
                      <w:lang w:val="en-US" w:eastAsia="zh-CN"/>
                    </w:rPr>
                    <w:t>2500</w:t>
                  </w:r>
                </w:p>
              </w:tc>
              <w:tc>
                <w:tcPr>
                  <w:tcW w:w="740" w:type="pct"/>
                  <w:tcBorders>
                    <w:tl2br w:val="nil"/>
                    <w:tr2bl w:val="nil"/>
                  </w:tcBorders>
                  <w:noWrap w:val="0"/>
                  <w:vAlign w:val="center"/>
                </w:tcPr>
                <w:p w14:paraId="76407E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eastAsiaTheme="minorEastAsia"/>
                      <w:b w:val="0"/>
                      <w:bCs w:val="0"/>
                      <w:color w:val="0000FC"/>
                      <w:sz w:val="21"/>
                      <w:szCs w:val="21"/>
                      <w:vertAlign w:val="baseline"/>
                      <w:lang w:val="en-US" w:eastAsia="zh-CN"/>
                    </w:rPr>
                  </w:pPr>
                  <w:r>
                    <w:rPr>
                      <w:rFonts w:hint="eastAsia" w:cs="Times New Roman" w:eastAsiaTheme="minorEastAsia"/>
                      <w:b w:val="0"/>
                      <w:bCs w:val="0"/>
                      <w:color w:val="0000FC"/>
                      <w:sz w:val="21"/>
                      <w:szCs w:val="21"/>
                      <w:vertAlign w:val="baseline"/>
                      <w:lang w:val="en-US" w:eastAsia="zh-CN"/>
                    </w:rPr>
                    <w:t>0.00004</w:t>
                  </w:r>
                </w:p>
              </w:tc>
              <w:tc>
                <w:tcPr>
                  <w:tcW w:w="740" w:type="pct"/>
                  <w:tcBorders>
                    <w:tl2br w:val="nil"/>
                    <w:tr2bl w:val="nil"/>
                  </w:tcBorders>
                  <w:noWrap w:val="0"/>
                  <w:vAlign w:val="center"/>
                </w:tcPr>
                <w:p w14:paraId="41FC03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eastAsiaTheme="minorEastAsia"/>
                      <w:b w:val="0"/>
                      <w:bCs w:val="0"/>
                      <w:color w:val="0000FC"/>
                      <w:sz w:val="21"/>
                      <w:szCs w:val="21"/>
                      <w:vertAlign w:val="baseline"/>
                      <w:lang w:val="en-US" w:eastAsia="zh-CN"/>
                    </w:rPr>
                  </w:pPr>
                  <w:r>
                    <w:rPr>
                      <w:rFonts w:hint="eastAsia" w:cs="Times New Roman" w:eastAsiaTheme="minorEastAsia"/>
                      <w:b w:val="0"/>
                      <w:bCs w:val="0"/>
                      <w:color w:val="0000FC"/>
                      <w:sz w:val="21"/>
                      <w:szCs w:val="21"/>
                      <w:vertAlign w:val="baseline"/>
                      <w:lang w:val="en-US" w:eastAsia="zh-CN"/>
                    </w:rPr>
                    <w:t>0.00004</w:t>
                  </w:r>
                </w:p>
              </w:tc>
            </w:tr>
          </w:tbl>
          <w:p w14:paraId="7273F90C">
            <w:pPr>
              <w:keepNext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sz w:val="24"/>
                <w:szCs w:val="24"/>
                <w:lang w:val="en-US" w:eastAsia="zh-CN"/>
              </w:rPr>
            </w:pPr>
            <w:r>
              <w:rPr>
                <w:rFonts w:hint="default" w:ascii="Times New Roman" w:hAnsi="Times New Roman" w:cs="Times New Roman"/>
                <w:color w:val="0000FC"/>
                <w:szCs w:val="22"/>
                <w:highlight w:val="none"/>
                <w:lang w:eastAsia="zh-CN" w:bidi="ar"/>
              </w:rPr>
              <w:t>据此计算本项目</w:t>
            </w:r>
            <w:r>
              <w:rPr>
                <w:rFonts w:hint="default" w:ascii="Times New Roman" w:hAnsi="Times New Roman" w:cs="Times New Roman"/>
                <w:color w:val="0000FC"/>
                <w:szCs w:val="22"/>
                <w:highlight w:val="none"/>
                <w:lang w:val="en-US" w:eastAsia="zh-CN" w:bidi="ar"/>
              </w:rPr>
              <w:t>Q值=</w:t>
            </w:r>
            <w:r>
              <w:rPr>
                <w:rFonts w:hint="eastAsia" w:cs="Times New Roman"/>
                <w:color w:val="0000FC"/>
                <w:szCs w:val="22"/>
                <w:highlight w:val="none"/>
                <w:lang w:val="en-US" w:eastAsia="zh-CN" w:bidi="ar"/>
              </w:rPr>
              <w:t>0.00004</w:t>
            </w:r>
            <w:r>
              <w:rPr>
                <w:rFonts w:hint="default" w:ascii="Times New Roman" w:hAnsi="Times New Roman" w:cs="Times New Roman"/>
                <w:color w:val="0000FC"/>
                <w:szCs w:val="22"/>
                <w:highlight w:val="none"/>
                <w:lang w:bidi="ar"/>
              </w:rPr>
              <w:t>&lt;1。</w:t>
            </w:r>
            <w:r>
              <w:rPr>
                <w:rFonts w:hint="default" w:ascii="Times New Roman" w:hAnsi="Times New Roman" w:cs="Times New Roman"/>
                <w:color w:val="0000FC"/>
                <w:highlight w:val="none"/>
              </w:rPr>
              <w:t>因此，本</w:t>
            </w:r>
            <w:r>
              <w:rPr>
                <w:rFonts w:hint="eastAsia" w:cs="Times New Roman"/>
                <w:color w:val="0000FC"/>
                <w:highlight w:val="none"/>
                <w:lang w:eastAsia="zh-CN"/>
              </w:rPr>
              <w:t>矿山</w:t>
            </w:r>
            <w:r>
              <w:rPr>
                <w:rFonts w:hint="default" w:ascii="Times New Roman" w:hAnsi="Times New Roman" w:cs="Times New Roman"/>
                <w:color w:val="0000FC"/>
                <w:highlight w:val="none"/>
              </w:rPr>
              <w:t>属于一般</w:t>
            </w:r>
            <w:r>
              <w:rPr>
                <w:rFonts w:hint="default" w:ascii="Times New Roman" w:hAnsi="Times New Roman" w:cs="Times New Roman"/>
                <w:color w:val="0000FC"/>
                <w:highlight w:val="none"/>
                <w:lang w:eastAsia="zh-CN"/>
              </w:rPr>
              <w:t>风险等级。</w:t>
            </w:r>
          </w:p>
          <w:bookmarkEnd w:id="17"/>
          <w:bookmarkEnd w:id="18"/>
          <w:p w14:paraId="7C8F4939">
            <w:pPr>
              <w:pStyle w:val="6"/>
              <w:keepNext w:val="0"/>
              <w:keepLines/>
              <w:pageBreakBefore w:val="0"/>
              <w:widowControl w:val="0"/>
              <w:kinsoku/>
              <w:wordWrap/>
              <w:overflowPunct/>
              <w:topLinePunct w:val="0"/>
              <w:autoSpaceDE/>
              <w:autoSpaceDN/>
              <w:bidi w:val="0"/>
              <w:adjustRightInd/>
              <w:snapToGrid/>
              <w:spacing w:before="0" w:beforeLines="0" w:beforeAutospacing="0" w:afterAutospacing="0" w:line="360" w:lineRule="auto"/>
              <w:ind w:firstLine="480" w:firstLineChars="200"/>
              <w:textAlignment w:val="auto"/>
              <w:rPr>
                <w:rFonts w:ascii="Times New Roman" w:hAnsi="Times New Roman" w:eastAsia="宋体"/>
                <w:b w:val="0"/>
                <w:bCs/>
                <w:sz w:val="24"/>
                <w:szCs w:val="24"/>
              </w:rPr>
            </w:pPr>
            <w:r>
              <w:rPr>
                <w:rFonts w:hint="eastAsia" w:ascii="Times New Roman" w:hAnsi="Times New Roman" w:eastAsia="宋体"/>
                <w:b w:val="0"/>
                <w:bCs/>
                <w:sz w:val="24"/>
                <w:szCs w:val="24"/>
                <w:lang w:eastAsia="zh-CN"/>
              </w:rPr>
              <w:fldChar w:fldCharType="begin"/>
            </w:r>
            <w:r>
              <w:rPr>
                <w:rFonts w:hint="eastAsia" w:ascii="Times New Roman" w:hAnsi="Times New Roman" w:eastAsia="宋体"/>
                <w:b w:val="0"/>
                <w:bCs/>
                <w:sz w:val="24"/>
                <w:szCs w:val="24"/>
                <w:lang w:eastAsia="zh-CN"/>
              </w:rPr>
              <w:instrText xml:space="preserve"> = 2 \* GB3 \* MERGEFORMAT </w:instrText>
            </w:r>
            <w:r>
              <w:rPr>
                <w:rFonts w:hint="eastAsia" w:ascii="Times New Roman" w:hAnsi="Times New Roman" w:eastAsia="宋体"/>
                <w:b w:val="0"/>
                <w:bCs/>
                <w:sz w:val="24"/>
                <w:szCs w:val="24"/>
                <w:lang w:eastAsia="zh-CN"/>
              </w:rPr>
              <w:fldChar w:fldCharType="separate"/>
            </w:r>
            <w:r>
              <w:rPr>
                <w:rFonts w:ascii="Times New Roman" w:hAnsi="Times New Roman" w:eastAsia="宋体"/>
                <w:b w:val="0"/>
                <w:bCs/>
                <w:sz w:val="24"/>
                <w:szCs w:val="24"/>
              </w:rPr>
              <w:t>②</w:t>
            </w:r>
            <w:r>
              <w:rPr>
                <w:rFonts w:hint="eastAsia" w:ascii="Times New Roman" w:hAnsi="Times New Roman" w:eastAsia="宋体"/>
                <w:b w:val="0"/>
                <w:bCs/>
                <w:sz w:val="24"/>
                <w:szCs w:val="24"/>
                <w:lang w:eastAsia="zh-CN"/>
              </w:rPr>
              <w:fldChar w:fldCharType="end"/>
            </w:r>
            <w:r>
              <w:rPr>
                <w:rFonts w:ascii="Times New Roman" w:hAnsi="Times New Roman" w:eastAsia="宋体"/>
                <w:b w:val="0"/>
                <w:bCs/>
                <w:sz w:val="24"/>
                <w:szCs w:val="24"/>
              </w:rPr>
              <w:t>生产设施风险识别</w:t>
            </w:r>
          </w:p>
          <w:p w14:paraId="6740B16D">
            <w:pPr>
              <w:keepNext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生产设施风险识别范围：主要生产装置、贮运系统、公用工程系统、工程环保</w:t>
            </w:r>
            <w:r>
              <w:rPr>
                <w:rFonts w:hint="eastAsia"/>
                <w:sz w:val="24"/>
                <w:szCs w:val="24"/>
                <w:lang w:eastAsia="zh-CN"/>
              </w:rPr>
              <w:t>设施</w:t>
            </w:r>
            <w:r>
              <w:rPr>
                <w:rFonts w:ascii="Times New Roman" w:hAnsi="Times New Roman" w:eastAsia="宋体"/>
                <w:sz w:val="24"/>
                <w:szCs w:val="24"/>
              </w:rPr>
              <w:t>及辅助生产设施等。</w:t>
            </w:r>
          </w:p>
          <w:p w14:paraId="194F70AC">
            <w:pPr>
              <w:keepNext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sz w:val="24"/>
                <w:szCs w:val="24"/>
              </w:rPr>
            </w:pPr>
            <w:r>
              <w:rPr>
                <w:rFonts w:hint="eastAsia" w:ascii="Times New Roman" w:hAnsi="Times New Roman" w:eastAsia="宋体"/>
                <w:sz w:val="24"/>
                <w:szCs w:val="24"/>
              </w:rPr>
              <w:t xml:space="preserve">根据采矿行业的工艺特点及矿山开采的生产实践经验，本项目可能存在的事故主要有采场边坡滑坡、崩塌等地质灾害。以上这些事故，对环境的危害主要表现为造成人员伤亡和财产损失等。对每一事故项进行分析如下： </w:t>
            </w:r>
          </w:p>
          <w:p w14:paraId="304C5BAF">
            <w:pPr>
              <w:keepNext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sz w:val="24"/>
                <w:szCs w:val="24"/>
              </w:rPr>
            </w:pPr>
            <w:r>
              <w:rPr>
                <w:rFonts w:hint="eastAsia" w:ascii="Times New Roman" w:hAnsi="Times New Roman" w:eastAsia="宋体"/>
                <w:sz w:val="24"/>
                <w:szCs w:val="24"/>
              </w:rPr>
              <w:t xml:space="preserve">1）开采过程中将有可能出现滑坡、边坡岩体滑移和崩落等造成一定的事故风险，威胁人身安全。 </w:t>
            </w:r>
          </w:p>
          <w:p w14:paraId="4A41DC5A">
            <w:pPr>
              <w:keepNext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sz w:val="24"/>
                <w:szCs w:val="24"/>
              </w:rPr>
            </w:pPr>
            <w:r>
              <w:rPr>
                <w:rFonts w:hint="eastAsia" w:ascii="Times New Roman" w:hAnsi="Times New Roman" w:eastAsia="宋体"/>
                <w:sz w:val="24"/>
                <w:szCs w:val="24"/>
              </w:rPr>
              <w:t>2）矿山管理工作中，还受</w:t>
            </w:r>
            <w:r>
              <w:rPr>
                <w:rFonts w:hint="eastAsia"/>
                <w:sz w:val="24"/>
                <w:szCs w:val="24"/>
                <w:lang w:eastAsia="zh-CN"/>
              </w:rPr>
              <w:t>通信不畅</w:t>
            </w:r>
            <w:r>
              <w:rPr>
                <w:rFonts w:hint="eastAsia" w:ascii="Times New Roman" w:hAnsi="Times New Roman" w:eastAsia="宋体"/>
                <w:sz w:val="24"/>
                <w:szCs w:val="24"/>
              </w:rPr>
              <w:t>的影响，以及地震、雷雨、风雪等自然因素的影响。</w:t>
            </w:r>
          </w:p>
          <w:p w14:paraId="04C1527F">
            <w:pPr>
              <w:keepNext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sz w:val="24"/>
                <w:szCs w:val="24"/>
              </w:rPr>
            </w:pPr>
            <w:r>
              <w:rPr>
                <w:rFonts w:hint="eastAsia" w:ascii="Times New Roman" w:hAnsi="Times New Roman" w:eastAsia="宋体"/>
                <w:sz w:val="24"/>
                <w:szCs w:val="24"/>
              </w:rPr>
              <w:t xml:space="preserve">每个主要危险因素都有可能导致事故发生，或造成重大的社会影响，一旦发生事故，将会给国家、矿山和职工带来严重的损失。 </w:t>
            </w:r>
          </w:p>
          <w:p w14:paraId="57782F1B">
            <w:pPr>
              <w:keepNext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sz w:val="24"/>
                <w:szCs w:val="24"/>
              </w:rPr>
            </w:pPr>
            <w:r>
              <w:rPr>
                <w:rFonts w:hint="eastAsia" w:ascii="Times New Roman" w:hAnsi="Times New Roman" w:eastAsia="宋体"/>
                <w:sz w:val="24"/>
                <w:szCs w:val="24"/>
              </w:rPr>
              <w:fldChar w:fldCharType="begin"/>
            </w:r>
            <w:r>
              <w:rPr>
                <w:rFonts w:hint="eastAsia" w:ascii="Times New Roman" w:hAnsi="Times New Roman" w:eastAsia="宋体"/>
                <w:sz w:val="24"/>
                <w:szCs w:val="24"/>
              </w:rPr>
              <w:instrText xml:space="preserve"> = 3 \* GB3 \* MERGEFORMAT </w:instrText>
            </w:r>
            <w:r>
              <w:rPr>
                <w:rFonts w:hint="eastAsia" w:ascii="Times New Roman" w:hAnsi="Times New Roman" w:eastAsia="宋体"/>
                <w:sz w:val="24"/>
                <w:szCs w:val="24"/>
              </w:rPr>
              <w:fldChar w:fldCharType="separate"/>
            </w:r>
            <w:r>
              <w:rPr>
                <w:rFonts w:ascii="Times New Roman" w:hAnsi="Times New Roman" w:eastAsia="宋体"/>
                <w:sz w:val="24"/>
                <w:szCs w:val="24"/>
              </w:rPr>
              <w:t>③</w:t>
            </w:r>
            <w:r>
              <w:rPr>
                <w:rFonts w:hint="eastAsia" w:ascii="Times New Roman" w:hAnsi="Times New Roman" w:eastAsia="宋体"/>
                <w:sz w:val="24"/>
                <w:szCs w:val="24"/>
              </w:rPr>
              <w:fldChar w:fldCharType="end"/>
            </w:r>
            <w:r>
              <w:rPr>
                <w:rFonts w:hint="eastAsia" w:ascii="Times New Roman" w:hAnsi="Times New Roman" w:eastAsia="宋体"/>
                <w:sz w:val="24"/>
                <w:szCs w:val="24"/>
              </w:rPr>
              <w:t>风险识别结果</w:t>
            </w:r>
          </w:p>
          <w:p w14:paraId="7CBF2F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sz w:val="24"/>
                <w:szCs w:val="24"/>
              </w:rPr>
            </w:pPr>
            <w:r>
              <w:rPr>
                <w:rFonts w:hint="eastAsia" w:ascii="Times New Roman" w:hAnsi="Times New Roman" w:eastAsia="宋体"/>
                <w:sz w:val="24"/>
                <w:szCs w:val="24"/>
              </w:rPr>
              <w:t>结合项目实际情况，本项目主要风险源为</w:t>
            </w:r>
            <w:r>
              <w:rPr>
                <w:rFonts w:hint="eastAsia" w:ascii="Times New Roman" w:hAnsi="Times New Roman" w:eastAsia="宋体"/>
                <w:sz w:val="24"/>
                <w:szCs w:val="24"/>
                <w:lang w:val="en-US" w:eastAsia="zh-CN"/>
              </w:rPr>
              <w:t>废机油</w:t>
            </w:r>
            <w:r>
              <w:rPr>
                <w:rFonts w:hint="eastAsia"/>
                <w:sz w:val="24"/>
                <w:szCs w:val="24"/>
                <w:lang w:val="en-US" w:eastAsia="zh-CN"/>
              </w:rPr>
              <w:t>泄漏</w:t>
            </w:r>
            <w:r>
              <w:rPr>
                <w:rFonts w:hint="eastAsia" w:ascii="Times New Roman" w:hAnsi="Times New Roman" w:eastAsia="宋体"/>
                <w:sz w:val="24"/>
                <w:szCs w:val="24"/>
                <w:lang w:val="en-US" w:eastAsia="zh-CN"/>
              </w:rPr>
              <w:t>、</w:t>
            </w:r>
            <w:r>
              <w:rPr>
                <w:rFonts w:hint="eastAsia" w:ascii="Times New Roman" w:hAnsi="Times New Roman" w:eastAsia="宋体"/>
                <w:sz w:val="24"/>
                <w:szCs w:val="24"/>
              </w:rPr>
              <w:t>开采期开采方式不当、未按边开采边治理原则进行作业等，如遇暴雨天气引起的水土流失、滑坡以及泥石流等地质灾害。</w:t>
            </w:r>
          </w:p>
          <w:p w14:paraId="4FD9BBE0">
            <w:pPr>
              <w:pStyle w:val="6"/>
              <w:keepNext w:val="0"/>
              <w:keepLines/>
              <w:pageBreakBefore w:val="0"/>
              <w:widowControl w:val="0"/>
              <w:kinsoku/>
              <w:wordWrap/>
              <w:overflowPunct/>
              <w:topLinePunct w:val="0"/>
              <w:autoSpaceDE/>
              <w:autoSpaceDN/>
              <w:bidi w:val="0"/>
              <w:adjustRightInd/>
              <w:snapToGrid/>
              <w:spacing w:before="0" w:beforeLines="0" w:beforeAutospacing="0" w:afterAutospacing="0" w:line="360" w:lineRule="auto"/>
              <w:ind w:left="0" w:leftChars="0" w:firstLine="482"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环境风险影响分析</w:t>
            </w:r>
          </w:p>
          <w:p w14:paraId="7F37ED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1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①</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废机油泄漏环境风险分析</w:t>
            </w:r>
          </w:p>
          <w:p w14:paraId="64B7CA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废机油泄漏引发的火灾爆炸事故，废机油泄漏引起土壤及地下水的污染，对周围环境产生一定危害。</w:t>
            </w:r>
          </w:p>
          <w:p w14:paraId="4C15BD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2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②</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排土场环境风险分析</w:t>
            </w:r>
          </w:p>
          <w:p w14:paraId="223A7C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矿山在开采过程中堆放表土的排土场，如截水、排水不利、挡渣墙修筑不规范或暴雨冲刷堆场，可能会造成排土场坍塌滑坡。排土场发生滑坡一般为两种情况，即整体失稳和边坡失稳。</w:t>
            </w:r>
          </w:p>
          <w:p w14:paraId="40E32A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排土场整体失稳主要原因：排土场基底地形坡度太陡，剥离物的物理力学性质差，与基底之间的摩擦系数小；基底工程地质、水文地质差，基底承载力低；排水工程设施不完善；人类活动及自然灾害等影响。</w:t>
            </w:r>
          </w:p>
          <w:p w14:paraId="0FB12DC6">
            <w:pPr>
              <w:pStyle w:val="19"/>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eastAsia="宋体" w:cs="Times New Roman"/>
                <w:sz w:val="24"/>
                <w:szCs w:val="24"/>
              </w:rPr>
              <w:t>排土场边坡失稳的主要原因：排土场排放废弃物的阶段高度超过了稳定高度；场内连续排弃了物理力学性质不良的岩土层，从而形成了软弱面，导致边坡失稳；地表水截水不当，流入场内，岩土含水饱和，降低了岩土的物理力学性质；场内地表水集流冲刷边坡，河沟水流浸泡冲刷边坡角等，排土场边坡一旦失稳，也会形成泥石流。</w:t>
            </w:r>
          </w:p>
        </w:tc>
      </w:tr>
      <w:tr w14:paraId="0F77EC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0" w:hRule="atLeast"/>
          <w:jc w:val="center"/>
        </w:trPr>
        <w:tc>
          <w:tcPr>
            <w:tcW w:w="571" w:type="dxa"/>
            <w:noWrap w:val="0"/>
            <w:vAlign w:val="center"/>
          </w:tcPr>
          <w:p w14:paraId="027CFE4F">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cs="宋体"/>
                <w:bCs/>
                <w:kern w:val="2"/>
                <w:sz w:val="21"/>
                <w:szCs w:val="21"/>
              </w:rPr>
            </w:pPr>
            <w:r>
              <w:rPr>
                <w:rFonts w:hint="eastAsia" w:cs="宋体"/>
                <w:bCs/>
                <w:kern w:val="2"/>
                <w:sz w:val="21"/>
                <w:szCs w:val="21"/>
              </w:rPr>
              <w:t>选址选线环境合理性分析</w:t>
            </w:r>
          </w:p>
        </w:tc>
        <w:tc>
          <w:tcPr>
            <w:tcW w:w="8671" w:type="dxa"/>
            <w:noWrap w:val="0"/>
            <w:vAlign w:val="top"/>
          </w:tcPr>
          <w:p w14:paraId="1BD0415D">
            <w:pPr>
              <w:spacing w:line="360" w:lineRule="auto"/>
              <w:ind w:firstLine="480" w:firstLineChars="200"/>
              <w:rPr>
                <w:rFonts w:hint="default" w:ascii="Times New Roman" w:hAnsi="Times New Roman" w:eastAsia="宋体"/>
                <w:color w:val="auto"/>
                <w:sz w:val="24"/>
                <w:szCs w:val="24"/>
              </w:rPr>
            </w:pPr>
          </w:p>
          <w:p w14:paraId="35AA85E8">
            <w:pPr>
              <w:spacing w:line="360" w:lineRule="auto"/>
              <w:ind w:firstLine="480" w:firstLineChars="200"/>
              <w:rPr>
                <w:rFonts w:hint="default" w:ascii="Times New Roman" w:hAnsi="Times New Roman" w:eastAsia="宋体"/>
                <w:color w:val="auto"/>
                <w:sz w:val="24"/>
                <w:szCs w:val="24"/>
              </w:rPr>
            </w:pPr>
          </w:p>
          <w:p w14:paraId="7EC2DEFC">
            <w:pPr>
              <w:spacing w:line="360" w:lineRule="auto"/>
              <w:ind w:firstLine="480" w:firstLineChars="200"/>
              <w:rPr>
                <w:rFonts w:hint="default" w:ascii="Times New Roman" w:hAnsi="Times New Roman" w:eastAsia="宋体"/>
                <w:color w:val="auto"/>
                <w:sz w:val="24"/>
                <w:szCs w:val="24"/>
              </w:rPr>
            </w:pPr>
          </w:p>
          <w:p w14:paraId="2B09B2D3">
            <w:pPr>
              <w:spacing w:line="360" w:lineRule="auto"/>
              <w:ind w:firstLine="480" w:firstLineChars="200"/>
              <w:rPr>
                <w:rFonts w:hint="default" w:ascii="Times New Roman" w:hAnsi="Times New Roman" w:eastAsia="宋体"/>
                <w:color w:val="auto"/>
                <w:sz w:val="24"/>
                <w:szCs w:val="24"/>
              </w:rPr>
            </w:pPr>
          </w:p>
          <w:p w14:paraId="1E6AF842">
            <w:pPr>
              <w:spacing w:line="360" w:lineRule="auto"/>
              <w:ind w:firstLine="480" w:firstLineChars="200"/>
              <w:rPr>
                <w:rFonts w:hint="default" w:ascii="Times New Roman" w:hAnsi="Times New Roman" w:eastAsia="宋体"/>
                <w:color w:val="auto"/>
                <w:sz w:val="24"/>
                <w:szCs w:val="24"/>
              </w:rPr>
            </w:pPr>
          </w:p>
          <w:p w14:paraId="1489EF52">
            <w:pPr>
              <w:spacing w:line="360" w:lineRule="auto"/>
              <w:ind w:firstLine="480" w:firstLineChars="200"/>
              <w:rPr>
                <w:rFonts w:hint="default" w:ascii="Times New Roman" w:hAnsi="Times New Roman" w:eastAsia="宋体"/>
                <w:color w:val="auto"/>
                <w:sz w:val="24"/>
                <w:szCs w:val="24"/>
              </w:rPr>
            </w:pPr>
          </w:p>
          <w:p w14:paraId="0FF12FD7">
            <w:pPr>
              <w:spacing w:line="360" w:lineRule="auto"/>
              <w:ind w:firstLine="480" w:firstLineChars="200"/>
              <w:rPr>
                <w:rFonts w:hint="eastAsia" w:cs="Times New Roman"/>
                <w:b w:val="0"/>
                <w:bCs/>
                <w:color w:val="auto"/>
                <w:kern w:val="2"/>
                <w:sz w:val="24"/>
                <w:szCs w:val="24"/>
                <w:lang w:val="en-US" w:eastAsia="zh-CN" w:bidi="ar-SA"/>
              </w:rPr>
            </w:pPr>
            <w:r>
              <w:rPr>
                <w:rFonts w:hint="default" w:ascii="Times New Roman" w:hAnsi="Times New Roman" w:eastAsia="宋体"/>
                <w:color w:val="auto"/>
                <w:sz w:val="24"/>
                <w:szCs w:val="24"/>
              </w:rPr>
              <w:t>本项目</w:t>
            </w:r>
            <w:r>
              <w:rPr>
                <w:rFonts w:hint="default" w:ascii="Times New Roman" w:hAnsi="Times New Roman" w:eastAsia="宋体"/>
                <w:color w:val="auto"/>
                <w:sz w:val="24"/>
                <w:szCs w:val="24"/>
                <w:lang w:val="en-US" w:eastAsia="zh-CN"/>
              </w:rPr>
              <w:t>矿区</w:t>
            </w:r>
            <w:r>
              <w:rPr>
                <w:rFonts w:hint="default" w:ascii="Times New Roman" w:hAnsi="Times New Roman" w:eastAsia="宋体"/>
                <w:color w:val="auto"/>
                <w:sz w:val="24"/>
                <w:szCs w:val="24"/>
              </w:rPr>
              <w:t>位于</w:t>
            </w:r>
            <w:r>
              <w:rPr>
                <w:rFonts w:hint="eastAsia" w:ascii="Times New Roman" w:hAnsi="Times New Roman" w:eastAsia="宋体"/>
                <w:color w:val="auto"/>
                <w:sz w:val="24"/>
                <w:szCs w:val="24"/>
                <w:highlight w:val="none"/>
                <w:lang w:val="en-US" w:eastAsia="zh-CN"/>
              </w:rPr>
              <w:t>同德县河北乡</w:t>
            </w:r>
            <w:r>
              <w:rPr>
                <w:rFonts w:hint="default" w:ascii="Times New Roman" w:hAnsi="Times New Roman" w:eastAsia="宋体"/>
                <w:color w:val="auto"/>
                <w:sz w:val="24"/>
                <w:szCs w:val="24"/>
                <w:highlight w:val="none"/>
              </w:rPr>
              <w:t>，</w:t>
            </w:r>
            <w:r>
              <w:rPr>
                <w:rFonts w:hint="default" w:ascii="Times New Roman" w:hAnsi="Times New Roman" w:eastAsia="宋体"/>
                <w:color w:val="auto"/>
                <w:sz w:val="24"/>
                <w:szCs w:val="24"/>
                <w:lang w:val="en-US" w:eastAsia="zh-CN"/>
              </w:rPr>
              <w:t>根据现场调查，</w:t>
            </w:r>
            <w:r>
              <w:rPr>
                <w:rFonts w:hint="default" w:ascii="Times New Roman" w:hAnsi="Times New Roman" w:eastAsia="宋体"/>
                <w:color w:val="auto"/>
                <w:sz w:val="24"/>
                <w:szCs w:val="24"/>
              </w:rPr>
              <w:t>评价区内无自然保护区、风景名胜区、基本农田等敏感区</w:t>
            </w:r>
            <w:r>
              <w:rPr>
                <w:rFonts w:hint="default"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本矿区选址不在水源保护区、森林公园、风景名胜区、地质公园等生态红线范围内</w:t>
            </w:r>
            <w:r>
              <w:rPr>
                <w:rFonts w:hint="eastAsia"/>
                <w:color w:val="auto"/>
                <w:sz w:val="24"/>
                <w:szCs w:val="24"/>
                <w:lang w:val="en-US" w:eastAsia="zh-CN"/>
              </w:rPr>
              <w:t>。</w:t>
            </w:r>
          </w:p>
          <w:p w14:paraId="2D575555">
            <w:pPr>
              <w:spacing w:line="360" w:lineRule="auto"/>
              <w:ind w:firstLine="480" w:firstLineChars="200"/>
              <w:rPr>
                <w:rFonts w:hint="eastAsia" w:ascii="Times New Roman" w:hAnsi="Times New Roman" w:eastAsia="宋体"/>
                <w:b w:val="0"/>
                <w:bCs w:val="0"/>
                <w:color w:val="0000FF"/>
                <w:sz w:val="24"/>
                <w:szCs w:val="24"/>
                <w:lang w:val="en-US" w:eastAsia="zh-CN"/>
              </w:rPr>
            </w:pPr>
            <w:r>
              <w:rPr>
                <w:rFonts w:hint="eastAsia" w:cs="Times New Roman"/>
                <w:b w:val="0"/>
                <w:bCs/>
                <w:color w:val="0000FC"/>
                <w:kern w:val="2"/>
                <w:sz w:val="24"/>
                <w:szCs w:val="24"/>
                <w:lang w:val="en-US" w:eastAsia="zh-CN" w:bidi="ar-SA"/>
              </w:rPr>
              <w:t>根据现场调查，</w:t>
            </w:r>
            <w:r>
              <w:rPr>
                <w:rFonts w:hint="default" w:ascii="Times New Roman" w:hAnsi="Times New Roman" w:eastAsia="宋体"/>
                <w:b w:val="0"/>
                <w:bCs w:val="0"/>
                <w:color w:val="0000FC"/>
                <w:sz w:val="24"/>
                <w:szCs w:val="24"/>
                <w:lang w:val="en-US" w:eastAsia="zh-CN"/>
              </w:rPr>
              <w:t>矿</w:t>
            </w:r>
            <w:r>
              <w:rPr>
                <w:rFonts w:hint="default" w:ascii="Times New Roman" w:hAnsi="Times New Roman" w:eastAsia="宋体"/>
                <w:b w:val="0"/>
                <w:bCs w:val="0"/>
                <w:color w:val="0000FF"/>
                <w:sz w:val="24"/>
                <w:szCs w:val="24"/>
                <w:lang w:val="en-US" w:eastAsia="zh-CN"/>
              </w:rPr>
              <w:t>区周边人烟稀少，工农业极不发达，矿山周边5km范围内无</w:t>
            </w:r>
            <w:r>
              <w:rPr>
                <w:rFonts w:hint="eastAsia"/>
                <w:b w:val="0"/>
                <w:bCs w:val="0"/>
                <w:color w:val="0000FF"/>
                <w:sz w:val="24"/>
                <w:szCs w:val="24"/>
                <w:lang w:val="en-US" w:eastAsia="zh-CN"/>
              </w:rPr>
              <w:t>常住居民</w:t>
            </w:r>
            <w:r>
              <w:rPr>
                <w:rFonts w:hint="default" w:ascii="Times New Roman" w:hAnsi="Times New Roman" w:eastAsia="宋体"/>
                <w:b w:val="0"/>
                <w:bCs w:val="0"/>
                <w:color w:val="0000FF"/>
                <w:sz w:val="24"/>
                <w:szCs w:val="24"/>
                <w:lang w:val="en-US" w:eastAsia="zh-CN"/>
              </w:rPr>
              <w:t>，仅在矿区南侧、西南侧分布有</w:t>
            </w:r>
            <w:r>
              <w:rPr>
                <w:rFonts w:hint="eastAsia"/>
                <w:b w:val="0"/>
                <w:bCs w:val="0"/>
                <w:color w:val="0000FF"/>
                <w:sz w:val="24"/>
                <w:szCs w:val="24"/>
                <w:lang w:val="en-US" w:eastAsia="zh-CN"/>
              </w:rPr>
              <w:t>几户</w:t>
            </w:r>
            <w:r>
              <w:rPr>
                <w:rFonts w:hint="default" w:ascii="Times New Roman" w:hAnsi="Times New Roman" w:eastAsia="宋体"/>
                <w:b w:val="0"/>
                <w:bCs w:val="0"/>
                <w:color w:val="0000FF"/>
                <w:sz w:val="24"/>
                <w:szCs w:val="24"/>
                <w:lang w:val="en-US" w:eastAsia="zh-CN"/>
              </w:rPr>
              <w:t>牧民修建砖瓦房，放牧期内有牧民居住，最近的牧民距离厂界约1000m，厂界西南侧约300m处有一养殖场</w:t>
            </w:r>
            <w:r>
              <w:rPr>
                <w:rFonts w:hint="eastAsia" w:ascii="Times New Roman" w:hAnsi="Times New Roman" w:eastAsia="宋体"/>
                <w:b w:val="0"/>
                <w:bCs w:val="0"/>
                <w:color w:val="0000FF"/>
                <w:sz w:val="24"/>
                <w:szCs w:val="24"/>
                <w:lang w:val="en-US" w:eastAsia="zh-CN"/>
              </w:rPr>
              <w:t>。</w:t>
            </w:r>
          </w:p>
          <w:p w14:paraId="44E4AB76">
            <w:pPr>
              <w:spacing w:line="360" w:lineRule="auto"/>
              <w:ind w:firstLine="480" w:firstLineChars="200"/>
              <w:rPr>
                <w:rFonts w:hint="eastAsia" w:ascii="Times New Roman" w:hAnsi="Times New Roman" w:eastAsia="宋体"/>
                <w:b w:val="0"/>
                <w:bCs w:val="0"/>
                <w:color w:val="0000FF"/>
                <w:sz w:val="24"/>
                <w:szCs w:val="24"/>
                <w:lang w:val="en-US" w:eastAsia="zh-CN"/>
              </w:rPr>
            </w:pPr>
            <w:r>
              <w:rPr>
                <w:rFonts w:hint="eastAsia" w:ascii="Times New Roman" w:hAnsi="Times New Roman" w:eastAsia="宋体" w:cs="Times New Roman"/>
                <w:b w:val="0"/>
                <w:bCs/>
                <w:color w:val="auto"/>
                <w:kern w:val="2"/>
                <w:sz w:val="24"/>
                <w:szCs w:val="24"/>
                <w:lang w:val="en-US" w:eastAsia="zh-CN" w:bidi="ar-SA"/>
              </w:rPr>
              <w:t>根据《矿山生态环境保护与污染防治技术政策》中，禁止在铁路、国道、省道两侧的直观可视范围内进行露天开采</w:t>
            </w:r>
            <w:r>
              <w:rPr>
                <w:rFonts w:hint="eastAsia" w:cs="Times New Roman"/>
                <w:b w:val="0"/>
                <w:bCs/>
                <w:color w:val="auto"/>
                <w:kern w:val="2"/>
                <w:sz w:val="24"/>
                <w:szCs w:val="24"/>
                <w:lang w:val="en-US" w:eastAsia="zh-CN" w:bidi="ar-SA"/>
              </w:rPr>
              <w:t>。</w:t>
            </w:r>
            <w:r>
              <w:rPr>
                <w:rFonts w:hint="default" w:ascii="Times New Roman" w:hAnsi="Times New Roman" w:eastAsia="宋体"/>
                <w:b w:val="0"/>
                <w:bCs w:val="0"/>
                <w:color w:val="0000FF"/>
                <w:sz w:val="24"/>
                <w:szCs w:val="24"/>
                <w:lang w:val="en-US" w:eastAsia="zh-CN"/>
              </w:rPr>
              <w:t>矿区西侧临近G227（西久公路101省道）直线距离约1.3km，矿区与G227之间有乡村道路相通；经调查，本项目与G1816高速公路最近直线距离约</w:t>
            </w:r>
            <w:r>
              <w:rPr>
                <w:rFonts w:hint="eastAsia" w:ascii="Times New Roman" w:hAnsi="Times New Roman" w:eastAsia="宋体"/>
                <w:b w:val="0"/>
                <w:bCs w:val="0"/>
                <w:color w:val="0000FF"/>
                <w:sz w:val="24"/>
                <w:szCs w:val="24"/>
                <w:lang w:val="en-US" w:eastAsia="zh-CN"/>
              </w:rPr>
              <w:t>700</w:t>
            </w:r>
            <w:r>
              <w:rPr>
                <w:rFonts w:hint="default" w:ascii="Times New Roman" w:hAnsi="Times New Roman" w:eastAsia="宋体"/>
                <w:b w:val="0"/>
                <w:bCs w:val="0"/>
                <w:color w:val="0000FF"/>
                <w:sz w:val="24"/>
                <w:szCs w:val="24"/>
                <w:lang w:val="en-US" w:eastAsia="zh-CN"/>
              </w:rPr>
              <w:t>0m，且数座山体相隔</w:t>
            </w:r>
            <w:r>
              <w:rPr>
                <w:rFonts w:hint="eastAsia" w:ascii="Times New Roman" w:hAnsi="Times New Roman" w:eastAsia="宋体"/>
                <w:b w:val="0"/>
                <w:bCs w:val="0"/>
                <w:color w:val="0000FF"/>
                <w:sz w:val="24"/>
                <w:szCs w:val="24"/>
                <w:lang w:val="en-US" w:eastAsia="zh-CN"/>
              </w:rPr>
              <w:t>，均不在其可视范围</w:t>
            </w:r>
            <w:r>
              <w:rPr>
                <w:rFonts w:hint="eastAsia" w:ascii="Times New Roman" w:hAnsi="Times New Roman" w:eastAsia="宋体"/>
                <w:b w:val="0"/>
                <w:bCs w:val="0"/>
                <w:color w:val="0000FC"/>
                <w:sz w:val="24"/>
                <w:szCs w:val="24"/>
                <w:lang w:val="en-US" w:eastAsia="zh-CN"/>
              </w:rPr>
              <w:t>之</w:t>
            </w:r>
            <w:r>
              <w:rPr>
                <w:rFonts w:hint="eastAsia" w:ascii="Times New Roman" w:hAnsi="Times New Roman" w:eastAsia="宋体"/>
                <w:b w:val="0"/>
                <w:bCs w:val="0"/>
                <w:color w:val="0000FF"/>
                <w:sz w:val="24"/>
                <w:szCs w:val="24"/>
                <w:lang w:val="en-US" w:eastAsia="zh-CN"/>
              </w:rPr>
              <w:t>内</w:t>
            </w:r>
            <w:r>
              <w:rPr>
                <w:rFonts w:hint="default" w:ascii="Times New Roman" w:hAnsi="Times New Roman" w:eastAsia="宋体"/>
                <w:b w:val="0"/>
                <w:bCs w:val="0"/>
                <w:color w:val="0000FF"/>
                <w:sz w:val="24"/>
                <w:szCs w:val="24"/>
                <w:lang w:val="en-US" w:eastAsia="zh-CN"/>
              </w:rPr>
              <w:t>。</w:t>
            </w:r>
          </w:p>
          <w:p w14:paraId="75728A7A">
            <w:pPr>
              <w:spacing w:line="360" w:lineRule="auto"/>
              <w:ind w:firstLine="480" w:firstLineChars="200"/>
              <w:rPr>
                <w:rFonts w:hint="default" w:ascii="Times New Roman" w:hAnsi="Times New Roman" w:eastAsia="宋体"/>
                <w:b w:val="0"/>
                <w:bCs w:val="0"/>
                <w:color w:val="0000FF"/>
                <w:sz w:val="24"/>
                <w:szCs w:val="24"/>
                <w:lang w:val="en-US" w:eastAsia="zh-CN"/>
              </w:rPr>
            </w:pPr>
            <w:r>
              <w:rPr>
                <w:rFonts w:hint="eastAsia"/>
                <w:b w:val="0"/>
                <w:bCs w:val="0"/>
                <w:color w:val="0000FF"/>
                <w:sz w:val="24"/>
                <w:szCs w:val="24"/>
                <w:lang w:val="en-US" w:eastAsia="zh-CN"/>
              </w:rPr>
              <w:t>矿区南侧距离赛欠曲约800m，西侧和东南侧有季节性沟谷，项目区周边修筑截排水沟，将雨水引至已有的季节性沟谷，经沟谷流至下游河流，可有效防止矿区水土流失等影响。</w:t>
            </w:r>
            <w:r>
              <w:rPr>
                <w:rFonts w:hint="eastAsia" w:ascii="Times New Roman" w:hAnsi="Times New Roman" w:cs="Times New Roman"/>
                <w:color w:val="0000FC"/>
                <w:sz w:val="24"/>
                <w:szCs w:val="24"/>
                <w:highlight w:val="none"/>
                <w:lang w:val="en-US" w:eastAsia="zh-CN"/>
              </w:rPr>
              <w:t>在</w:t>
            </w:r>
            <w:r>
              <w:rPr>
                <w:rFonts w:hint="eastAsia" w:cs="Times New Roman"/>
                <w:color w:val="0000FC"/>
                <w:sz w:val="24"/>
                <w:szCs w:val="24"/>
                <w:highlight w:val="none"/>
                <w:lang w:val="en-US" w:eastAsia="zh-CN"/>
              </w:rPr>
              <w:t>厂界距离</w:t>
            </w:r>
            <w:r>
              <w:rPr>
                <w:rFonts w:hint="eastAsia" w:ascii="Times New Roman" w:hAnsi="Times New Roman" w:cs="Times New Roman"/>
                <w:color w:val="0000FC"/>
                <w:sz w:val="24"/>
                <w:szCs w:val="24"/>
                <w:highlight w:val="none"/>
                <w:lang w:val="en-US" w:eastAsia="zh-CN"/>
              </w:rPr>
              <w:t>季节性沟谷</w:t>
            </w:r>
            <w:r>
              <w:rPr>
                <w:rFonts w:hint="eastAsia" w:cs="Times New Roman"/>
                <w:color w:val="0000FC"/>
                <w:sz w:val="24"/>
                <w:szCs w:val="24"/>
                <w:highlight w:val="none"/>
                <w:lang w:val="en-US" w:eastAsia="zh-CN"/>
              </w:rPr>
              <w:t>约5m处</w:t>
            </w:r>
            <w:r>
              <w:rPr>
                <w:rFonts w:hint="eastAsia" w:ascii="Times New Roman" w:hAnsi="Times New Roman" w:cs="Times New Roman"/>
                <w:color w:val="0000FC"/>
                <w:sz w:val="24"/>
                <w:szCs w:val="24"/>
                <w:highlight w:val="none"/>
                <w:lang w:val="en-US" w:eastAsia="zh-CN"/>
              </w:rPr>
              <w:t>设置</w:t>
            </w:r>
            <w:r>
              <w:rPr>
                <w:rFonts w:hint="eastAsia" w:cs="Times New Roman"/>
                <w:color w:val="0000FC"/>
                <w:sz w:val="24"/>
                <w:szCs w:val="24"/>
                <w:highlight w:val="none"/>
                <w:lang w:val="en-US" w:eastAsia="zh-CN"/>
              </w:rPr>
              <w:t>围挡</w:t>
            </w:r>
            <w:r>
              <w:rPr>
                <w:rFonts w:hint="eastAsia" w:ascii="Times New Roman" w:hAnsi="Times New Roman" w:cs="Times New Roman"/>
                <w:color w:val="0000FC"/>
                <w:sz w:val="24"/>
                <w:szCs w:val="24"/>
                <w:highlight w:val="none"/>
                <w:lang w:val="en-US" w:eastAsia="zh-CN"/>
              </w:rPr>
              <w:t>，防止职工人员踏入，</w:t>
            </w:r>
            <w:r>
              <w:rPr>
                <w:rFonts w:hint="eastAsia" w:cs="Times New Roman"/>
                <w:color w:val="0000FC"/>
                <w:sz w:val="24"/>
                <w:szCs w:val="24"/>
                <w:highlight w:val="none"/>
                <w:lang w:val="en-US" w:eastAsia="zh-CN"/>
              </w:rPr>
              <w:t>严禁固体废弃物</w:t>
            </w:r>
            <w:r>
              <w:rPr>
                <w:rFonts w:hint="eastAsia" w:ascii="Times New Roman" w:hAnsi="Times New Roman" w:cs="Times New Roman"/>
                <w:color w:val="0000FC"/>
                <w:sz w:val="24"/>
                <w:szCs w:val="24"/>
                <w:highlight w:val="none"/>
                <w:lang w:val="en-US" w:eastAsia="zh-CN"/>
              </w:rPr>
              <w:t>和生活废水</w:t>
            </w:r>
            <w:r>
              <w:rPr>
                <w:rFonts w:hint="eastAsia" w:cs="Times New Roman"/>
                <w:color w:val="0000FC"/>
                <w:sz w:val="24"/>
                <w:szCs w:val="24"/>
                <w:highlight w:val="none"/>
                <w:lang w:val="en-US" w:eastAsia="zh-CN"/>
              </w:rPr>
              <w:t>等排放至沟谷</w:t>
            </w:r>
            <w:r>
              <w:rPr>
                <w:rFonts w:hint="eastAsia" w:ascii="Times New Roman" w:hAnsi="Times New Roman" w:cs="Times New Roman"/>
                <w:color w:val="0000FC"/>
                <w:sz w:val="24"/>
                <w:szCs w:val="24"/>
                <w:highlight w:val="none"/>
                <w:lang w:val="en-US" w:eastAsia="zh-CN"/>
              </w:rPr>
              <w:t>。</w:t>
            </w:r>
          </w:p>
          <w:p w14:paraId="718AD036">
            <w:pPr>
              <w:spacing w:line="360" w:lineRule="auto"/>
              <w:ind w:firstLine="480" w:firstLineChars="200"/>
              <w:rPr>
                <w:rFonts w:hint="eastAsia" w:ascii="Times New Roman" w:hAnsi="Times New Roman" w:eastAsia="宋体"/>
                <w:color w:val="0000FC"/>
                <w:sz w:val="24"/>
                <w:szCs w:val="24"/>
                <w:lang w:val="en-US" w:eastAsia="zh-CN"/>
              </w:rPr>
            </w:pPr>
            <w:r>
              <w:rPr>
                <w:rFonts w:hint="eastAsia"/>
                <w:color w:val="auto"/>
                <w:sz w:val="24"/>
                <w:szCs w:val="24"/>
                <w:lang w:val="en-US" w:eastAsia="zh-CN"/>
              </w:rPr>
              <w:t>综上所述，</w:t>
            </w:r>
            <w:r>
              <w:rPr>
                <w:rFonts w:hint="eastAsia" w:ascii="Times New Roman" w:hAnsi="Times New Roman" w:eastAsia="宋体"/>
                <w:color w:val="0000FC"/>
                <w:sz w:val="24"/>
                <w:szCs w:val="24"/>
                <w:lang w:val="en-US" w:eastAsia="zh-CN"/>
              </w:rPr>
              <w:t>本项目</w:t>
            </w:r>
            <w:r>
              <w:rPr>
                <w:rFonts w:hint="eastAsia"/>
                <w:color w:val="0000FC"/>
                <w:sz w:val="24"/>
                <w:szCs w:val="24"/>
                <w:lang w:val="en-US" w:eastAsia="zh-CN"/>
              </w:rPr>
              <w:t>周边最近牧民距离约1000m以上，项目不在敏感区及生态红线范围之内，也不在国道、省道、县级道路等的可视范围内，不会对周围环境造成较大影响，</w:t>
            </w:r>
            <w:r>
              <w:rPr>
                <w:rFonts w:hint="eastAsia" w:ascii="Times New Roman" w:hAnsi="Times New Roman" w:eastAsia="宋体"/>
                <w:color w:val="0000FC"/>
                <w:sz w:val="24"/>
                <w:szCs w:val="24"/>
                <w:lang w:val="en-US" w:eastAsia="zh-CN"/>
              </w:rPr>
              <w:t>符合</w:t>
            </w:r>
            <w:r>
              <w:rPr>
                <w:rFonts w:hint="eastAsia"/>
                <w:color w:val="0000FC"/>
                <w:sz w:val="24"/>
                <w:szCs w:val="24"/>
                <w:lang w:val="en-US" w:eastAsia="zh-CN"/>
              </w:rPr>
              <w:t>选址</w:t>
            </w:r>
            <w:r>
              <w:rPr>
                <w:rFonts w:hint="eastAsia" w:ascii="Times New Roman" w:hAnsi="Times New Roman" w:eastAsia="宋体"/>
                <w:color w:val="0000FC"/>
                <w:sz w:val="24"/>
                <w:szCs w:val="24"/>
                <w:lang w:val="en-US" w:eastAsia="zh-CN"/>
              </w:rPr>
              <w:t>要求。</w:t>
            </w:r>
          </w:p>
          <w:p w14:paraId="10831FCB">
            <w:pPr>
              <w:spacing w:line="360" w:lineRule="auto"/>
              <w:ind w:firstLine="480" w:firstLineChars="200"/>
              <w:rPr>
                <w:rFonts w:hint="eastAsia" w:ascii="Times New Roman" w:hAnsi="Times New Roman" w:eastAsia="宋体"/>
                <w:color w:val="auto"/>
                <w:sz w:val="24"/>
                <w:szCs w:val="24"/>
                <w:lang w:val="en-US" w:eastAsia="zh-CN"/>
              </w:rPr>
            </w:pPr>
          </w:p>
          <w:p w14:paraId="642D7F8D">
            <w:pPr>
              <w:spacing w:line="360" w:lineRule="auto"/>
              <w:ind w:firstLine="480" w:firstLineChars="200"/>
              <w:rPr>
                <w:rFonts w:hint="default" w:ascii="Times New Roman" w:hAnsi="Times New Roman" w:eastAsia="宋体"/>
                <w:color w:val="auto"/>
                <w:sz w:val="24"/>
                <w:szCs w:val="24"/>
                <w:lang w:val="en-US" w:eastAsia="zh-CN"/>
              </w:rPr>
            </w:pPr>
          </w:p>
          <w:p w14:paraId="7A828440">
            <w:pPr>
              <w:spacing w:line="360" w:lineRule="auto"/>
              <w:ind w:firstLine="480" w:firstLineChars="200"/>
              <w:rPr>
                <w:rFonts w:hint="default" w:ascii="Times New Roman" w:hAnsi="Times New Roman" w:eastAsia="宋体"/>
                <w:color w:val="auto"/>
                <w:sz w:val="24"/>
                <w:szCs w:val="24"/>
                <w:lang w:val="en-US" w:eastAsia="zh-CN"/>
              </w:rPr>
            </w:pPr>
          </w:p>
          <w:p w14:paraId="13234837">
            <w:pPr>
              <w:spacing w:line="360" w:lineRule="auto"/>
              <w:ind w:firstLine="480" w:firstLineChars="200"/>
              <w:rPr>
                <w:rFonts w:hint="default" w:ascii="Times New Roman" w:hAnsi="Times New Roman" w:eastAsia="宋体"/>
                <w:color w:val="auto"/>
                <w:sz w:val="24"/>
                <w:szCs w:val="24"/>
                <w:lang w:val="en-US" w:eastAsia="zh-CN"/>
              </w:rPr>
            </w:pPr>
          </w:p>
          <w:p w14:paraId="5E659A3A">
            <w:pPr>
              <w:spacing w:line="360" w:lineRule="auto"/>
              <w:ind w:firstLine="480" w:firstLineChars="200"/>
              <w:rPr>
                <w:rFonts w:hint="default" w:ascii="Times New Roman" w:hAnsi="Times New Roman" w:eastAsia="宋体"/>
                <w:color w:val="auto"/>
                <w:sz w:val="24"/>
                <w:szCs w:val="24"/>
                <w:lang w:val="en-US" w:eastAsia="zh-CN"/>
              </w:rPr>
            </w:pPr>
          </w:p>
          <w:p w14:paraId="33C2D26E">
            <w:pPr>
              <w:spacing w:line="360" w:lineRule="auto"/>
              <w:ind w:firstLine="480" w:firstLineChars="200"/>
              <w:rPr>
                <w:rFonts w:hint="default" w:ascii="Times New Roman" w:hAnsi="Times New Roman" w:eastAsia="宋体"/>
                <w:color w:val="auto"/>
                <w:sz w:val="24"/>
                <w:szCs w:val="24"/>
                <w:lang w:val="en-US" w:eastAsia="zh-CN"/>
              </w:rPr>
            </w:pPr>
          </w:p>
        </w:tc>
      </w:tr>
    </w:tbl>
    <w:p w14:paraId="2AF15DD1">
      <w:pPr>
        <w:pStyle w:val="20"/>
        <w:jc w:val="center"/>
        <w:rPr>
          <w:rFonts w:ascii="黑体" w:hAnsi="黑体" w:eastAsia="黑体"/>
          <w:snapToGrid w:val="0"/>
          <w:sz w:val="36"/>
          <w:szCs w:val="36"/>
        </w:rPr>
        <w:sectPr>
          <w:pgSz w:w="11906" w:h="16838"/>
          <w:pgMar w:top="1440" w:right="1440" w:bottom="1440" w:left="1701" w:header="851" w:footer="1077" w:gutter="0"/>
          <w:pgBorders>
            <w:top w:val="none" w:sz="0" w:space="0"/>
            <w:left w:val="none" w:sz="0" w:space="0"/>
            <w:bottom w:val="none" w:sz="0" w:space="0"/>
            <w:right w:val="none" w:sz="0" w:space="0"/>
          </w:pgBorders>
          <w:pgNumType w:fmt="decimal"/>
          <w:cols w:space="720" w:num="1"/>
          <w:docGrid w:linePitch="312" w:charSpace="0"/>
        </w:sectPr>
      </w:pPr>
    </w:p>
    <w:p w14:paraId="154947A5">
      <w:pPr>
        <w:pStyle w:val="20"/>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14:paraId="251B1238">
      <w:pPr>
        <w:pStyle w:val="2"/>
        <w:keepNext/>
        <w:keepLines w:val="0"/>
        <w:pageBreakBefore w:val="0"/>
        <w:widowControl w:val="0"/>
        <w:kinsoku/>
        <w:wordWrap/>
        <w:overflowPunct w:val="0"/>
        <w:topLinePunct w:val="0"/>
        <w:autoSpaceDE/>
        <w:autoSpaceDN/>
        <w:bidi w:val="0"/>
        <w:adjustRightInd/>
        <w:snapToGrid w:val="0"/>
        <w:spacing w:line="260" w:lineRule="auto"/>
        <w:ind w:left="431" w:firstLine="0" w:firstLineChars="0"/>
        <w:textAlignment w:val="auto"/>
        <w:rPr>
          <w:rFonts w:hint="eastAsia" w:ascii="Times New Roman" w:hAnsi="Times New Roman" w:cs="Times New Roman"/>
          <w:b/>
          <w:bCs/>
        </w:rPr>
      </w:pPr>
      <w:r>
        <w:rPr>
          <w:rFonts w:hint="eastAsia" w:ascii="Times New Roman" w:hAnsi="Times New Roman" w:cs="Times New Roman"/>
          <w:b/>
          <w:bCs/>
        </w:rPr>
        <w:t>五、主要生态环境保护措施</w:t>
      </w:r>
    </w:p>
    <w:tbl>
      <w:tblPr>
        <w:tblStyle w:val="23"/>
        <w:tblW w:w="88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9"/>
        <w:gridCol w:w="8308"/>
      </w:tblGrid>
      <w:tr w14:paraId="0B173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9" w:type="dxa"/>
            <w:noWrap w:val="0"/>
            <w:tcMar>
              <w:left w:w="28" w:type="dxa"/>
              <w:right w:w="28" w:type="dxa"/>
            </w:tcMar>
            <w:vAlign w:val="center"/>
          </w:tcPr>
          <w:p w14:paraId="402514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Cs/>
                <w:szCs w:val="21"/>
              </w:rPr>
            </w:pPr>
            <w:r>
              <w:rPr>
                <w:rFonts w:hint="eastAsia" w:ascii="宋体" w:hAnsi="宋体" w:eastAsia="宋体" w:cs="宋体"/>
                <w:bCs/>
                <w:spacing w:val="10"/>
                <w:szCs w:val="21"/>
              </w:rPr>
              <w:t>施工期生态环境保护措施</w:t>
            </w:r>
          </w:p>
        </w:tc>
        <w:tc>
          <w:tcPr>
            <w:tcW w:w="8308" w:type="dxa"/>
            <w:noWrap w:val="0"/>
            <w:vAlign w:val="top"/>
          </w:tcPr>
          <w:p w14:paraId="2DC15439">
            <w:pPr>
              <w:adjustRightInd w:val="0"/>
              <w:snapToGrid w:val="0"/>
              <w:spacing w:line="360" w:lineRule="auto"/>
              <w:ind w:firstLine="482" w:firstLineChars="200"/>
              <w:jc w:val="left"/>
              <w:rPr>
                <w:rFonts w:hint="default" w:eastAsia="宋体"/>
                <w:b/>
                <w:bCs/>
                <w:color w:val="000000"/>
                <w:sz w:val="24"/>
                <w:lang w:val="en-US" w:eastAsia="zh-CN"/>
              </w:rPr>
            </w:pPr>
            <w:r>
              <w:rPr>
                <w:rFonts w:hint="eastAsia"/>
                <w:b/>
                <w:bCs/>
                <w:color w:val="000000"/>
                <w:sz w:val="24"/>
                <w:lang w:val="en-US" w:eastAsia="zh-CN"/>
              </w:rPr>
              <w:t>1</w:t>
            </w:r>
            <w:r>
              <w:rPr>
                <w:b/>
                <w:bCs/>
                <w:color w:val="000000"/>
                <w:sz w:val="24"/>
              </w:rPr>
              <w:t>、施工期</w:t>
            </w:r>
            <w:r>
              <w:rPr>
                <w:rFonts w:hint="eastAsia"/>
                <w:b/>
                <w:bCs/>
                <w:color w:val="000000"/>
                <w:sz w:val="24"/>
                <w:lang w:val="en-US" w:eastAsia="zh-CN"/>
              </w:rPr>
              <w:t>废气防治保护措施</w:t>
            </w:r>
          </w:p>
          <w:p w14:paraId="0E36C4BE">
            <w:pPr>
              <w:pStyle w:val="10"/>
              <w:spacing w:after="0" w:line="360" w:lineRule="auto"/>
              <w:ind w:left="0" w:leftChars="0" w:firstLine="480" w:firstLineChars="200"/>
              <w:jc w:val="left"/>
              <w:rPr>
                <w:rFonts w:hint="eastAsia" w:ascii="Times New Roman" w:hAnsi="Times New Roman"/>
                <w:color w:val="000000"/>
                <w:szCs w:val="24"/>
                <w:lang w:eastAsia="zh-CN"/>
              </w:rPr>
            </w:pPr>
            <w:r>
              <w:rPr>
                <w:color w:val="FF0000"/>
                <w:sz w:val="24"/>
              </w:rPr>
              <w:t>本项目施工期废气有施工扬尘及施工机械、车辆</w:t>
            </w:r>
            <w:r>
              <w:rPr>
                <w:rFonts w:hint="eastAsia"/>
                <w:color w:val="FF0000"/>
                <w:sz w:val="24"/>
                <w:lang w:val="en-US" w:eastAsia="zh-CN"/>
              </w:rPr>
              <w:t>尾气</w:t>
            </w:r>
            <w:r>
              <w:rPr>
                <w:rFonts w:hint="eastAsia"/>
                <w:color w:val="FF0000"/>
                <w:sz w:val="24"/>
                <w:lang w:eastAsia="zh-CN"/>
              </w:rPr>
              <w:t>。</w:t>
            </w:r>
            <w:r>
              <w:rPr>
                <w:rFonts w:ascii="Times New Roman" w:hAnsi="Times New Roman"/>
                <w:color w:val="FF0000"/>
                <w:szCs w:val="24"/>
                <w:lang w:eastAsia="zh-CN"/>
              </w:rPr>
              <w:t>根据《青海省大气污染防治条例》以及相关要求，</w:t>
            </w:r>
            <w:r>
              <w:rPr>
                <w:rFonts w:hint="eastAsia" w:ascii="Times New Roman" w:hAnsi="Times New Roman"/>
                <w:color w:val="FF0000"/>
                <w:szCs w:val="24"/>
                <w:lang w:eastAsia="zh-CN"/>
              </w:rPr>
              <w:t>要求企业施工期严格落实渣土物料100%覆盖、物料100%密闭运输、出入车辆100%清洗。</w:t>
            </w:r>
          </w:p>
          <w:p w14:paraId="45ACD23A">
            <w:pPr>
              <w:pStyle w:val="10"/>
              <w:spacing w:after="0" w:line="360" w:lineRule="auto"/>
              <w:ind w:left="0" w:leftChars="0" w:firstLine="480" w:firstLineChars="200"/>
              <w:jc w:val="left"/>
              <w:rPr>
                <w:rFonts w:ascii="Times New Roman" w:hAnsi="Times New Roman"/>
                <w:color w:val="000000"/>
                <w:szCs w:val="24"/>
                <w:lang w:eastAsia="zh-CN"/>
              </w:rPr>
            </w:pPr>
            <w:r>
              <w:rPr>
                <w:rFonts w:ascii="Times New Roman" w:hAnsi="Times New Roman"/>
                <w:color w:val="000000"/>
                <w:szCs w:val="24"/>
                <w:lang w:eastAsia="zh-CN"/>
              </w:rPr>
              <w:t>结合项目实际施工过程产生的环境空气污染及工程特性，报告提出以下防治措施以降低工程施工过程中对周围环境空气的影响。</w:t>
            </w:r>
          </w:p>
          <w:p w14:paraId="38D463E5">
            <w:pPr>
              <w:pStyle w:val="63"/>
              <w:spacing w:line="360" w:lineRule="auto"/>
              <w:ind w:firstLine="480"/>
              <w:jc w:val="both"/>
              <w:rPr>
                <w:rFonts w:ascii="Times New Roman" w:hAnsi="Times New Roman"/>
                <w:color w:val="000000"/>
                <w:szCs w:val="24"/>
                <w:lang w:eastAsia="zh-CN"/>
              </w:rPr>
            </w:pPr>
            <w:r>
              <w:rPr>
                <w:rFonts w:ascii="Times New Roman" w:hAnsi="Times New Roman"/>
                <w:color w:val="000000"/>
                <w:szCs w:val="24"/>
                <w:lang w:eastAsia="zh-CN"/>
              </w:rPr>
              <w:t>（1）对施工开挖场地采取湿法作业，提高施工开挖场地洒水频率。</w:t>
            </w:r>
          </w:p>
          <w:p w14:paraId="1C9BBE11">
            <w:pPr>
              <w:pStyle w:val="63"/>
              <w:spacing w:line="360" w:lineRule="auto"/>
              <w:ind w:firstLine="480"/>
              <w:jc w:val="both"/>
              <w:rPr>
                <w:rFonts w:ascii="Times New Roman" w:hAnsi="Times New Roman"/>
                <w:color w:val="000000"/>
                <w:szCs w:val="24"/>
                <w:lang w:eastAsia="zh-CN"/>
              </w:rPr>
            </w:pPr>
            <w:r>
              <w:rPr>
                <w:rFonts w:ascii="Times New Roman" w:hAnsi="Times New Roman"/>
                <w:color w:val="000000"/>
                <w:szCs w:val="24"/>
                <w:lang w:eastAsia="zh-CN"/>
              </w:rPr>
              <w:t>（2）对护岸开挖沿线堆放的临时弃土采用密目网进行遮盖。</w:t>
            </w:r>
          </w:p>
          <w:p w14:paraId="0F724961">
            <w:pPr>
              <w:pStyle w:val="63"/>
              <w:spacing w:line="360" w:lineRule="auto"/>
              <w:ind w:firstLine="480"/>
              <w:jc w:val="both"/>
              <w:rPr>
                <w:rFonts w:ascii="Times New Roman" w:hAnsi="Times New Roman"/>
                <w:color w:val="000000"/>
                <w:szCs w:val="24"/>
                <w:lang w:eastAsia="zh-CN"/>
              </w:rPr>
            </w:pPr>
            <w:r>
              <w:rPr>
                <w:rFonts w:ascii="Times New Roman" w:hAnsi="Times New Roman"/>
                <w:color w:val="000000"/>
                <w:szCs w:val="24"/>
                <w:lang w:eastAsia="zh-CN"/>
              </w:rPr>
              <w:t>（3）必须严格控制运输车辆的行驶速度，场地内的行车速度和物料运输过程中的行车速度均不超过20km/h，减少风致扬尘。</w:t>
            </w:r>
          </w:p>
          <w:p w14:paraId="0F659F57">
            <w:pPr>
              <w:pStyle w:val="63"/>
              <w:spacing w:line="360" w:lineRule="auto"/>
              <w:ind w:firstLine="480"/>
              <w:jc w:val="both"/>
              <w:rPr>
                <w:rFonts w:ascii="Times New Roman" w:hAnsi="Times New Roman"/>
                <w:color w:val="000000"/>
                <w:szCs w:val="24"/>
                <w:lang w:eastAsia="zh-CN"/>
              </w:rPr>
            </w:pPr>
            <w:r>
              <w:rPr>
                <w:rFonts w:ascii="Times New Roman" w:hAnsi="Times New Roman"/>
                <w:color w:val="000000"/>
                <w:szCs w:val="24"/>
                <w:lang w:eastAsia="zh-CN"/>
              </w:rPr>
              <w:t>（4）做好施工组织计划，尽可能缩短施工工期。</w:t>
            </w:r>
          </w:p>
          <w:p w14:paraId="7775BD50">
            <w:pPr>
              <w:pStyle w:val="63"/>
              <w:spacing w:line="360" w:lineRule="auto"/>
              <w:ind w:firstLine="480"/>
              <w:jc w:val="both"/>
              <w:rPr>
                <w:rFonts w:ascii="Times New Roman" w:hAnsi="Times New Roman"/>
                <w:color w:val="000000"/>
                <w:szCs w:val="24"/>
                <w:lang w:eastAsia="zh-CN"/>
              </w:rPr>
            </w:pPr>
            <w:r>
              <w:rPr>
                <w:rFonts w:ascii="Times New Roman" w:hAnsi="Times New Roman"/>
                <w:color w:val="000000"/>
                <w:szCs w:val="24"/>
                <w:lang w:eastAsia="zh-CN"/>
              </w:rPr>
              <w:t>（5）进出工地的物料运输车辆，采用密闭车斗，若无密闭车斗，车斗应用苫布遮盖严实，以减少运输过程中物料的遗撒。</w:t>
            </w:r>
          </w:p>
          <w:p w14:paraId="12B4604A">
            <w:pPr>
              <w:pStyle w:val="63"/>
              <w:spacing w:line="360" w:lineRule="auto"/>
              <w:ind w:firstLine="480"/>
              <w:jc w:val="both"/>
              <w:rPr>
                <w:rFonts w:ascii="Times New Roman" w:hAnsi="Times New Roman"/>
                <w:color w:val="000000"/>
                <w:szCs w:val="24"/>
                <w:lang w:eastAsia="zh-CN"/>
              </w:rPr>
            </w:pPr>
            <w:r>
              <w:rPr>
                <w:rFonts w:ascii="Times New Roman" w:hAnsi="Times New Roman"/>
                <w:color w:val="000000"/>
                <w:szCs w:val="24"/>
                <w:lang w:eastAsia="zh-CN"/>
              </w:rPr>
              <w:t>（6）对临时施工营地和材料堆场进行封闭式作业，周围以彩钢板拦挡。</w:t>
            </w:r>
          </w:p>
          <w:p w14:paraId="61CB1F06">
            <w:pPr>
              <w:pStyle w:val="10"/>
              <w:adjustRightInd w:val="0"/>
              <w:snapToGrid w:val="0"/>
              <w:spacing w:after="0" w:line="360" w:lineRule="auto"/>
              <w:ind w:left="0" w:leftChars="0" w:firstLine="480" w:firstLineChars="200"/>
              <w:jc w:val="left"/>
              <w:rPr>
                <w:color w:val="000000"/>
                <w:sz w:val="24"/>
              </w:rPr>
            </w:pPr>
            <w:r>
              <w:rPr>
                <w:rFonts w:ascii="Times New Roman" w:hAnsi="Times New Roman"/>
                <w:color w:val="000000"/>
                <w:szCs w:val="24"/>
                <w:lang w:eastAsia="zh-CN"/>
              </w:rPr>
              <w:t>综上所述，本项目在严格落实以上污染防治措施的前提下，施工期产生的扬尘、粉尘和运输车辆产生的尾气对大气环境影响较小。</w:t>
            </w:r>
          </w:p>
          <w:p w14:paraId="5CC08D03">
            <w:pPr>
              <w:adjustRightInd w:val="0"/>
              <w:snapToGrid w:val="0"/>
              <w:spacing w:line="360" w:lineRule="auto"/>
              <w:ind w:firstLine="482" w:firstLineChars="200"/>
              <w:jc w:val="left"/>
              <w:rPr>
                <w:rFonts w:hint="default" w:eastAsia="宋体"/>
                <w:b/>
                <w:bCs/>
                <w:color w:val="000000"/>
                <w:sz w:val="24"/>
                <w:lang w:val="en-US" w:eastAsia="zh-CN"/>
              </w:rPr>
            </w:pPr>
            <w:r>
              <w:rPr>
                <w:rFonts w:hint="eastAsia"/>
                <w:b/>
                <w:bCs/>
                <w:color w:val="000000"/>
                <w:sz w:val="24"/>
                <w:lang w:val="en-US" w:eastAsia="zh-CN"/>
              </w:rPr>
              <w:t>2</w:t>
            </w:r>
            <w:r>
              <w:rPr>
                <w:b/>
                <w:bCs/>
                <w:color w:val="000000"/>
                <w:sz w:val="24"/>
              </w:rPr>
              <w:t>、施工期</w:t>
            </w:r>
            <w:r>
              <w:rPr>
                <w:rFonts w:hint="eastAsia"/>
                <w:b/>
                <w:bCs/>
                <w:color w:val="000000"/>
                <w:sz w:val="24"/>
                <w:lang w:val="en-US" w:eastAsia="zh-CN"/>
              </w:rPr>
              <w:t>废水防治保护措施</w:t>
            </w:r>
          </w:p>
          <w:p w14:paraId="521F11B1">
            <w:pPr>
              <w:pStyle w:val="10"/>
              <w:adjustRightInd w:val="0"/>
              <w:snapToGrid w:val="0"/>
              <w:spacing w:after="0" w:line="360" w:lineRule="auto"/>
              <w:ind w:left="0" w:leftChars="0" w:firstLine="480" w:firstLineChars="200"/>
              <w:rPr>
                <w:color w:val="000000"/>
                <w:sz w:val="24"/>
              </w:rPr>
            </w:pPr>
            <w:r>
              <w:rPr>
                <w:color w:val="000000"/>
                <w:sz w:val="24"/>
              </w:rPr>
              <w:t>施工期废水主要为施工废水和施工人员生活污水。</w:t>
            </w:r>
          </w:p>
          <w:p w14:paraId="32E37AD9">
            <w:pPr>
              <w:adjustRightInd w:val="0"/>
              <w:snapToGrid w:val="0"/>
              <w:spacing w:line="360" w:lineRule="auto"/>
              <w:ind w:firstLine="482" w:firstLineChars="200"/>
              <w:rPr>
                <w:b/>
                <w:color w:val="000000"/>
                <w:sz w:val="24"/>
              </w:rPr>
            </w:pPr>
            <w:r>
              <w:rPr>
                <w:b/>
                <w:color w:val="000000"/>
                <w:sz w:val="24"/>
              </w:rPr>
              <w:t>（1）施工废水</w:t>
            </w:r>
          </w:p>
          <w:p w14:paraId="70D33842">
            <w:pPr>
              <w:adjustRightInd w:val="0"/>
              <w:snapToGrid w:val="0"/>
              <w:spacing w:line="360" w:lineRule="auto"/>
              <w:ind w:firstLine="480" w:firstLineChars="200"/>
              <w:rPr>
                <w:rFonts w:ascii="Times New Roman" w:hAnsi="Times New Roman"/>
                <w:bCs/>
                <w:color w:val="000000"/>
                <w:szCs w:val="24"/>
                <w:lang w:eastAsia="zh-CN"/>
              </w:rPr>
            </w:pPr>
            <w:r>
              <w:rPr>
                <w:color w:val="000000"/>
                <w:sz w:val="24"/>
              </w:rPr>
              <w:t>设置一座</w:t>
            </w:r>
            <w:r>
              <w:rPr>
                <w:rFonts w:hint="eastAsia"/>
                <w:color w:val="000000"/>
                <w:sz w:val="24"/>
                <w:lang w:val="en-US" w:eastAsia="zh-CN"/>
              </w:rPr>
              <w:t>临时</w:t>
            </w:r>
            <w:r>
              <w:rPr>
                <w:color w:val="000000"/>
                <w:sz w:val="24"/>
              </w:rPr>
              <w:t>沉淀池，施工废水经沉淀池预处理后，回用于施工场地洒水降尘不外排，并定期对沉淀池的沉淀物进行清掏，晒干后用于土石方回填</w:t>
            </w:r>
            <w:r>
              <w:rPr>
                <w:rFonts w:hint="eastAsia"/>
                <w:color w:val="000000"/>
                <w:sz w:val="24"/>
                <w:lang w:eastAsia="zh-CN"/>
              </w:rPr>
              <w:t>，</w:t>
            </w:r>
            <w:r>
              <w:rPr>
                <w:rFonts w:hint="eastAsia"/>
                <w:color w:val="000000"/>
                <w:sz w:val="24"/>
                <w:lang w:val="en-US" w:eastAsia="zh-CN"/>
              </w:rPr>
              <w:t>对周围环境影响较小。</w:t>
            </w:r>
          </w:p>
          <w:p w14:paraId="78CB49F1">
            <w:pPr>
              <w:pStyle w:val="52"/>
              <w:adjustRightInd w:val="0"/>
              <w:snapToGrid w:val="0"/>
              <w:ind w:firstLine="482"/>
              <w:rPr>
                <w:rFonts w:eastAsia="宋体"/>
                <w:b/>
                <w:color w:val="000000"/>
              </w:rPr>
            </w:pPr>
            <w:r>
              <w:rPr>
                <w:rFonts w:eastAsia="宋体"/>
                <w:b/>
                <w:color w:val="000000"/>
                <w:szCs w:val="24"/>
              </w:rPr>
              <w:t>（</w:t>
            </w:r>
            <w:r>
              <w:rPr>
                <w:rFonts w:hint="eastAsia"/>
                <w:b/>
                <w:color w:val="000000"/>
                <w:szCs w:val="24"/>
                <w:lang w:val="en-US" w:eastAsia="zh-CN"/>
              </w:rPr>
              <w:t>2</w:t>
            </w:r>
            <w:r>
              <w:rPr>
                <w:rFonts w:eastAsia="宋体"/>
                <w:b/>
                <w:color w:val="000000"/>
                <w:szCs w:val="24"/>
              </w:rPr>
              <w:t>）</w:t>
            </w:r>
            <w:r>
              <w:rPr>
                <w:rFonts w:eastAsia="宋体"/>
                <w:b/>
                <w:color w:val="000000"/>
              </w:rPr>
              <w:t>施工人员生活污水</w:t>
            </w:r>
          </w:p>
          <w:p w14:paraId="6EE3D9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olor w:val="000000"/>
                <w:kern w:val="0"/>
                <w:sz w:val="24"/>
                <w:lang w:val="en-US" w:eastAsia="zh-CN" w:bidi="en-US"/>
              </w:rPr>
            </w:pPr>
            <w:r>
              <w:rPr>
                <w:color w:val="000000"/>
                <w:kern w:val="0"/>
                <w:sz w:val="24"/>
              </w:rPr>
              <w:t>施工人员</w:t>
            </w:r>
            <w:r>
              <w:rPr>
                <w:rFonts w:hint="eastAsia"/>
                <w:color w:val="000000"/>
                <w:kern w:val="0"/>
                <w:sz w:val="24"/>
                <w:lang w:val="en-US" w:eastAsia="zh-CN"/>
              </w:rPr>
              <w:t>盥洗废水泼洒降尘</w:t>
            </w:r>
            <w:r>
              <w:rPr>
                <w:color w:val="000000"/>
                <w:kern w:val="0"/>
                <w:sz w:val="24"/>
              </w:rPr>
              <w:t>，施工区修建</w:t>
            </w:r>
            <w:r>
              <w:rPr>
                <w:rFonts w:hint="eastAsia"/>
                <w:color w:val="000000"/>
                <w:kern w:val="0"/>
                <w:sz w:val="24"/>
                <w:lang w:val="en-US" w:eastAsia="zh-CN"/>
              </w:rPr>
              <w:t>干式环保厕所</w:t>
            </w:r>
            <w:r>
              <w:rPr>
                <w:color w:val="000000"/>
                <w:kern w:val="0"/>
                <w:sz w:val="24"/>
              </w:rPr>
              <w:t>，粪便定期清掏清运，待施工结束后</w:t>
            </w:r>
            <w:r>
              <w:rPr>
                <w:rFonts w:hint="eastAsia"/>
                <w:color w:val="000000"/>
                <w:kern w:val="0"/>
                <w:sz w:val="24"/>
                <w:lang w:val="en-US" w:eastAsia="zh-CN"/>
              </w:rPr>
              <w:t>可继续用于运营期职工人员如厕</w:t>
            </w:r>
            <w:r>
              <w:rPr>
                <w:color w:val="000000"/>
                <w:kern w:val="0"/>
                <w:sz w:val="24"/>
              </w:rPr>
              <w:t>。</w:t>
            </w:r>
            <w:r>
              <w:rPr>
                <w:rFonts w:hint="eastAsia"/>
                <w:color w:val="000000"/>
                <w:kern w:val="0"/>
                <w:sz w:val="24"/>
                <w:lang w:val="en-US" w:eastAsia="zh-CN"/>
              </w:rPr>
              <w:t>施工期生活污水不外排，对周围环境影响较小。</w:t>
            </w:r>
          </w:p>
          <w:p w14:paraId="1CAB8059">
            <w:pPr>
              <w:adjustRightInd w:val="0"/>
              <w:snapToGrid w:val="0"/>
              <w:spacing w:line="360" w:lineRule="auto"/>
              <w:ind w:firstLine="482" w:firstLineChars="200"/>
              <w:jc w:val="left"/>
              <w:rPr>
                <w:color w:val="000000"/>
                <w:sz w:val="24"/>
              </w:rPr>
            </w:pPr>
            <w:r>
              <w:rPr>
                <w:rFonts w:hint="eastAsia"/>
                <w:b/>
                <w:bCs/>
                <w:color w:val="000000"/>
                <w:sz w:val="24"/>
                <w:lang w:val="en-US" w:eastAsia="zh-CN"/>
              </w:rPr>
              <w:t>3</w:t>
            </w:r>
            <w:r>
              <w:rPr>
                <w:b/>
                <w:bCs/>
                <w:color w:val="000000"/>
                <w:sz w:val="24"/>
              </w:rPr>
              <w:t>、</w:t>
            </w:r>
            <w:r>
              <w:rPr>
                <w:rFonts w:hint="eastAsia"/>
                <w:b/>
                <w:bCs/>
                <w:color w:val="000000"/>
                <w:sz w:val="24"/>
                <w:lang w:val="en-US" w:eastAsia="zh-CN"/>
              </w:rPr>
              <w:t>施工噪声防治保护措施</w:t>
            </w:r>
          </w:p>
          <w:p w14:paraId="469B3DA0">
            <w:pPr>
              <w:autoSpaceDE w:val="0"/>
              <w:autoSpaceDN w:val="0"/>
              <w:adjustRightInd w:val="0"/>
              <w:snapToGrid w:val="0"/>
              <w:spacing w:line="360" w:lineRule="auto"/>
              <w:ind w:firstLine="480" w:firstLineChars="200"/>
              <w:jc w:val="left"/>
              <w:rPr>
                <w:color w:val="000000"/>
                <w:sz w:val="24"/>
              </w:rPr>
            </w:pPr>
            <w:r>
              <w:rPr>
                <w:color w:val="000000"/>
                <w:sz w:val="24"/>
              </w:rPr>
              <w:t>（1）合理布局施工现场：</w:t>
            </w:r>
          </w:p>
          <w:p w14:paraId="17A0F805">
            <w:pPr>
              <w:autoSpaceDE w:val="0"/>
              <w:autoSpaceDN w:val="0"/>
              <w:adjustRightInd w:val="0"/>
              <w:snapToGrid w:val="0"/>
              <w:spacing w:line="360" w:lineRule="auto"/>
              <w:ind w:firstLine="480" w:firstLineChars="200"/>
              <w:jc w:val="left"/>
              <w:rPr>
                <w:color w:val="000000"/>
                <w:sz w:val="24"/>
              </w:rPr>
            </w:pPr>
            <w:r>
              <w:rPr>
                <w:color w:val="000000"/>
                <w:sz w:val="24"/>
              </w:rPr>
              <w:t>避免在同一地点安排大龄动力机械设备，避免局部累积声级过高；各高噪声机械置于地块较中间位置工作。</w:t>
            </w:r>
          </w:p>
          <w:p w14:paraId="7D2EDAB7">
            <w:pPr>
              <w:pStyle w:val="64"/>
              <w:snapToGrid w:val="0"/>
              <w:spacing w:before="0" w:line="360" w:lineRule="auto"/>
              <w:ind w:firstLine="480" w:firstLineChars="200"/>
              <w:rPr>
                <w:color w:val="000000"/>
                <w:szCs w:val="24"/>
              </w:rPr>
            </w:pPr>
            <w:r>
              <w:rPr>
                <w:color w:val="000000"/>
                <w:szCs w:val="24"/>
              </w:rPr>
              <w:t>（2）合理安排施工时间：</w:t>
            </w:r>
          </w:p>
          <w:p w14:paraId="3C049BCF">
            <w:pPr>
              <w:pStyle w:val="64"/>
              <w:snapToGrid w:val="0"/>
              <w:spacing w:before="0" w:line="360" w:lineRule="auto"/>
              <w:ind w:firstLine="480" w:firstLineChars="200"/>
              <w:jc w:val="left"/>
              <w:rPr>
                <w:color w:val="000000"/>
                <w:szCs w:val="24"/>
              </w:rPr>
            </w:pPr>
            <w:r>
              <w:rPr>
                <w:color w:val="000000"/>
                <w:szCs w:val="24"/>
              </w:rPr>
              <w:t>应尽可能避免大量高噪声设备同时使用，建设单位和施工单位应严格限制施工作业时间，禁止夜间施工。</w:t>
            </w:r>
          </w:p>
          <w:p w14:paraId="468A7892">
            <w:pPr>
              <w:pStyle w:val="64"/>
              <w:snapToGrid w:val="0"/>
              <w:spacing w:before="0" w:line="360" w:lineRule="auto"/>
              <w:ind w:firstLine="480" w:firstLineChars="200"/>
              <w:rPr>
                <w:rFonts w:hint="eastAsia" w:eastAsia="宋体"/>
                <w:color w:val="000000"/>
                <w:szCs w:val="24"/>
                <w:lang w:eastAsia="zh-CN"/>
              </w:rPr>
            </w:pPr>
            <w:r>
              <w:rPr>
                <w:color w:val="000000"/>
                <w:szCs w:val="24"/>
              </w:rPr>
              <w:t>（3）施工时采用降噪作业方式</w:t>
            </w:r>
            <w:r>
              <w:rPr>
                <w:rFonts w:hint="eastAsia"/>
                <w:color w:val="000000"/>
                <w:szCs w:val="24"/>
                <w:lang w:eastAsia="zh-CN"/>
              </w:rPr>
              <w:t>：</w:t>
            </w:r>
          </w:p>
          <w:p w14:paraId="5F32AD2E">
            <w:pPr>
              <w:pStyle w:val="64"/>
              <w:snapToGrid w:val="0"/>
              <w:spacing w:before="0" w:line="360" w:lineRule="auto"/>
              <w:ind w:firstLine="480" w:firstLineChars="200"/>
              <w:rPr>
                <w:color w:val="000000"/>
                <w:szCs w:val="24"/>
              </w:rPr>
            </w:pPr>
            <w:r>
              <w:rPr>
                <w:color w:val="000000"/>
                <w:szCs w:val="24"/>
              </w:rPr>
              <w:t>施工机械选型时尽量选用可替代的低噪声设备，对机械设备定期维护保养，设备用完后及时关闭。</w:t>
            </w:r>
          </w:p>
          <w:p w14:paraId="198EB9BA">
            <w:pPr>
              <w:pStyle w:val="53"/>
              <w:adjustRightInd/>
              <w:spacing w:line="360" w:lineRule="auto"/>
              <w:ind w:firstLine="480" w:firstLineChars="200"/>
              <w:rPr>
                <w:rFonts w:hint="default" w:ascii="Times New Roman" w:eastAsia="宋体" w:cs="Times New Roman"/>
                <w:kern w:val="2"/>
                <w:lang w:val="en-US" w:eastAsia="zh-CN"/>
              </w:rPr>
            </w:pPr>
            <w:r>
              <w:rPr>
                <w:color w:val="000000"/>
                <w:sz w:val="24"/>
              </w:rPr>
              <w:t>综合上述，只要施工单位合理安排施工时间，按照国家和本环评报告当中提出的各类措施防止噪声污染，工程施工期采取的噪声防治措施切实可行。</w:t>
            </w:r>
          </w:p>
          <w:p w14:paraId="51782B78">
            <w:pPr>
              <w:adjustRightInd w:val="0"/>
              <w:snapToGrid w:val="0"/>
              <w:spacing w:line="360" w:lineRule="auto"/>
              <w:ind w:firstLine="482" w:firstLineChars="200"/>
              <w:jc w:val="left"/>
              <w:rPr>
                <w:b/>
                <w:bCs/>
                <w:color w:val="000000"/>
                <w:sz w:val="24"/>
              </w:rPr>
            </w:pPr>
            <w:r>
              <w:rPr>
                <w:rFonts w:hint="eastAsia"/>
                <w:b/>
                <w:bCs/>
                <w:color w:val="000000"/>
                <w:sz w:val="24"/>
                <w:lang w:val="en-US" w:eastAsia="zh-CN"/>
              </w:rPr>
              <w:t>4</w:t>
            </w:r>
            <w:r>
              <w:rPr>
                <w:b/>
                <w:bCs/>
                <w:color w:val="000000"/>
                <w:sz w:val="24"/>
              </w:rPr>
              <w:t>、施工期固体废物</w:t>
            </w:r>
            <w:r>
              <w:rPr>
                <w:rFonts w:hint="eastAsia"/>
                <w:b/>
                <w:bCs/>
                <w:color w:val="000000"/>
                <w:sz w:val="24"/>
                <w:lang w:val="en-US" w:eastAsia="zh-CN"/>
              </w:rPr>
              <w:t>防治保护措施</w:t>
            </w:r>
          </w:p>
          <w:p w14:paraId="22A92BD7">
            <w:pPr>
              <w:keepNext w:val="0"/>
              <w:keepLines w:val="0"/>
              <w:widowControl/>
              <w:suppressLineNumbers w:val="0"/>
              <w:jc w:val="left"/>
              <w:rPr>
                <w:rFonts w:hint="eastAsia"/>
                <w:b/>
                <w:color w:val="auto"/>
                <w:sz w:val="24"/>
                <w:lang w:val="en-US" w:eastAsia="zh-CN"/>
              </w:rPr>
            </w:pPr>
            <w:r>
              <w:rPr>
                <w:rFonts w:ascii="Times New Roman" w:hAnsi="Times New Roman" w:eastAsia="宋体" w:cs="Times New Roman"/>
                <w:color w:val="000000"/>
                <w:sz w:val="24"/>
              </w:rPr>
              <w:t>根据本工程的建设内容及施工特点，工程施工过程中产生的固体废物主要为</w:t>
            </w:r>
            <w:r>
              <w:rPr>
                <w:rFonts w:hint="eastAsia" w:ascii="Times New Roman" w:hAnsi="Times New Roman" w:eastAsia="宋体" w:cs="Times New Roman"/>
                <w:color w:val="000000"/>
                <w:sz w:val="24"/>
                <w:lang w:val="en-US" w:eastAsia="zh-CN"/>
              </w:rPr>
              <w:t>剥离表土</w:t>
            </w:r>
            <w:r>
              <w:rPr>
                <w:rFonts w:ascii="Times New Roman" w:hAnsi="Times New Roman" w:eastAsia="宋体" w:cs="Times New Roman"/>
                <w:color w:val="000000"/>
                <w:sz w:val="24"/>
              </w:rPr>
              <w:t>、建筑垃圾和施工人员产生的生活垃圾。</w:t>
            </w:r>
            <w:r>
              <w:rPr>
                <w:rFonts w:hint="eastAsia" w:ascii="Times New Roman" w:hAnsi="Times New Roman" w:eastAsia="宋体" w:cs="Times New Roman"/>
                <w:color w:val="000000"/>
                <w:sz w:val="24"/>
                <w:lang w:val="en-US" w:eastAsia="zh-CN"/>
              </w:rPr>
              <w:t>剥离表土和矿石运至排土场，可全部利用；建筑垃圾能回收利用的回收利用，不能回收的运至指定场所；生活垃圾经收集后由当地环卫部门统一清运处置。</w:t>
            </w:r>
          </w:p>
          <w:p w14:paraId="611BCF94">
            <w:pPr>
              <w:spacing w:line="360" w:lineRule="auto"/>
              <w:rPr>
                <w:b/>
                <w:color w:val="auto"/>
                <w:sz w:val="24"/>
              </w:rPr>
            </w:pPr>
            <w:r>
              <w:rPr>
                <w:rFonts w:hint="eastAsia"/>
                <w:b/>
                <w:color w:val="auto"/>
                <w:sz w:val="24"/>
                <w:lang w:val="en-US" w:eastAsia="zh-CN"/>
              </w:rPr>
              <w:t>5、</w:t>
            </w:r>
            <w:r>
              <w:rPr>
                <w:rFonts w:hint="eastAsia"/>
                <w:b/>
                <w:color w:val="auto"/>
                <w:sz w:val="24"/>
              </w:rPr>
              <w:t>施工期</w:t>
            </w:r>
            <w:r>
              <w:rPr>
                <w:b/>
                <w:color w:val="auto"/>
                <w:sz w:val="24"/>
              </w:rPr>
              <w:t>生态保护措施及预期效果</w:t>
            </w:r>
          </w:p>
          <w:p w14:paraId="62F99586">
            <w:pPr>
              <w:spacing w:line="360" w:lineRule="auto"/>
              <w:ind w:firstLine="480" w:firstLineChars="200"/>
              <w:rPr>
                <w:color w:val="auto"/>
                <w:sz w:val="24"/>
              </w:rPr>
            </w:pPr>
            <w:r>
              <w:rPr>
                <w:color w:val="auto"/>
                <w:sz w:val="24"/>
              </w:rPr>
              <w:t>（1）项目施工期合理安排施工计划，施工期尽量</w:t>
            </w:r>
            <w:r>
              <w:rPr>
                <w:rFonts w:hint="eastAsia"/>
                <w:color w:val="auto"/>
                <w:sz w:val="24"/>
                <w:lang w:eastAsia="zh-CN"/>
              </w:rPr>
              <w:t>做到</w:t>
            </w:r>
            <w:r>
              <w:rPr>
                <w:rFonts w:hint="eastAsia"/>
                <w:color w:val="auto"/>
                <w:sz w:val="24"/>
              </w:rPr>
              <w:t>即</w:t>
            </w:r>
            <w:r>
              <w:rPr>
                <w:color w:val="auto"/>
                <w:sz w:val="24"/>
              </w:rPr>
              <w:t>挖</w:t>
            </w:r>
            <w:r>
              <w:rPr>
                <w:rFonts w:hint="eastAsia"/>
                <w:color w:val="auto"/>
                <w:sz w:val="24"/>
              </w:rPr>
              <w:t>即</w:t>
            </w:r>
            <w:r>
              <w:rPr>
                <w:color w:val="auto"/>
                <w:sz w:val="24"/>
              </w:rPr>
              <w:t>填、</w:t>
            </w:r>
            <w:r>
              <w:rPr>
                <w:rFonts w:hint="eastAsia"/>
                <w:color w:val="auto"/>
                <w:sz w:val="24"/>
              </w:rPr>
              <w:t>即</w:t>
            </w:r>
            <w:r>
              <w:rPr>
                <w:color w:val="auto"/>
                <w:sz w:val="24"/>
              </w:rPr>
              <w:t>填</w:t>
            </w:r>
            <w:r>
              <w:rPr>
                <w:rFonts w:hint="eastAsia"/>
                <w:color w:val="auto"/>
                <w:sz w:val="24"/>
              </w:rPr>
              <w:t>即</w:t>
            </w:r>
            <w:r>
              <w:rPr>
                <w:color w:val="auto"/>
                <w:sz w:val="24"/>
              </w:rPr>
              <w:t>压，以减少施工期产生的水土流失量。</w:t>
            </w:r>
          </w:p>
          <w:p w14:paraId="6C1A8C82">
            <w:pPr>
              <w:spacing w:line="360" w:lineRule="auto"/>
              <w:ind w:firstLine="480" w:firstLineChars="200"/>
              <w:rPr>
                <w:color w:val="auto"/>
                <w:sz w:val="24"/>
              </w:rPr>
            </w:pPr>
            <w:r>
              <w:rPr>
                <w:color w:val="auto"/>
                <w:sz w:val="24"/>
              </w:rPr>
              <w:t>（2）项目</w:t>
            </w:r>
            <w:r>
              <w:rPr>
                <w:rFonts w:hint="eastAsia"/>
                <w:color w:val="auto"/>
                <w:sz w:val="24"/>
              </w:rPr>
              <w:t>建设时，</w:t>
            </w:r>
            <w:r>
              <w:rPr>
                <w:color w:val="auto"/>
                <w:sz w:val="24"/>
              </w:rPr>
              <w:t>严格按照规划用地红线进行建设，尽量缩小施工作业面，从而对周边环境的影响。</w:t>
            </w:r>
          </w:p>
          <w:p w14:paraId="0AFE8555">
            <w:pPr>
              <w:spacing w:line="360" w:lineRule="auto"/>
              <w:ind w:firstLine="480" w:firstLineChars="200"/>
              <w:rPr>
                <w:color w:val="auto"/>
                <w:sz w:val="24"/>
              </w:rPr>
            </w:pPr>
            <w:r>
              <w:rPr>
                <w:color w:val="auto"/>
                <w:sz w:val="24"/>
              </w:rPr>
              <w:t>（3）</w:t>
            </w:r>
            <w:r>
              <w:rPr>
                <w:rFonts w:hint="eastAsia"/>
                <w:color w:val="auto"/>
                <w:sz w:val="24"/>
              </w:rPr>
              <w:t>项目应在道路两侧修建雨水收集管沟，收集导排路面上的地表径流，避免对道路路面及边坡等松软区域的冲刷影响。</w:t>
            </w:r>
          </w:p>
          <w:p w14:paraId="12E13E7E">
            <w:pPr>
              <w:spacing w:line="360" w:lineRule="auto"/>
              <w:ind w:firstLine="480" w:firstLineChars="200"/>
              <w:rPr>
                <w:color w:val="auto"/>
                <w:sz w:val="24"/>
              </w:rPr>
            </w:pPr>
            <w:r>
              <w:rPr>
                <w:color w:val="auto"/>
                <w:sz w:val="24"/>
              </w:rPr>
              <w:t>（</w:t>
            </w:r>
            <w:r>
              <w:rPr>
                <w:rFonts w:hint="eastAsia"/>
                <w:color w:val="auto"/>
                <w:sz w:val="24"/>
              </w:rPr>
              <w:t>4</w:t>
            </w:r>
            <w:r>
              <w:rPr>
                <w:color w:val="auto"/>
                <w:sz w:val="24"/>
              </w:rPr>
              <w:t>）</w:t>
            </w:r>
            <w:r>
              <w:rPr>
                <w:rFonts w:hint="eastAsia"/>
                <w:color w:val="auto"/>
                <w:sz w:val="24"/>
              </w:rPr>
              <w:t>露天开采区周边结合地势地形修建雨水截洪沟（</w:t>
            </w:r>
            <w:r>
              <w:rPr>
                <w:rFonts w:hint="eastAsia" w:hAnsi="宋体"/>
                <w:color w:val="auto"/>
                <w:sz w:val="24"/>
              </w:rPr>
              <w:t>明渠，施工期一次建成，永久使用</w:t>
            </w:r>
            <w:r>
              <w:rPr>
                <w:rFonts w:hint="eastAsia"/>
                <w:color w:val="auto"/>
                <w:sz w:val="24"/>
              </w:rPr>
              <w:t>），导排矿区外围雨水对开采裸露面的冲刷影响。</w:t>
            </w:r>
          </w:p>
          <w:p w14:paraId="4E5C3F9F">
            <w:pPr>
              <w:spacing w:line="360" w:lineRule="auto"/>
              <w:ind w:firstLine="472" w:firstLineChars="197"/>
              <w:rPr>
                <w:rFonts w:hAnsi="宋体"/>
                <w:color w:val="auto"/>
                <w:sz w:val="24"/>
              </w:rPr>
            </w:pPr>
            <w:r>
              <w:rPr>
                <w:rFonts w:hint="eastAsia"/>
                <w:color w:val="auto"/>
                <w:sz w:val="24"/>
              </w:rPr>
              <w:t>（5）</w:t>
            </w:r>
            <w:r>
              <w:rPr>
                <w:rFonts w:hint="eastAsia" w:hAnsi="宋体"/>
                <w:color w:val="auto"/>
                <w:sz w:val="24"/>
              </w:rPr>
              <w:t>项目在基建期，矿山坡脚沿边修建导排水沟，导排区域地表径流，避免雨水对开采裸露面、松散面的冲刷影响。</w:t>
            </w:r>
          </w:p>
          <w:p w14:paraId="1265EA81">
            <w:pPr>
              <w:spacing w:line="360" w:lineRule="auto"/>
              <w:ind w:firstLine="472" w:firstLineChars="197"/>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（6）项目在</w:t>
            </w:r>
            <w:r>
              <w:rPr>
                <w:rFonts w:hint="eastAsia" w:ascii="Times New Roman" w:hAnsi="Times New Roman" w:eastAsia="宋体" w:cs="Times New Roman"/>
                <w:color w:val="auto"/>
                <w:sz w:val="24"/>
                <w:lang w:val="en-US" w:eastAsia="zh-CN"/>
              </w:rPr>
              <w:t>低洼区域</w:t>
            </w:r>
            <w:r>
              <w:rPr>
                <w:rFonts w:hint="eastAsia" w:ascii="Times New Roman" w:hAnsi="Times New Roman" w:eastAsia="宋体" w:cs="Times New Roman"/>
                <w:color w:val="auto"/>
                <w:sz w:val="24"/>
              </w:rPr>
              <w:t>修建雨水收集沟，收集导排区域内的地表径流。</w:t>
            </w:r>
          </w:p>
          <w:p w14:paraId="15A2CC5A">
            <w:pPr>
              <w:spacing w:line="360" w:lineRule="auto"/>
              <w:ind w:firstLine="472" w:firstLineChars="197"/>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（7）根据</w:t>
            </w:r>
            <w:r>
              <w:rPr>
                <w:rFonts w:hint="eastAsia" w:ascii="Times New Roman" w:hAnsi="Times New Roman" w:eastAsia="宋体" w:cs="Times New Roman"/>
                <w:color w:val="auto"/>
                <w:sz w:val="24"/>
                <w:lang w:eastAsia="zh-CN"/>
              </w:rPr>
              <w:t>《开发利用方案》</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在矿区西侧及东侧各布设一处排土场，西侧排土场占地面积约</w:t>
            </w:r>
            <w:r>
              <w:rPr>
                <w:rFonts w:hint="default" w:ascii="Times New Roman" w:hAnsi="Times New Roman" w:eastAsia="宋体" w:cs="Times New Roman"/>
                <w:color w:val="auto"/>
                <w:sz w:val="24"/>
                <w:lang w:val="en-US" w:eastAsia="zh-CN"/>
              </w:rPr>
              <w:t>25973m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，东侧排土场占地面积约</w:t>
            </w:r>
            <w:r>
              <w:rPr>
                <w:rFonts w:hint="default" w:ascii="Times New Roman" w:hAnsi="Times New Roman" w:eastAsia="宋体" w:cs="Times New Roman"/>
                <w:color w:val="auto"/>
                <w:sz w:val="24"/>
                <w:lang w:val="en-US" w:eastAsia="zh-CN"/>
              </w:rPr>
              <w:t>23370m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，共计</w:t>
            </w:r>
            <w:r>
              <w:rPr>
                <w:rFonts w:hint="default" w:ascii="Times New Roman" w:hAnsi="Times New Roman" w:eastAsia="宋体" w:cs="Times New Roman"/>
                <w:color w:val="auto"/>
                <w:sz w:val="24"/>
                <w:lang w:val="en-US" w:eastAsia="zh-CN"/>
              </w:rPr>
              <w:t>49343m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采场与排土场有便道相通。矿区西侧排土场主要用于堆放矿区表层砂岩风化层，东侧排土场主要用于堆放粉土及腐殖质土等，用于后期恢复治理工作。</w:t>
            </w:r>
            <w:r>
              <w:rPr>
                <w:rFonts w:hint="eastAsia" w:ascii="Times New Roman" w:hAnsi="Times New Roman" w:eastAsia="宋体" w:cs="Times New Roman"/>
                <w:color w:val="auto"/>
                <w:sz w:val="24"/>
              </w:rPr>
              <w:t>故本环评中要求：项目设置临时排土场时，在考虑废土石应分层堆存、废土石在“边开采边恢复”过程中尽量陆续使用等因素的情况下，尽量减少排土场占地面积，禁止在较大区域内分散堆放，另外，根据项目矿区内已有开采区的特点，项目排土场设置在已采区内，禁止占压周边尚未扰动的地块。</w:t>
            </w:r>
          </w:p>
          <w:p w14:paraId="4E79AB0A">
            <w:pPr>
              <w:spacing w:line="360" w:lineRule="auto"/>
              <w:ind w:firstLine="480" w:firstLineChars="200"/>
              <w:rPr>
                <w:rFonts w:hAnsi="宋体"/>
                <w:color w:val="auto"/>
                <w:sz w:val="24"/>
                <w:szCs w:val="20"/>
              </w:rPr>
            </w:pPr>
            <w:r>
              <w:rPr>
                <w:rFonts w:hint="eastAsia" w:hAnsi="宋体"/>
                <w:color w:val="auto"/>
                <w:sz w:val="24"/>
                <w:szCs w:val="20"/>
              </w:rPr>
              <w:t>（</w:t>
            </w:r>
            <w:r>
              <w:rPr>
                <w:rFonts w:hint="eastAsia" w:hAnsi="宋体"/>
                <w:color w:val="auto"/>
                <w:sz w:val="24"/>
                <w:szCs w:val="20"/>
                <w:lang w:val="en-US" w:eastAsia="zh-CN"/>
              </w:rPr>
              <w:t>8</w:t>
            </w:r>
            <w:r>
              <w:rPr>
                <w:rFonts w:hint="eastAsia" w:hAnsi="宋体"/>
                <w:color w:val="auto"/>
                <w:sz w:val="24"/>
                <w:szCs w:val="20"/>
              </w:rPr>
              <w:t>）项目施工期结束后，对生活区、</w:t>
            </w:r>
            <w:r>
              <w:rPr>
                <w:rFonts w:hint="eastAsia" w:hAnsi="宋体"/>
                <w:color w:val="auto"/>
                <w:sz w:val="24"/>
                <w:szCs w:val="20"/>
                <w:lang w:val="en-US" w:eastAsia="zh-CN"/>
              </w:rPr>
              <w:t>采矿区</w:t>
            </w:r>
            <w:r>
              <w:rPr>
                <w:rFonts w:hint="eastAsia" w:hAnsi="宋体"/>
                <w:color w:val="auto"/>
                <w:sz w:val="24"/>
                <w:szCs w:val="20"/>
              </w:rPr>
              <w:t>、矿区道路沿线等造成的临时占地进行平整铺填并压实，避免松散遗留。</w:t>
            </w:r>
          </w:p>
          <w:p w14:paraId="1EF86977">
            <w:pPr>
              <w:spacing w:line="360" w:lineRule="auto"/>
              <w:ind w:firstLine="480" w:firstLineChars="200"/>
              <w:rPr>
                <w:rFonts w:hint="default" w:eastAsia="宋体"/>
                <w:lang w:val="en-US" w:eastAsia="zh-CN"/>
              </w:rPr>
            </w:pPr>
            <w:r>
              <w:rPr>
                <w:rFonts w:hint="eastAsia"/>
                <w:color w:val="auto"/>
                <w:sz w:val="24"/>
              </w:rPr>
              <w:t>施工期在采用上述措施后，可有效降低施工期水土流失、占压等影响。</w:t>
            </w:r>
          </w:p>
        </w:tc>
      </w:tr>
      <w:tr w14:paraId="40277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59" w:type="dxa"/>
            <w:noWrap w:val="0"/>
            <w:tcMar>
              <w:left w:w="28" w:type="dxa"/>
              <w:right w:w="28" w:type="dxa"/>
            </w:tcMar>
            <w:vAlign w:val="center"/>
          </w:tcPr>
          <w:p w14:paraId="0C5BD0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bCs/>
                <w:spacing w:val="10"/>
                <w:szCs w:val="21"/>
              </w:rPr>
            </w:pPr>
            <w:r>
              <w:rPr>
                <w:rFonts w:hint="eastAsia" w:ascii="宋体" w:hAnsi="宋体" w:cs="宋体"/>
                <w:bCs/>
                <w:spacing w:val="10"/>
                <w:szCs w:val="21"/>
              </w:rPr>
              <w:t>运营期生态环境保护措施</w:t>
            </w:r>
          </w:p>
        </w:tc>
        <w:tc>
          <w:tcPr>
            <w:tcW w:w="8308" w:type="dxa"/>
            <w:noWrap w:val="0"/>
            <w:vAlign w:val="top"/>
          </w:tcPr>
          <w:p w14:paraId="5E53164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w:t>
            </w:r>
            <w:r>
              <w:rPr>
                <w:rFonts w:hint="eastAsia" w:cs="Times New Roman"/>
                <w:b/>
                <w:bCs/>
                <w:sz w:val="24"/>
                <w:szCs w:val="24"/>
                <w:lang w:val="en-US" w:eastAsia="zh-CN"/>
              </w:rPr>
              <w:t>、运营期</w:t>
            </w:r>
            <w:r>
              <w:rPr>
                <w:rFonts w:hint="eastAsia" w:ascii="Times New Roman" w:hAnsi="Times New Roman" w:eastAsia="宋体" w:cs="Times New Roman"/>
                <w:b/>
                <w:bCs/>
                <w:sz w:val="24"/>
                <w:szCs w:val="24"/>
                <w:lang w:val="en-US" w:eastAsia="zh-CN"/>
              </w:rPr>
              <w:t>生态环境保护措施</w:t>
            </w:r>
          </w:p>
          <w:p w14:paraId="21888C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根据现场调查，本项目在</w:t>
            </w:r>
            <w:r>
              <w:rPr>
                <w:rFonts w:hint="eastAsia" w:ascii="Times New Roman" w:hAnsi="Times New Roman" w:eastAsia="宋体" w:cs="Times New Roman"/>
                <w:sz w:val="24"/>
                <w:szCs w:val="24"/>
                <w:lang w:val="en-US" w:eastAsia="zh-CN"/>
              </w:rPr>
              <w:t>开采</w:t>
            </w:r>
            <w:r>
              <w:rPr>
                <w:rFonts w:hint="eastAsia" w:ascii="Times New Roman" w:hAnsi="Times New Roman" w:eastAsia="宋体" w:cs="Times New Roman"/>
                <w:sz w:val="24"/>
                <w:szCs w:val="24"/>
                <w:lang w:eastAsia="zh-CN"/>
              </w:rPr>
              <w:t>期将会对区域生态造成一定的影响，</w:t>
            </w:r>
            <w:r>
              <w:rPr>
                <w:rFonts w:hint="eastAsia" w:ascii="Times New Roman" w:hAnsi="Times New Roman" w:eastAsia="宋体" w:cs="Times New Roman"/>
                <w:sz w:val="24"/>
                <w:szCs w:val="24"/>
                <w:lang w:val="en-US" w:eastAsia="zh-CN"/>
              </w:rPr>
              <w:t>本次</w:t>
            </w:r>
            <w:r>
              <w:rPr>
                <w:rFonts w:hint="eastAsia" w:ascii="Times New Roman" w:hAnsi="Times New Roman" w:eastAsia="宋体" w:cs="Times New Roman"/>
                <w:sz w:val="24"/>
                <w:szCs w:val="24"/>
                <w:lang w:eastAsia="zh-CN"/>
              </w:rPr>
              <w:t>提出</w:t>
            </w:r>
            <w:r>
              <w:rPr>
                <w:rFonts w:hint="eastAsia" w:ascii="Times New Roman" w:hAnsi="Times New Roman" w:eastAsia="宋体" w:cs="Times New Roman"/>
                <w:sz w:val="24"/>
                <w:szCs w:val="24"/>
                <w:lang w:val="en-US" w:eastAsia="zh-CN"/>
              </w:rPr>
              <w:t>如下</w:t>
            </w:r>
            <w:r>
              <w:rPr>
                <w:rFonts w:hint="eastAsia" w:ascii="Times New Roman" w:hAnsi="Times New Roman" w:eastAsia="宋体" w:cs="Times New Roman"/>
                <w:sz w:val="24"/>
                <w:szCs w:val="24"/>
                <w:lang w:eastAsia="zh-CN"/>
              </w:rPr>
              <w:t>生态影响防治措施：</w:t>
            </w:r>
          </w:p>
          <w:p w14:paraId="72127ED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b/>
                <w:bCs/>
                <w:color w:val="000000"/>
                <w:sz w:val="24"/>
                <w:lang w:eastAsia="zh-CN"/>
              </w:rPr>
              <w:t>（</w:t>
            </w:r>
            <w:r>
              <w:rPr>
                <w:rFonts w:hint="eastAsia" w:ascii="Times New Roman" w:hAnsi="Times New Roman" w:eastAsia="宋体"/>
                <w:b/>
                <w:bCs/>
                <w:color w:val="000000"/>
                <w:sz w:val="24"/>
                <w:lang w:val="en-US" w:eastAsia="zh-CN"/>
              </w:rPr>
              <w:t>1</w:t>
            </w:r>
            <w:r>
              <w:rPr>
                <w:rFonts w:hint="eastAsia" w:ascii="Times New Roman" w:hAnsi="Times New Roman" w:eastAsia="宋体"/>
                <w:b/>
                <w:bCs/>
                <w:color w:val="000000"/>
                <w:sz w:val="24"/>
                <w:lang w:eastAsia="zh-CN"/>
              </w:rPr>
              <w:t>）露天</w:t>
            </w:r>
            <w:r>
              <w:rPr>
                <w:rFonts w:hint="eastAsia" w:ascii="Times New Roman" w:hAnsi="Times New Roman" w:eastAsia="宋体"/>
                <w:b/>
                <w:bCs/>
                <w:color w:val="000000"/>
                <w:sz w:val="24"/>
              </w:rPr>
              <w:t>采区</w:t>
            </w:r>
            <w:r>
              <w:rPr>
                <w:rFonts w:hint="eastAsia"/>
                <w:b/>
                <w:bCs/>
                <w:color w:val="000000"/>
                <w:sz w:val="24"/>
                <w:lang w:val="en-US" w:eastAsia="zh-CN"/>
              </w:rPr>
              <w:t>生态环境保护措施</w:t>
            </w:r>
          </w:p>
          <w:p w14:paraId="169690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本项目运营过程中可能发生的地质灾害为崩塌和滑坡，本项目主要从以下几个方面采取措施以降低矿山开采或闭矿后地质灾害的发生可能性，如下：</w:t>
            </w:r>
          </w:p>
          <w:p w14:paraId="4725FE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fldChar w:fldCharType="begin"/>
            </w:r>
            <w:r>
              <w:rPr>
                <w:rFonts w:hint="eastAsia" w:ascii="Times New Roman" w:hAnsi="Times New Roman" w:eastAsia="宋体" w:cs="Times New Roman"/>
                <w:sz w:val="24"/>
                <w:szCs w:val="24"/>
                <w:lang w:eastAsia="zh-CN"/>
              </w:rPr>
              <w:instrText xml:space="preserve"> = 1 \* GB3 \* MERGEFORMAT </w:instrText>
            </w:r>
            <w:r>
              <w:rPr>
                <w:rFonts w:hint="eastAsia" w:ascii="Times New Roman" w:hAnsi="Times New Roman" w:eastAsia="宋体" w:cs="Times New Roman"/>
                <w:sz w:val="24"/>
                <w:szCs w:val="24"/>
                <w:lang w:eastAsia="zh-CN"/>
              </w:rPr>
              <w:fldChar w:fldCharType="separate"/>
            </w:r>
            <w:r>
              <w:rPr>
                <w:rFonts w:ascii="Times New Roman" w:hAnsi="Times New Roman" w:eastAsia="宋体"/>
              </w:rPr>
              <w:t>①</w:t>
            </w:r>
            <w:r>
              <w:rPr>
                <w:rFonts w:hint="eastAsia" w:ascii="Times New Roman" w:hAnsi="Times New Roman" w:eastAsia="宋体" w:cs="Times New Roman"/>
                <w:sz w:val="24"/>
                <w:szCs w:val="24"/>
                <w:lang w:eastAsia="zh-CN"/>
              </w:rPr>
              <w:fldChar w:fldCharType="end"/>
            </w:r>
            <w:r>
              <w:rPr>
                <w:rFonts w:hint="eastAsia" w:ascii="Times New Roman" w:hAnsi="Times New Roman" w:eastAsia="宋体" w:cs="Times New Roman"/>
                <w:sz w:val="24"/>
                <w:szCs w:val="24"/>
                <w:lang w:eastAsia="zh-CN"/>
              </w:rPr>
              <w:t>严格按照开发利用方案要求开采矿石，不得满山坡采矿；剥离土层和松散、破碎地段时，减缓台阶最终坡面角，将坡面角控制在自然安息角允许范围内；剥离的岩土一部分回填到终了台阶上，应平整、压实；各台阶开采到</w:t>
            </w:r>
            <w:r>
              <w:rPr>
                <w:rFonts w:hint="eastAsia" w:cs="Times New Roman"/>
                <w:sz w:val="24"/>
                <w:szCs w:val="24"/>
                <w:lang w:eastAsia="zh-CN"/>
              </w:rPr>
              <w:t>临近</w:t>
            </w:r>
            <w:r>
              <w:rPr>
                <w:rFonts w:hint="eastAsia" w:ascii="Times New Roman" w:hAnsi="Times New Roman" w:eastAsia="宋体" w:cs="Times New Roman"/>
                <w:sz w:val="24"/>
                <w:szCs w:val="24"/>
                <w:lang w:eastAsia="zh-CN"/>
              </w:rPr>
              <w:t>最终边界时，必须按照设计确定的宽度预留安全、清扫平台，不得超挖坡底；</w:t>
            </w:r>
          </w:p>
          <w:p w14:paraId="3387D2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000000"/>
                <w:sz w:val="24"/>
                <w:lang w:eastAsia="zh-CN"/>
              </w:rPr>
            </w:pPr>
            <w:r>
              <w:rPr>
                <w:rFonts w:hint="eastAsia" w:ascii="Times New Roman" w:hAnsi="Times New Roman" w:eastAsia="宋体"/>
                <w:color w:val="000000"/>
                <w:sz w:val="24"/>
              </w:rPr>
              <w:t>②严格限制作业范围，开采过程中应减少占地，在采区控制的范围之内进行开采作业，严禁外扩采区范围，减少对植被的破坏面积；</w:t>
            </w:r>
            <w:r>
              <w:rPr>
                <w:rFonts w:hint="eastAsia" w:ascii="Times New Roman" w:hAnsi="Times New Roman" w:eastAsia="宋体"/>
                <w:color w:val="000000"/>
                <w:sz w:val="24"/>
                <w:lang w:eastAsia="zh-CN"/>
              </w:rPr>
              <w:t>设置安全平台。</w:t>
            </w:r>
          </w:p>
          <w:p w14:paraId="0E7C50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rPr>
            </w:pPr>
            <w:r>
              <w:rPr>
                <w:rFonts w:hint="eastAsia" w:ascii="Times New Roman" w:hAnsi="Times New Roman" w:eastAsia="宋体"/>
                <w:color w:val="000000"/>
                <w:sz w:val="24"/>
              </w:rPr>
              <w:t>③项目区雨季易引发水土流失，故需要在露天采坑周围设置截排水设施，防止各种水源进入采坑；采坑内应设集水池，防止大气降水聚集在采坑，若采坑内形成大面积积水，则应尽快排水并将其填平，采坑内积水抽出后优先用作生产用水；</w:t>
            </w:r>
          </w:p>
          <w:p w14:paraId="28CFEA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rPr>
            </w:pPr>
            <w:r>
              <w:rPr>
                <w:rFonts w:hint="eastAsia" w:ascii="Times New Roman" w:hAnsi="Times New Roman" w:eastAsia="宋体"/>
                <w:color w:val="000000"/>
                <w:sz w:val="24"/>
              </w:rPr>
              <w:t>④严格限制开采范围外扰动作业范围（在露天采场外围设置网围栏、警示牌），减少对植被的破坏面积；</w:t>
            </w:r>
          </w:p>
          <w:p w14:paraId="0ADF51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000000"/>
                <w:sz w:val="24"/>
              </w:rPr>
            </w:pPr>
            <w:r>
              <w:rPr>
                <w:rFonts w:hint="eastAsia" w:ascii="Times New Roman" w:hAnsi="Times New Roman" w:eastAsia="宋体"/>
                <w:color w:val="000000"/>
                <w:sz w:val="24"/>
              </w:rPr>
              <w:t>⑤派专人监督管理，严禁越界施工，更不允许随意占压植被，以尽量保持生态系统的完整性；严禁作业人员进入非作业区域，禁止追赶、猎捕野生动物，禁止焚烧植物等行为。</w:t>
            </w:r>
          </w:p>
          <w:p w14:paraId="0CB476C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2" w:firstLineChars="200"/>
              <w:textAlignment w:val="auto"/>
              <w:rPr>
                <w:rFonts w:hint="eastAsia" w:ascii="Times New Roman" w:hAnsi="Times New Roman" w:eastAsia="宋体" w:cs="Times New Roman"/>
                <w:b/>
                <w:bCs/>
                <w:kern w:val="2"/>
                <w:sz w:val="24"/>
                <w:szCs w:val="32"/>
                <w:lang w:val="en-US" w:eastAsia="zh-CN" w:bidi="ar-SA"/>
              </w:rPr>
            </w:pP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b/>
                <w:bCs/>
                <w:kern w:val="2"/>
                <w:sz w:val="24"/>
                <w:szCs w:val="32"/>
                <w:lang w:val="en-US" w:eastAsia="zh-CN" w:bidi="ar-SA"/>
              </w:rPr>
              <w:t>矿区外道路运输</w:t>
            </w:r>
            <w:r>
              <w:rPr>
                <w:rFonts w:hint="eastAsia" w:cs="Times New Roman"/>
                <w:b/>
                <w:bCs/>
                <w:kern w:val="2"/>
                <w:sz w:val="24"/>
                <w:szCs w:val="32"/>
                <w:lang w:val="en-US" w:eastAsia="zh-CN" w:bidi="ar-SA"/>
              </w:rPr>
              <w:t>污染</w:t>
            </w:r>
            <w:r>
              <w:rPr>
                <w:rFonts w:hint="eastAsia" w:ascii="Times New Roman" w:hAnsi="Times New Roman" w:eastAsia="宋体" w:cs="Times New Roman"/>
                <w:b/>
                <w:bCs/>
                <w:kern w:val="2"/>
                <w:sz w:val="24"/>
                <w:szCs w:val="32"/>
                <w:lang w:val="en-US" w:eastAsia="zh-CN" w:bidi="ar-SA"/>
              </w:rPr>
              <w:t>防治措施</w:t>
            </w:r>
          </w:p>
          <w:p w14:paraId="02073C7A">
            <w:pPr>
              <w:pStyle w:val="19"/>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0" w:firstLineChars="200"/>
              <w:textAlignment w:val="auto"/>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本项目外运输道路充分利用现有的通道，不需要另开辟运输道路，从而避免植被的压占，因此对生态影响较小。道路运输的环境影响主要为道路扬尘与散落石料形成二次污染的影响以及交通噪声的影响，此外车辆碾压对道路毁损的影响。</w:t>
            </w:r>
          </w:p>
          <w:p w14:paraId="4BF623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对此应采取措施进行防治：运输车辆应进行绿色运输，运输车辆应该密闭；对外路段应视情况进行洒水抑尘；车辆在村庄段时应限速低速行驶，禁鸣喇叭，限制夜间运输，严格控制超载，对毁损路段进行修复等，经采取以上措施后，可有效避免、减缓运输对道路及沿线村民出行交通便利与安全的影响。</w:t>
            </w:r>
          </w:p>
          <w:p w14:paraId="5C7DCA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b/>
                <w:bCs/>
                <w:color w:val="000000"/>
                <w:sz w:val="24"/>
                <w:lang w:val="en-US" w:eastAsia="zh-CN"/>
              </w:rPr>
            </w:pPr>
            <w:r>
              <w:rPr>
                <w:rFonts w:hint="eastAsia" w:ascii="Times New Roman" w:hAnsi="Times New Roman" w:eastAsia="宋体"/>
                <w:b/>
                <w:bCs/>
                <w:color w:val="000000"/>
                <w:sz w:val="24"/>
                <w:lang w:val="en-US" w:eastAsia="zh-CN"/>
              </w:rPr>
              <w:t>（3）排土</w:t>
            </w:r>
            <w:r>
              <w:rPr>
                <w:rFonts w:hint="eastAsia" w:ascii="Times New Roman" w:hAnsi="Times New Roman" w:eastAsia="宋体"/>
                <w:b/>
                <w:bCs/>
                <w:color w:val="000000"/>
                <w:sz w:val="24"/>
                <w:lang w:eastAsia="zh-CN"/>
              </w:rPr>
              <w:t>场</w:t>
            </w:r>
            <w:r>
              <w:rPr>
                <w:rFonts w:hint="eastAsia"/>
                <w:b/>
                <w:bCs/>
                <w:color w:val="000000"/>
                <w:sz w:val="24"/>
                <w:lang w:val="en-US" w:eastAsia="zh-CN"/>
              </w:rPr>
              <w:t>生态环境保护措施</w:t>
            </w:r>
          </w:p>
          <w:p w14:paraId="7BE8985E">
            <w:pPr>
              <w:keepNext w:val="0"/>
              <w:keepLines w:val="0"/>
              <w:widowControl/>
              <w:suppressLineNumbers w:val="0"/>
              <w:jc w:val="left"/>
              <w:rPr>
                <w:rFonts w:hint="eastAsia" w:cs="Times New Roman"/>
                <w:color w:val="0000FC"/>
                <w:kern w:val="0"/>
                <w:sz w:val="24"/>
                <w:szCs w:val="24"/>
                <w:lang w:val="en-US" w:eastAsia="zh-CN" w:bidi="ar"/>
              </w:rPr>
            </w:pPr>
            <w:r>
              <w:rPr>
                <w:rFonts w:hint="eastAsia"/>
                <w:color w:val="0000FC"/>
                <w:sz w:val="24"/>
                <w:highlight w:val="none"/>
                <w:lang w:val="en-US" w:eastAsia="zh-CN"/>
              </w:rPr>
              <w:t>根据矿山开采方式及开发时序，通过开采终了剖面图可知，项目在山顶从上而下进行开采，第一平台高度为15m，由于最终台阶坡面角为50</w:t>
            </w:r>
            <w:r>
              <w:rPr>
                <w:rFonts w:hint="default" w:ascii="Times New Roman" w:hAnsi="Times New Roman" w:eastAsia="宋体" w:cs="Times New Roman"/>
                <w:color w:val="0000FC"/>
                <w:kern w:val="0"/>
                <w:sz w:val="24"/>
                <w:szCs w:val="24"/>
                <w:lang w:val="en-US" w:eastAsia="zh-CN" w:bidi="ar"/>
              </w:rPr>
              <w:t>°</w:t>
            </w:r>
            <w:r>
              <w:rPr>
                <w:rFonts w:hint="eastAsia" w:cs="Times New Roman"/>
                <w:color w:val="0000FC"/>
                <w:kern w:val="0"/>
                <w:sz w:val="24"/>
                <w:szCs w:val="24"/>
                <w:lang w:val="en-US" w:eastAsia="zh-CN" w:bidi="ar"/>
              </w:rPr>
              <w:t>，根据数学计算，第一平台矿石储量约为2486m</w:t>
            </w:r>
            <w:r>
              <w:rPr>
                <w:rFonts w:hint="eastAsia" w:cs="Times New Roman"/>
                <w:color w:val="0000FC"/>
                <w:kern w:val="0"/>
                <w:sz w:val="24"/>
                <w:szCs w:val="24"/>
                <w:vertAlign w:val="superscript"/>
                <w:lang w:val="en-US" w:eastAsia="zh-CN" w:bidi="ar"/>
              </w:rPr>
              <w:t>3</w:t>
            </w:r>
            <w:r>
              <w:rPr>
                <w:rFonts w:hint="eastAsia" w:cs="Times New Roman"/>
                <w:color w:val="0000FC"/>
                <w:kern w:val="0"/>
                <w:sz w:val="24"/>
                <w:szCs w:val="24"/>
                <w:lang w:val="en-US" w:eastAsia="zh-CN" w:bidi="ar"/>
              </w:rPr>
              <w:t>，由于年开采量为100万m</w:t>
            </w:r>
            <w:r>
              <w:rPr>
                <w:rFonts w:hint="eastAsia" w:cs="Times New Roman"/>
                <w:color w:val="0000FC"/>
                <w:kern w:val="0"/>
                <w:sz w:val="24"/>
                <w:szCs w:val="24"/>
                <w:vertAlign w:val="superscript"/>
                <w:lang w:val="en-US" w:eastAsia="zh-CN" w:bidi="ar"/>
              </w:rPr>
              <w:t>3</w:t>
            </w:r>
            <w:r>
              <w:rPr>
                <w:rFonts w:hint="eastAsia" w:cs="Times New Roman"/>
                <w:color w:val="0000FC"/>
                <w:kern w:val="0"/>
                <w:sz w:val="24"/>
                <w:szCs w:val="24"/>
                <w:lang w:val="en-US" w:eastAsia="zh-CN" w:bidi="ar"/>
              </w:rPr>
              <w:t>，年工作天数为250天，则每日开采量为4000m</w:t>
            </w:r>
            <w:r>
              <w:rPr>
                <w:rFonts w:hint="eastAsia" w:cs="Times New Roman"/>
                <w:color w:val="0000FC"/>
                <w:kern w:val="0"/>
                <w:sz w:val="24"/>
                <w:szCs w:val="24"/>
                <w:vertAlign w:val="superscript"/>
                <w:lang w:val="en-US" w:eastAsia="zh-CN" w:bidi="ar"/>
              </w:rPr>
              <w:t>3</w:t>
            </w:r>
            <w:r>
              <w:rPr>
                <w:rFonts w:hint="eastAsia" w:cs="Times New Roman"/>
                <w:color w:val="0000FC"/>
                <w:kern w:val="0"/>
                <w:sz w:val="24"/>
                <w:szCs w:val="24"/>
                <w:lang w:val="en-US" w:eastAsia="zh-CN" w:bidi="ar"/>
              </w:rPr>
              <w:t>，则第一平台开采所需时间为5h。</w:t>
            </w:r>
          </w:p>
          <w:p w14:paraId="0117C0CE">
            <w:pPr>
              <w:keepNext w:val="0"/>
              <w:keepLines w:val="0"/>
              <w:widowControl/>
              <w:suppressLineNumbers w:val="0"/>
              <w:jc w:val="left"/>
              <w:rPr>
                <w:rFonts w:hint="default"/>
                <w:color w:val="0000FC"/>
                <w:sz w:val="24"/>
                <w:highlight w:val="none"/>
                <w:lang w:val="en-US" w:eastAsia="zh-CN"/>
              </w:rPr>
            </w:pPr>
            <w:r>
              <w:rPr>
                <w:rFonts w:hint="eastAsia" w:cs="Times New Roman"/>
                <w:color w:val="0000FC"/>
                <w:kern w:val="0"/>
                <w:sz w:val="24"/>
                <w:szCs w:val="24"/>
                <w:lang w:val="en-US" w:eastAsia="zh-CN" w:bidi="ar"/>
              </w:rPr>
              <w:t>开采区需进行表土剥离，根据实测地形图及地质界线圈定出表土覆盖范围，</w:t>
            </w:r>
            <w:r>
              <w:rPr>
                <w:rFonts w:hint="eastAsia" w:cs="Times New Roman"/>
                <w:b w:val="0"/>
                <w:bCs w:val="0"/>
                <w:color w:val="0000FC"/>
                <w:kern w:val="0"/>
                <w:sz w:val="24"/>
                <w:szCs w:val="24"/>
                <w:lang w:val="en-US" w:eastAsia="zh-CN" w:bidi="ar"/>
              </w:rPr>
              <w:t>剥离表</w:t>
            </w:r>
            <w:r>
              <w:rPr>
                <w:rFonts w:hint="eastAsia" w:ascii="Times New Roman" w:hAnsi="Times New Roman" w:eastAsia="宋体" w:cs="Times New Roman"/>
                <w:b w:val="0"/>
                <w:bCs w:val="0"/>
                <w:color w:val="0000FC"/>
                <w:kern w:val="0"/>
                <w:sz w:val="24"/>
                <w:szCs w:val="24"/>
                <w:lang w:val="en-US" w:eastAsia="zh-CN" w:bidi="ar"/>
              </w:rPr>
              <w:t>土平均厚度按</w:t>
            </w:r>
            <w:r>
              <w:rPr>
                <w:rFonts w:hint="default" w:ascii="Times New Roman" w:hAnsi="Times New Roman" w:eastAsia="宋体" w:cs="Times New Roman"/>
                <w:b w:val="0"/>
                <w:bCs w:val="0"/>
                <w:color w:val="0000FC"/>
                <w:kern w:val="0"/>
                <w:sz w:val="24"/>
                <w:szCs w:val="24"/>
                <w:lang w:val="en-US" w:eastAsia="zh-CN" w:bidi="ar"/>
              </w:rPr>
              <w:t>5m</w:t>
            </w:r>
            <w:r>
              <w:rPr>
                <w:rFonts w:hint="eastAsia" w:ascii="Times New Roman" w:hAnsi="Times New Roman" w:eastAsia="宋体" w:cs="Times New Roman"/>
                <w:b w:val="0"/>
                <w:bCs w:val="0"/>
                <w:color w:val="0000FC"/>
                <w:kern w:val="0"/>
                <w:sz w:val="24"/>
                <w:szCs w:val="24"/>
                <w:lang w:val="en-US" w:eastAsia="zh-CN" w:bidi="ar"/>
              </w:rPr>
              <w:t>考虑进行计算，</w:t>
            </w:r>
            <w:r>
              <w:rPr>
                <w:rFonts w:hint="eastAsia" w:cs="Times New Roman"/>
                <w:b w:val="0"/>
                <w:bCs w:val="0"/>
                <w:color w:val="0000FC"/>
                <w:kern w:val="0"/>
                <w:sz w:val="24"/>
                <w:szCs w:val="24"/>
                <w:lang w:val="en-US" w:eastAsia="zh-CN" w:bidi="ar"/>
              </w:rPr>
              <w:t>第一平台</w:t>
            </w:r>
            <w:r>
              <w:rPr>
                <w:rFonts w:hint="eastAsia" w:ascii="Times New Roman" w:hAnsi="Times New Roman" w:eastAsia="宋体" w:cs="Times New Roman"/>
                <w:b w:val="0"/>
                <w:bCs w:val="0"/>
                <w:color w:val="0000FC"/>
                <w:kern w:val="0"/>
                <w:sz w:val="24"/>
                <w:szCs w:val="24"/>
                <w:lang w:val="en-US" w:eastAsia="zh-CN" w:bidi="ar"/>
              </w:rPr>
              <w:t>剥离量为497.2</w:t>
            </w:r>
            <w:r>
              <w:rPr>
                <w:rFonts w:hint="default" w:ascii="Times New Roman" w:hAnsi="Times New Roman" w:eastAsia="宋体" w:cs="Times New Roman"/>
                <w:b w:val="0"/>
                <w:bCs w:val="0"/>
                <w:color w:val="0000FC"/>
                <w:kern w:val="0"/>
                <w:sz w:val="24"/>
                <w:szCs w:val="24"/>
                <w:lang w:val="en-US" w:eastAsia="zh-CN" w:bidi="ar"/>
              </w:rPr>
              <w:t>m</w:t>
            </w:r>
            <w:r>
              <w:rPr>
                <w:rFonts w:hint="default" w:ascii="Times New Roman" w:hAnsi="Times New Roman" w:eastAsia="宋体" w:cs="Times New Roman"/>
                <w:b w:val="0"/>
                <w:bCs w:val="0"/>
                <w:color w:val="0000FC"/>
                <w:kern w:val="0"/>
                <w:sz w:val="24"/>
                <w:szCs w:val="24"/>
                <w:vertAlign w:val="superscript"/>
                <w:lang w:val="en-US" w:eastAsia="zh-CN" w:bidi="ar"/>
              </w:rPr>
              <w:t>3</w:t>
            </w:r>
            <w:r>
              <w:rPr>
                <w:rFonts w:hint="eastAsia" w:ascii="Times New Roman" w:hAnsi="Times New Roman" w:eastAsia="宋体" w:cs="Times New Roman"/>
                <w:b w:val="0"/>
                <w:bCs w:val="0"/>
                <w:color w:val="0000FC"/>
                <w:kern w:val="0"/>
                <w:sz w:val="24"/>
                <w:szCs w:val="24"/>
                <w:lang w:val="en-US" w:eastAsia="zh-CN" w:bidi="ar"/>
              </w:rPr>
              <w:t>，剥采比为</w:t>
            </w:r>
            <w:r>
              <w:rPr>
                <w:rFonts w:hint="default" w:ascii="Times New Roman" w:hAnsi="Times New Roman" w:eastAsia="宋体" w:cs="Times New Roman"/>
                <w:b w:val="0"/>
                <w:bCs w:val="0"/>
                <w:color w:val="0000FC"/>
                <w:kern w:val="0"/>
                <w:sz w:val="24"/>
                <w:szCs w:val="24"/>
                <w:lang w:val="en-US" w:eastAsia="zh-CN" w:bidi="ar"/>
              </w:rPr>
              <w:t>0.2</w:t>
            </w:r>
            <w:r>
              <w:rPr>
                <w:rFonts w:hint="eastAsia" w:ascii="Times New Roman" w:hAnsi="Times New Roman" w:eastAsia="宋体" w:cs="Times New Roman"/>
                <w:b w:val="0"/>
                <w:bCs w:val="0"/>
                <w:color w:val="0000FC"/>
                <w:kern w:val="0"/>
                <w:sz w:val="24"/>
                <w:szCs w:val="24"/>
                <w:lang w:val="en-US" w:eastAsia="zh-CN" w:bidi="ar"/>
              </w:rPr>
              <w:t>∶</w:t>
            </w:r>
            <w:r>
              <w:rPr>
                <w:rFonts w:hint="default" w:ascii="Times New Roman" w:hAnsi="Times New Roman" w:eastAsia="宋体" w:cs="Times New Roman"/>
                <w:b w:val="0"/>
                <w:bCs w:val="0"/>
                <w:color w:val="0000FC"/>
                <w:kern w:val="0"/>
                <w:sz w:val="24"/>
                <w:szCs w:val="24"/>
                <w:lang w:val="en-US" w:eastAsia="zh-CN" w:bidi="ar"/>
              </w:rPr>
              <w:t>1</w:t>
            </w:r>
            <w:r>
              <w:rPr>
                <w:rFonts w:hint="eastAsia" w:ascii="Times New Roman" w:hAnsi="Times New Roman" w:eastAsia="宋体" w:cs="Times New Roman"/>
                <w:b w:val="0"/>
                <w:bCs w:val="0"/>
                <w:color w:val="0000FC"/>
                <w:kern w:val="0"/>
                <w:sz w:val="24"/>
                <w:szCs w:val="24"/>
                <w:lang w:val="en-US" w:eastAsia="zh-CN" w:bidi="ar"/>
              </w:rPr>
              <w:t>（</w:t>
            </w:r>
            <w:r>
              <w:rPr>
                <w:rFonts w:hint="default" w:ascii="Times New Roman" w:hAnsi="Times New Roman" w:eastAsia="宋体" w:cs="Times New Roman"/>
                <w:b w:val="0"/>
                <w:bCs w:val="0"/>
                <w:color w:val="0000FC"/>
                <w:kern w:val="0"/>
                <w:sz w:val="24"/>
                <w:szCs w:val="24"/>
                <w:lang w:val="en-US" w:eastAsia="zh-CN" w:bidi="ar"/>
              </w:rPr>
              <w:t>m3/m</w:t>
            </w:r>
            <w:r>
              <w:rPr>
                <w:rFonts w:hint="default" w:ascii="Times New Roman" w:hAnsi="Times New Roman" w:eastAsia="宋体" w:cs="Times New Roman"/>
                <w:b w:val="0"/>
                <w:bCs w:val="0"/>
                <w:color w:val="0000FC"/>
                <w:kern w:val="0"/>
                <w:sz w:val="24"/>
                <w:szCs w:val="24"/>
                <w:vertAlign w:val="superscript"/>
                <w:lang w:val="en-US" w:eastAsia="zh-CN" w:bidi="ar"/>
              </w:rPr>
              <w:t>3</w:t>
            </w:r>
            <w:r>
              <w:rPr>
                <w:rFonts w:hint="eastAsia" w:ascii="Times New Roman" w:hAnsi="Times New Roman" w:eastAsia="宋体" w:cs="Times New Roman"/>
                <w:b w:val="0"/>
                <w:bCs w:val="0"/>
                <w:color w:val="0000FC"/>
                <w:kern w:val="0"/>
                <w:sz w:val="24"/>
                <w:szCs w:val="24"/>
                <w:lang w:val="en-US" w:eastAsia="zh-CN" w:bidi="ar"/>
              </w:rPr>
              <w:t>）</w:t>
            </w:r>
            <w:r>
              <w:rPr>
                <w:rFonts w:hint="eastAsia" w:cs="Times New Roman"/>
                <w:b w:val="0"/>
                <w:bCs w:val="0"/>
                <w:color w:val="0000FC"/>
                <w:kern w:val="0"/>
                <w:sz w:val="24"/>
                <w:szCs w:val="24"/>
                <w:lang w:val="en-US" w:eastAsia="zh-CN" w:bidi="ar"/>
              </w:rPr>
              <w:t>，剥离的表土堆置东侧排土场</w:t>
            </w:r>
            <w:r>
              <w:rPr>
                <w:rFonts w:hint="eastAsia" w:ascii="Times New Roman" w:hAnsi="Times New Roman" w:eastAsia="宋体" w:cs="Times New Roman"/>
                <w:b w:val="0"/>
                <w:bCs w:val="0"/>
                <w:color w:val="0000FC"/>
                <w:kern w:val="0"/>
                <w:sz w:val="24"/>
                <w:szCs w:val="24"/>
                <w:lang w:val="en-US" w:eastAsia="zh-CN" w:bidi="ar"/>
              </w:rPr>
              <w:t>，</w:t>
            </w:r>
            <w:r>
              <w:rPr>
                <w:rFonts w:hint="eastAsia" w:cs="Times New Roman"/>
                <w:color w:val="0000FC"/>
                <w:kern w:val="0"/>
                <w:sz w:val="24"/>
                <w:szCs w:val="24"/>
                <w:lang w:val="en-US" w:eastAsia="zh-CN" w:bidi="ar"/>
              </w:rPr>
              <w:t>第一平台开采结束后进行第二平台的开采，第二平台开采前也需进行表土剥离，将第二平台剥离的表土及时回覆至第一平台，并及时对已终了平台进行植被恢复，将回覆后剩余的表土堆存至东侧排土场。第二平台开采时产生的废石及时堆存至西侧排土场，并用于后期的生态恢复。后续平台开采方式及恢复如上一致，</w:t>
            </w:r>
            <w:r>
              <w:rPr>
                <w:rFonts w:hint="eastAsia" w:cs="Times New Roman"/>
                <w:b w:val="0"/>
                <w:bCs w:val="0"/>
                <w:color w:val="0000FC"/>
                <w:sz w:val="24"/>
                <w:szCs w:val="24"/>
                <w:highlight w:val="none"/>
                <w:lang w:val="en-US" w:eastAsia="zh-CN"/>
              </w:rPr>
              <w:t>矿山表土剥离厚度平均按5m计算，</w:t>
            </w:r>
            <w:r>
              <w:rPr>
                <w:rFonts w:hint="eastAsia" w:cs="Times New Roman"/>
                <w:color w:val="0000FC"/>
                <w:kern w:val="0"/>
                <w:sz w:val="24"/>
                <w:szCs w:val="24"/>
                <w:lang w:val="en-US" w:eastAsia="zh-CN" w:bidi="ar"/>
              </w:rPr>
              <w:t>矿山整体表土剥离量为</w:t>
            </w:r>
            <w:r>
              <w:rPr>
                <w:rFonts w:hint="default" w:cs="Times New Roman"/>
                <w:color w:val="0000FC"/>
                <w:kern w:val="0"/>
                <w:sz w:val="24"/>
                <w:szCs w:val="24"/>
                <w:lang w:val="en-US" w:eastAsia="zh-CN" w:bidi="ar"/>
              </w:rPr>
              <w:t>100.77</w:t>
            </w:r>
            <w:r>
              <w:rPr>
                <w:rFonts w:hint="eastAsia" w:cs="Times New Roman"/>
                <w:color w:val="0000FC"/>
                <w:kern w:val="0"/>
                <w:sz w:val="24"/>
                <w:szCs w:val="24"/>
                <w:lang w:val="en-US" w:eastAsia="zh-CN" w:bidi="ar"/>
              </w:rPr>
              <w:t>万</w:t>
            </w:r>
            <w:r>
              <w:rPr>
                <w:rFonts w:hint="default" w:cs="Times New Roman"/>
                <w:color w:val="0000FC"/>
                <w:kern w:val="0"/>
                <w:sz w:val="24"/>
                <w:szCs w:val="24"/>
                <w:lang w:val="en-US" w:eastAsia="zh-CN" w:bidi="ar"/>
              </w:rPr>
              <w:t>m</w:t>
            </w:r>
            <w:r>
              <w:rPr>
                <w:rFonts w:hint="default" w:cs="Times New Roman"/>
                <w:color w:val="0000FC"/>
                <w:kern w:val="0"/>
                <w:sz w:val="24"/>
                <w:szCs w:val="24"/>
                <w:vertAlign w:val="superscript"/>
                <w:lang w:val="en-US" w:eastAsia="zh-CN" w:bidi="ar"/>
              </w:rPr>
              <w:t>3</w:t>
            </w:r>
            <w:r>
              <w:rPr>
                <w:rFonts w:hint="eastAsia" w:cs="Times New Roman"/>
                <w:color w:val="0000FC"/>
                <w:kern w:val="0"/>
                <w:sz w:val="24"/>
                <w:szCs w:val="24"/>
                <w:lang w:val="en-US" w:eastAsia="zh-CN" w:bidi="ar"/>
              </w:rPr>
              <w:t>，剥采比为</w:t>
            </w:r>
            <w:r>
              <w:rPr>
                <w:rFonts w:hint="default" w:cs="Times New Roman"/>
                <w:color w:val="0000FC"/>
                <w:kern w:val="0"/>
                <w:sz w:val="24"/>
                <w:szCs w:val="24"/>
                <w:lang w:val="en-US" w:eastAsia="zh-CN" w:bidi="ar"/>
              </w:rPr>
              <w:t>0.2</w:t>
            </w:r>
            <w:r>
              <w:rPr>
                <w:rFonts w:hint="eastAsia" w:cs="Times New Roman"/>
                <w:color w:val="0000FC"/>
                <w:kern w:val="0"/>
                <w:sz w:val="24"/>
                <w:szCs w:val="24"/>
                <w:lang w:val="en-US" w:eastAsia="zh-CN" w:bidi="ar"/>
              </w:rPr>
              <w:t>∶</w:t>
            </w:r>
            <w:r>
              <w:rPr>
                <w:rFonts w:hint="default" w:cs="Times New Roman"/>
                <w:color w:val="0000FC"/>
                <w:kern w:val="0"/>
                <w:sz w:val="24"/>
                <w:szCs w:val="24"/>
                <w:lang w:val="en-US" w:eastAsia="zh-CN" w:bidi="ar"/>
              </w:rPr>
              <w:t>1</w:t>
            </w:r>
            <w:r>
              <w:rPr>
                <w:rFonts w:hint="eastAsia" w:cs="Times New Roman"/>
                <w:color w:val="0000FC"/>
                <w:kern w:val="0"/>
                <w:sz w:val="24"/>
                <w:szCs w:val="24"/>
                <w:lang w:val="en-US" w:eastAsia="zh-CN" w:bidi="ar"/>
              </w:rPr>
              <w:t>（</w:t>
            </w:r>
            <w:r>
              <w:rPr>
                <w:rFonts w:hint="default" w:cs="Times New Roman"/>
                <w:color w:val="0000FC"/>
                <w:kern w:val="0"/>
                <w:sz w:val="24"/>
                <w:szCs w:val="24"/>
                <w:lang w:val="en-US" w:eastAsia="zh-CN" w:bidi="ar"/>
              </w:rPr>
              <w:t>m</w:t>
            </w:r>
            <w:r>
              <w:rPr>
                <w:rFonts w:hint="default" w:cs="Times New Roman"/>
                <w:color w:val="0000FC"/>
                <w:kern w:val="0"/>
                <w:sz w:val="24"/>
                <w:szCs w:val="24"/>
                <w:vertAlign w:val="superscript"/>
                <w:lang w:val="en-US" w:eastAsia="zh-CN" w:bidi="ar"/>
              </w:rPr>
              <w:t>3</w:t>
            </w:r>
            <w:r>
              <w:rPr>
                <w:rFonts w:hint="default" w:cs="Times New Roman"/>
                <w:color w:val="0000FC"/>
                <w:kern w:val="0"/>
                <w:sz w:val="24"/>
                <w:szCs w:val="24"/>
                <w:lang w:val="en-US" w:eastAsia="zh-CN" w:bidi="ar"/>
              </w:rPr>
              <w:t>/m</w:t>
            </w:r>
            <w:r>
              <w:rPr>
                <w:rFonts w:hint="default" w:cs="Times New Roman"/>
                <w:color w:val="0000FC"/>
                <w:kern w:val="0"/>
                <w:sz w:val="24"/>
                <w:szCs w:val="24"/>
                <w:vertAlign w:val="superscript"/>
                <w:lang w:val="en-US" w:eastAsia="zh-CN" w:bidi="ar"/>
              </w:rPr>
              <w:t>3</w:t>
            </w:r>
            <w:r>
              <w:rPr>
                <w:rFonts w:hint="eastAsia" w:cs="Times New Roman"/>
                <w:color w:val="0000FC"/>
                <w:kern w:val="0"/>
                <w:sz w:val="24"/>
                <w:szCs w:val="24"/>
                <w:lang w:val="en-US" w:eastAsia="zh-CN" w:bidi="ar"/>
              </w:rPr>
              <w:t>），</w:t>
            </w:r>
            <w:r>
              <w:rPr>
                <w:rFonts w:hint="eastAsia" w:ascii="宋体" w:hAnsi="宋体" w:eastAsia="宋体" w:cs="宋体"/>
                <w:color w:val="0000FC"/>
                <w:kern w:val="0"/>
                <w:sz w:val="24"/>
                <w:szCs w:val="24"/>
                <w:lang w:val="en-US" w:eastAsia="zh-CN" w:bidi="ar"/>
              </w:rPr>
              <w:t>采取“边开采、边恢复”的措施，对已终了平台及时复垦、绿化，下一台阶剥离表土用于上一台阶的植被恢复覆土，仅少量剩余表土堆放于排土场；矿山</w:t>
            </w:r>
            <w:r>
              <w:rPr>
                <w:rFonts w:hint="eastAsia" w:ascii="宋体" w:hAnsi="宋体" w:cs="宋体"/>
                <w:color w:val="0000FC"/>
                <w:kern w:val="0"/>
                <w:sz w:val="24"/>
                <w:szCs w:val="24"/>
                <w:lang w:val="en-US" w:eastAsia="zh-CN" w:bidi="ar"/>
              </w:rPr>
              <w:t>闭矿</w:t>
            </w:r>
            <w:r>
              <w:rPr>
                <w:rFonts w:hint="eastAsia" w:ascii="宋体" w:hAnsi="宋体" w:eastAsia="宋体" w:cs="宋体"/>
                <w:color w:val="0000FC"/>
                <w:kern w:val="0"/>
                <w:sz w:val="24"/>
                <w:szCs w:val="24"/>
                <w:lang w:val="en-US" w:eastAsia="zh-CN" w:bidi="ar"/>
              </w:rPr>
              <w:t>后及时进行土地复垦、植被恢复。</w:t>
            </w:r>
          </w:p>
          <w:p w14:paraId="02900352">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color w:val="0000FC"/>
                <w:sz w:val="24"/>
                <w:highlight w:val="none"/>
                <w:lang w:val="en-US" w:eastAsia="zh-CN"/>
              </w:rPr>
              <w:t>排土场堆存的固体废弃物主要是第一平台开采前剥离表土和废石、矿山道路剥离表土和废石、加工区剥离表土、办公生活区剥离表土、成品堆场剥离表土等。</w:t>
            </w:r>
            <w:r>
              <w:rPr>
                <w:rFonts w:hint="eastAsia" w:ascii="Times New Roman" w:hAnsi="Times New Roman" w:eastAsia="宋体"/>
                <w:color w:val="auto"/>
                <w:sz w:val="24"/>
                <w:highlight w:val="none"/>
                <w:lang w:val="en-US" w:eastAsia="zh-CN"/>
              </w:rPr>
              <w:t>排土场采用防尘网覆盖。排土</w:t>
            </w:r>
            <w:r>
              <w:rPr>
                <w:rFonts w:hint="eastAsia" w:ascii="Times New Roman" w:hAnsi="Times New Roman" w:eastAsia="宋体"/>
                <w:color w:val="auto"/>
                <w:sz w:val="24"/>
                <w:highlight w:val="none"/>
              </w:rPr>
              <w:t>场内的废石要及时回填采坑，不得长时间堆存。</w:t>
            </w:r>
            <w:r>
              <w:rPr>
                <w:rFonts w:hint="eastAsia" w:ascii="宋体" w:hAnsi="宋体" w:eastAsia="宋体" w:cs="宋体"/>
                <w:color w:val="auto"/>
                <w:kern w:val="0"/>
                <w:sz w:val="24"/>
                <w:szCs w:val="24"/>
                <w:lang w:val="en-US" w:eastAsia="zh-CN" w:bidi="ar"/>
              </w:rPr>
              <w:t>对排土场先挡后堆，先修筑挡土墙后进行表土堆积，生产过程中产生的废石等不得随意堆放，定期回填至矿区西侧排土场。矿区东侧排土场主要用于堆放剥离表土，</w:t>
            </w:r>
          </w:p>
          <w:p w14:paraId="01D3469C">
            <w:pPr>
              <w:keepNext w:val="0"/>
              <w:keepLines w:val="0"/>
              <w:widowControl/>
              <w:suppressLineNumbers w:val="0"/>
              <w:jc w:val="left"/>
              <w:rPr>
                <w:rFonts w:hint="eastAsia" w:ascii="Times New Roman" w:hAnsi="Times New Roman" w:eastAsia="宋体"/>
                <w:b/>
                <w:bCs/>
                <w:color w:val="000000"/>
                <w:sz w:val="24"/>
                <w:lang w:eastAsia="zh-CN"/>
              </w:rPr>
            </w:pPr>
            <w:r>
              <w:rPr>
                <w:rFonts w:hint="eastAsia" w:ascii="宋体" w:hAnsi="宋体" w:eastAsia="宋体" w:cs="宋体"/>
                <w:color w:val="auto"/>
                <w:kern w:val="0"/>
                <w:sz w:val="24"/>
                <w:szCs w:val="24"/>
                <w:lang w:val="en-US" w:eastAsia="zh-CN" w:bidi="ar"/>
              </w:rPr>
              <w:t>西侧排土场设于矿区西侧的低洼沟谷内，占地面积</w:t>
            </w:r>
            <w:r>
              <w:rPr>
                <w:rFonts w:hint="default" w:ascii="Times New Roman" w:hAnsi="Times New Roman" w:eastAsia="宋体" w:cs="Times New Roman"/>
                <w:color w:val="auto"/>
                <w:kern w:val="0"/>
                <w:sz w:val="24"/>
                <w:szCs w:val="24"/>
                <w:lang w:val="en-US" w:eastAsia="zh-CN" w:bidi="ar"/>
              </w:rPr>
              <w:t>2.5973hm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，西侧排土场废渣废料及风化层堆放形成的边坡为人工边坡（</w:t>
            </w:r>
            <w:r>
              <w:rPr>
                <w:rFonts w:hint="default" w:ascii="Times New Roman" w:hAnsi="Times New Roman" w:eastAsia="宋体" w:cs="Times New Roman"/>
                <w:color w:val="auto"/>
                <w:kern w:val="0"/>
                <w:sz w:val="24"/>
                <w:szCs w:val="24"/>
                <w:lang w:val="en-US" w:eastAsia="zh-CN" w:bidi="ar"/>
              </w:rPr>
              <w:t>Q</w:t>
            </w:r>
            <w:r>
              <w:rPr>
                <w:rFonts w:hint="default" w:ascii="Times New Roman" w:hAnsi="Times New Roman" w:eastAsia="宋体" w:cs="Times New Roman"/>
                <w:color w:val="auto"/>
                <w:kern w:val="0"/>
                <w:sz w:val="15"/>
                <w:szCs w:val="15"/>
                <w:lang w:val="en-US" w:eastAsia="zh-CN" w:bidi="ar"/>
              </w:rPr>
              <w:t>y2</w:t>
            </w:r>
            <w:r>
              <w:rPr>
                <w:rFonts w:hint="eastAsia" w:ascii="宋体" w:hAnsi="宋体" w:eastAsia="宋体" w:cs="宋体"/>
                <w:color w:val="auto"/>
                <w:kern w:val="0"/>
                <w:sz w:val="24"/>
                <w:szCs w:val="24"/>
                <w:lang w:val="en-US" w:eastAsia="zh-CN" w:bidi="ar"/>
              </w:rPr>
              <w:t>），排土场设计堆排时分层进行堆排，单层堆排高度不超过</w:t>
            </w:r>
            <w:r>
              <w:rPr>
                <w:rFonts w:hint="default" w:ascii="Times New Roman" w:hAnsi="Times New Roman" w:eastAsia="宋体" w:cs="Times New Roman"/>
                <w:color w:val="auto"/>
                <w:kern w:val="0"/>
                <w:sz w:val="24"/>
                <w:szCs w:val="24"/>
                <w:lang w:val="en-US" w:eastAsia="zh-CN" w:bidi="ar"/>
              </w:rPr>
              <w:t>8m</w:t>
            </w:r>
            <w:r>
              <w:rPr>
                <w:rFonts w:hint="eastAsia" w:ascii="宋体" w:hAnsi="宋体" w:eastAsia="宋体" w:cs="宋体"/>
                <w:color w:val="auto"/>
                <w:kern w:val="0"/>
                <w:sz w:val="24"/>
                <w:szCs w:val="24"/>
                <w:lang w:val="en-US" w:eastAsia="zh-CN" w:bidi="ar"/>
              </w:rPr>
              <w:t>，最终堆排总高度不超过</w:t>
            </w:r>
            <w:r>
              <w:rPr>
                <w:rFonts w:hint="default" w:ascii="Times New Roman" w:hAnsi="Times New Roman" w:eastAsia="宋体" w:cs="Times New Roman"/>
                <w:color w:val="auto"/>
                <w:kern w:val="0"/>
                <w:sz w:val="24"/>
                <w:szCs w:val="24"/>
                <w:lang w:val="en-US" w:eastAsia="zh-CN" w:bidi="ar"/>
              </w:rPr>
              <w:t>30m</w:t>
            </w:r>
            <w:r>
              <w:rPr>
                <w:rFonts w:hint="eastAsia" w:ascii="宋体" w:hAnsi="宋体" w:eastAsia="宋体" w:cs="宋体"/>
                <w:color w:val="auto"/>
                <w:kern w:val="0"/>
                <w:sz w:val="24"/>
                <w:szCs w:val="24"/>
                <w:lang w:val="en-US" w:eastAsia="zh-CN" w:bidi="ar"/>
              </w:rPr>
              <w:t>，实际堆排总高度结合矿山生产时实际排土量进行确定，最终帮坡角按照自然安息角不超过</w:t>
            </w:r>
            <w:r>
              <w:rPr>
                <w:rFonts w:hint="default" w:ascii="Times New Roman" w:hAnsi="Times New Roman" w:eastAsia="宋体" w:cs="Times New Roman"/>
                <w:color w:val="auto"/>
                <w:kern w:val="0"/>
                <w:sz w:val="24"/>
                <w:szCs w:val="24"/>
                <w:lang w:val="en-US" w:eastAsia="zh-CN" w:bidi="ar"/>
              </w:rPr>
              <w:t>30°</w:t>
            </w:r>
            <w:r>
              <w:rPr>
                <w:rFonts w:hint="eastAsia" w:cs="Times New Roman"/>
                <w:color w:val="auto"/>
                <w:kern w:val="0"/>
                <w:sz w:val="24"/>
                <w:szCs w:val="24"/>
                <w:lang w:val="en-US" w:eastAsia="zh-CN" w:bidi="ar"/>
              </w:rPr>
              <w:t>排筑</w:t>
            </w:r>
            <w:r>
              <w:rPr>
                <w:rFonts w:hint="eastAsia" w:ascii="宋体" w:hAnsi="宋体" w:cs="宋体"/>
                <w:color w:val="auto"/>
                <w:kern w:val="0"/>
                <w:sz w:val="24"/>
                <w:szCs w:val="24"/>
                <w:lang w:val="en-US" w:eastAsia="zh-CN" w:bidi="ar"/>
              </w:rPr>
              <w:t>。</w:t>
            </w:r>
            <w:r>
              <w:rPr>
                <w:rFonts w:hint="eastAsia" w:ascii="Times New Roman" w:hAnsi="Times New Roman" w:eastAsia="宋体"/>
                <w:b/>
                <w:bCs/>
                <w:color w:val="000000"/>
                <w:sz w:val="24"/>
                <w:lang w:eastAsia="zh-CN"/>
              </w:rPr>
              <w:drawing>
                <wp:inline distT="0" distB="0" distL="114300" distR="114300">
                  <wp:extent cx="5113020" cy="1622425"/>
                  <wp:effectExtent l="0" t="0" r="11430" b="15875"/>
                  <wp:docPr id="3" name="图片 47" descr="ec9822594eeb6acbdce836deeed4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7" descr="ec9822594eeb6acbdce836deeed43d2"/>
                          <pic:cNvPicPr>
                            <a:picLocks noChangeAspect="1"/>
                          </pic:cNvPicPr>
                        </pic:nvPicPr>
                        <pic:blipFill>
                          <a:blip r:embed="rId19"/>
                          <a:stretch>
                            <a:fillRect/>
                          </a:stretch>
                        </pic:blipFill>
                        <pic:spPr>
                          <a:xfrm>
                            <a:off x="0" y="0"/>
                            <a:ext cx="5113020" cy="1622425"/>
                          </a:xfrm>
                          <a:prstGeom prst="rect">
                            <a:avLst/>
                          </a:prstGeom>
                          <a:noFill/>
                          <a:ln>
                            <a:noFill/>
                          </a:ln>
                        </pic:spPr>
                      </pic:pic>
                    </a:graphicData>
                  </a:graphic>
                </wp:inline>
              </w:drawing>
            </w:r>
          </w:p>
          <w:p w14:paraId="25732560">
            <w:pPr>
              <w:pStyle w:val="5"/>
              <w:bidi w:val="0"/>
              <w:rPr>
                <w:color w:val="auto"/>
              </w:rPr>
            </w:pPr>
            <w:r>
              <w:rPr>
                <w:rFonts w:hint="eastAsia"/>
                <w:color w:val="auto"/>
                <w:lang w:val="en-US" w:eastAsia="zh-CN"/>
              </w:rPr>
              <w:t xml:space="preserve">图5-1 </w:t>
            </w:r>
            <w:r>
              <w:rPr>
                <w:rFonts w:hint="default"/>
                <w:color w:val="auto"/>
                <w:lang w:val="en-US" w:eastAsia="zh-CN"/>
              </w:rPr>
              <w:t xml:space="preserve"> </w:t>
            </w:r>
            <w:r>
              <w:rPr>
                <w:rFonts w:hint="eastAsia"/>
                <w:color w:val="auto"/>
                <w:lang w:val="en-US" w:eastAsia="zh-CN"/>
              </w:rPr>
              <w:t>西侧排土场边坡示意图（</w:t>
            </w:r>
            <w:r>
              <w:rPr>
                <w:rFonts w:hint="default"/>
                <w:color w:val="auto"/>
                <w:lang w:val="en-US" w:eastAsia="zh-CN"/>
              </w:rPr>
              <w:t>Qy2</w:t>
            </w:r>
            <w:r>
              <w:rPr>
                <w:rFonts w:hint="eastAsia"/>
                <w:color w:val="auto"/>
                <w:lang w:val="en-US" w:eastAsia="zh-CN"/>
              </w:rPr>
              <w:t>）</w:t>
            </w:r>
          </w:p>
          <w:p w14:paraId="3AF10382">
            <w:pPr>
              <w:keepNext w:val="0"/>
              <w:keepLines w:val="0"/>
              <w:widowControl/>
              <w:suppressLineNumbers w:val="0"/>
              <w:jc w:val="left"/>
              <w:rPr>
                <w:rFonts w:hint="eastAsia" w:ascii="宋体" w:hAnsi="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根据《开发利用方案》</w:t>
            </w:r>
            <w:r>
              <w:rPr>
                <w:rFonts w:hint="eastAsia" w:ascii="宋体" w:hAnsi="宋体" w:cs="宋体"/>
                <w:color w:val="auto"/>
                <w:kern w:val="0"/>
                <w:sz w:val="24"/>
                <w:szCs w:val="24"/>
                <w:lang w:val="en-US" w:eastAsia="zh-CN" w:bidi="ar"/>
              </w:rPr>
              <w:t>和《复垦方案》</w:t>
            </w:r>
            <w:r>
              <w:rPr>
                <w:rFonts w:hint="eastAsia" w:ascii="宋体" w:hAnsi="宋体" w:eastAsia="宋体" w:cs="宋体"/>
                <w:color w:val="auto"/>
                <w:kern w:val="0"/>
                <w:sz w:val="24"/>
                <w:szCs w:val="24"/>
                <w:lang w:val="en-US" w:eastAsia="zh-CN" w:bidi="ar"/>
              </w:rPr>
              <w:t>矿区内东侧排土场主要用于堆放矿区表土层，该排土场设于矿区东侧的低洼沟谷内，占地面积</w:t>
            </w:r>
            <w:r>
              <w:rPr>
                <w:rFonts w:hint="default" w:ascii="Times New Roman" w:hAnsi="Times New Roman" w:eastAsia="宋体" w:cs="Times New Roman"/>
                <w:color w:val="auto"/>
                <w:kern w:val="0"/>
                <w:sz w:val="24"/>
                <w:szCs w:val="24"/>
                <w:lang w:val="en-US" w:eastAsia="zh-CN" w:bidi="ar"/>
              </w:rPr>
              <w:t>2.3370hm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东侧排土场表土堆放形成的边坡为人工边坡（</w:t>
            </w:r>
            <w:r>
              <w:rPr>
                <w:rFonts w:hint="default" w:ascii="Times New Roman" w:hAnsi="Times New Roman" w:eastAsia="宋体" w:cs="Times New Roman"/>
                <w:color w:val="auto"/>
                <w:kern w:val="0"/>
                <w:sz w:val="24"/>
                <w:szCs w:val="24"/>
                <w:lang w:val="en-US" w:eastAsia="zh-CN" w:bidi="ar"/>
              </w:rPr>
              <w:t>Q</w:t>
            </w:r>
            <w:r>
              <w:rPr>
                <w:rFonts w:hint="default" w:ascii="Times New Roman" w:hAnsi="Times New Roman" w:eastAsia="宋体" w:cs="Times New Roman"/>
                <w:color w:val="auto"/>
                <w:kern w:val="0"/>
                <w:sz w:val="15"/>
                <w:szCs w:val="15"/>
                <w:lang w:val="en-US" w:eastAsia="zh-CN" w:bidi="ar"/>
              </w:rPr>
              <w:t>y3</w:t>
            </w:r>
            <w:r>
              <w:rPr>
                <w:rFonts w:hint="eastAsia" w:ascii="宋体" w:hAnsi="宋体" w:eastAsia="宋体" w:cs="宋体"/>
                <w:color w:val="auto"/>
                <w:kern w:val="0"/>
                <w:sz w:val="24"/>
                <w:szCs w:val="24"/>
                <w:lang w:val="en-US" w:eastAsia="zh-CN" w:bidi="ar"/>
              </w:rPr>
              <w:t>），排土场设计堆排时分层进行堆排，单层堆排高度不超过</w:t>
            </w:r>
            <w:r>
              <w:rPr>
                <w:rFonts w:hint="default" w:ascii="Times New Roman" w:hAnsi="Times New Roman" w:eastAsia="宋体" w:cs="Times New Roman"/>
                <w:color w:val="auto"/>
                <w:kern w:val="0"/>
                <w:sz w:val="24"/>
                <w:szCs w:val="24"/>
                <w:lang w:val="en-US" w:eastAsia="zh-CN" w:bidi="ar"/>
              </w:rPr>
              <w:t>8m</w:t>
            </w:r>
            <w:r>
              <w:rPr>
                <w:rFonts w:hint="eastAsia" w:ascii="宋体" w:hAnsi="宋体" w:eastAsia="宋体" w:cs="宋体"/>
                <w:color w:val="auto"/>
                <w:kern w:val="0"/>
                <w:sz w:val="24"/>
                <w:szCs w:val="24"/>
                <w:lang w:val="en-US" w:eastAsia="zh-CN" w:bidi="ar"/>
              </w:rPr>
              <w:t>，最终堆排总高度不超过</w:t>
            </w:r>
            <w:r>
              <w:rPr>
                <w:rFonts w:hint="default" w:ascii="Times New Roman" w:hAnsi="Times New Roman" w:eastAsia="宋体" w:cs="Times New Roman"/>
                <w:color w:val="auto"/>
                <w:kern w:val="0"/>
                <w:sz w:val="24"/>
                <w:szCs w:val="24"/>
                <w:lang w:val="en-US" w:eastAsia="zh-CN" w:bidi="ar"/>
              </w:rPr>
              <w:t>30m</w:t>
            </w:r>
            <w:r>
              <w:rPr>
                <w:rFonts w:hint="eastAsia" w:ascii="宋体" w:hAnsi="宋体" w:eastAsia="宋体" w:cs="宋体"/>
                <w:color w:val="auto"/>
                <w:kern w:val="0"/>
                <w:sz w:val="24"/>
                <w:szCs w:val="24"/>
                <w:lang w:val="en-US" w:eastAsia="zh-CN" w:bidi="ar"/>
              </w:rPr>
              <w:t>，实际堆排总高度结合矿山生产时实际排土量进行确定，最终帮坡角按照自然安息角</w:t>
            </w:r>
            <w:r>
              <w:rPr>
                <w:rFonts w:hint="default" w:ascii="Times New Roman" w:hAnsi="Times New Roman" w:eastAsia="宋体" w:cs="Times New Roman"/>
                <w:color w:val="auto"/>
                <w:kern w:val="0"/>
                <w:sz w:val="24"/>
                <w:szCs w:val="24"/>
                <w:lang w:val="en-US" w:eastAsia="zh-CN" w:bidi="ar"/>
              </w:rPr>
              <w:t>30°</w:t>
            </w:r>
            <w:r>
              <w:rPr>
                <w:rFonts w:hint="eastAsia" w:ascii="宋体" w:hAnsi="宋体" w:eastAsia="宋体" w:cs="宋体"/>
                <w:color w:val="auto"/>
                <w:kern w:val="0"/>
                <w:sz w:val="24"/>
                <w:szCs w:val="24"/>
                <w:lang w:val="en-US" w:eastAsia="zh-CN" w:bidi="ar"/>
              </w:rPr>
              <w:t>排筑</w:t>
            </w:r>
            <w:r>
              <w:rPr>
                <w:rFonts w:hint="eastAsia" w:ascii="宋体" w:hAnsi="宋体" w:cs="宋体"/>
                <w:color w:val="auto"/>
                <w:kern w:val="0"/>
                <w:sz w:val="24"/>
                <w:szCs w:val="24"/>
                <w:lang w:val="en-US" w:eastAsia="zh-CN" w:bidi="ar"/>
              </w:rPr>
              <w:t>。</w:t>
            </w:r>
          </w:p>
          <w:p w14:paraId="46ACFD31">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东侧排土场堆积体表面采用撒播草种保持土壤肥力，由于后期仍将持续排放表土，因此设计表土维护面积为东侧排土场面积的</w:t>
            </w:r>
            <w:r>
              <w:rPr>
                <w:rFonts w:hint="default" w:ascii="Times New Roman" w:hAnsi="Times New Roman" w:eastAsia="宋体" w:cs="Times New Roman"/>
                <w:color w:val="auto"/>
                <w:kern w:val="0"/>
                <w:sz w:val="24"/>
                <w:szCs w:val="24"/>
                <w:lang w:val="en-US" w:eastAsia="zh-CN" w:bidi="ar"/>
              </w:rPr>
              <w:t>2/3</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即</w:t>
            </w:r>
            <w:r>
              <w:rPr>
                <w:rFonts w:hint="default" w:ascii="Times New Roman" w:hAnsi="Times New Roman" w:eastAsia="宋体" w:cs="Times New Roman"/>
                <w:color w:val="auto"/>
                <w:kern w:val="0"/>
                <w:sz w:val="24"/>
                <w:szCs w:val="24"/>
                <w:lang w:val="en-US" w:eastAsia="zh-CN" w:bidi="ar"/>
              </w:rPr>
              <w:t>1.5580hm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Times New Roman" w:hAnsi="Times New Roman" w:eastAsia="宋体" w:cs="Times New Roman"/>
                <w:color w:val="auto"/>
                <w:kern w:val="0"/>
                <w:sz w:val="24"/>
                <w:szCs w:val="24"/>
                <w:lang w:val="en-US" w:eastAsia="zh-CN" w:bidi="ar"/>
              </w:rPr>
              <w:t>，草种选择老芒麦草和垂穗披碱草，草种按重量</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比例组合，撒播密度为</w:t>
            </w:r>
            <w:r>
              <w:rPr>
                <w:rFonts w:hint="default" w:ascii="Times New Roman" w:hAnsi="Times New Roman" w:eastAsia="宋体" w:cs="Times New Roman"/>
                <w:color w:val="auto"/>
                <w:kern w:val="0"/>
                <w:sz w:val="24"/>
                <w:szCs w:val="24"/>
                <w:lang w:val="en-US" w:eastAsia="zh-CN" w:bidi="ar"/>
              </w:rPr>
              <w:t>225kg/hm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Times New Roman" w:hAnsi="Times New Roman" w:eastAsia="宋体" w:cs="Times New Roman"/>
                <w:color w:val="auto"/>
                <w:kern w:val="0"/>
                <w:sz w:val="24"/>
                <w:szCs w:val="24"/>
                <w:lang w:val="en-US" w:eastAsia="zh-CN" w:bidi="ar"/>
              </w:rPr>
              <w:t>。</w:t>
            </w:r>
          </w:p>
          <w:p w14:paraId="2FEBCD0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textAlignment w:val="auto"/>
              <w:rPr>
                <w:rFonts w:hint="eastAsia" w:ascii="Times New Roman" w:hAnsi="Times New Roman" w:eastAsia="宋体"/>
                <w:b/>
                <w:bCs/>
                <w:color w:val="000000"/>
                <w:sz w:val="24"/>
                <w:lang w:eastAsia="zh-CN"/>
              </w:rPr>
            </w:pPr>
            <w:r>
              <w:rPr>
                <w:rFonts w:hint="eastAsia" w:ascii="Times New Roman" w:hAnsi="Times New Roman" w:eastAsia="宋体"/>
                <w:b/>
                <w:bCs/>
                <w:color w:val="000000"/>
                <w:sz w:val="24"/>
                <w:lang w:eastAsia="zh-CN"/>
              </w:rPr>
              <w:drawing>
                <wp:inline distT="0" distB="0" distL="114300" distR="114300">
                  <wp:extent cx="5125085" cy="1574165"/>
                  <wp:effectExtent l="0" t="0" r="18415" b="6985"/>
                  <wp:docPr id="4" name="图片 41" descr="6973a998eb06abefff2791f985ff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descr="6973a998eb06abefff2791f985ff782"/>
                          <pic:cNvPicPr>
                            <a:picLocks noChangeAspect="1"/>
                          </pic:cNvPicPr>
                        </pic:nvPicPr>
                        <pic:blipFill>
                          <a:blip r:embed="rId20"/>
                          <a:stretch>
                            <a:fillRect/>
                          </a:stretch>
                        </pic:blipFill>
                        <pic:spPr>
                          <a:xfrm>
                            <a:off x="0" y="0"/>
                            <a:ext cx="5125085" cy="1574165"/>
                          </a:xfrm>
                          <a:prstGeom prst="rect">
                            <a:avLst/>
                          </a:prstGeom>
                          <a:noFill/>
                          <a:ln>
                            <a:noFill/>
                          </a:ln>
                        </pic:spPr>
                      </pic:pic>
                    </a:graphicData>
                  </a:graphic>
                </wp:inline>
              </w:drawing>
            </w:r>
          </w:p>
          <w:p w14:paraId="33301F39">
            <w:pPr>
              <w:pStyle w:val="5"/>
              <w:bidi w:val="0"/>
            </w:pPr>
            <w:r>
              <w:rPr>
                <w:rFonts w:hint="eastAsia"/>
                <w:lang w:val="en-US" w:eastAsia="zh-CN"/>
              </w:rPr>
              <w:t>图5-2  东排土场边坡示意图（</w:t>
            </w:r>
            <w:r>
              <w:rPr>
                <w:rFonts w:hint="default"/>
                <w:lang w:val="en-US" w:eastAsia="zh-CN"/>
              </w:rPr>
              <w:t>Qy3</w:t>
            </w:r>
            <w:r>
              <w:rPr>
                <w:rFonts w:hint="eastAsia"/>
                <w:lang w:val="en-US" w:eastAsia="zh-CN"/>
              </w:rPr>
              <w:t>）</w:t>
            </w:r>
          </w:p>
          <w:p w14:paraId="7F5E97F6">
            <w:pPr>
              <w:keepNext w:val="0"/>
              <w:keepLines w:val="0"/>
              <w:widowControl/>
              <w:suppressLineNumbers w:val="0"/>
              <w:jc w:val="left"/>
            </w:pPr>
            <w:r>
              <w:rPr>
                <w:rFonts w:hint="default" w:ascii="Times New Roman" w:hAnsi="Times New Roman" w:eastAsia="宋体" w:cs="Times New Roman"/>
                <w:i/>
                <w:iCs/>
                <w:color w:val="000000"/>
                <w:kern w:val="0"/>
                <w:sz w:val="24"/>
                <w:szCs w:val="24"/>
                <w:lang w:val="en-US" w:eastAsia="zh-CN" w:bidi="ar"/>
              </w:rPr>
              <w:t>Q</w:t>
            </w:r>
            <w:r>
              <w:rPr>
                <w:rFonts w:hint="default" w:ascii="Times New Roman" w:hAnsi="Times New Roman" w:eastAsia="宋体" w:cs="Times New Roman"/>
                <w:i/>
                <w:iCs/>
                <w:color w:val="000000"/>
                <w:kern w:val="0"/>
                <w:sz w:val="15"/>
                <w:szCs w:val="15"/>
                <w:lang w:val="en-US" w:eastAsia="zh-CN" w:bidi="ar"/>
              </w:rPr>
              <w:t>y2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Q</w:t>
            </w:r>
            <w:r>
              <w:rPr>
                <w:rFonts w:hint="default" w:ascii="Times New Roman" w:hAnsi="Times New Roman" w:eastAsia="宋体" w:cs="Times New Roman"/>
                <w:i/>
                <w:iCs/>
                <w:color w:val="000000"/>
                <w:kern w:val="0"/>
                <w:sz w:val="15"/>
                <w:szCs w:val="15"/>
                <w:lang w:val="en-US" w:eastAsia="zh-CN" w:bidi="ar"/>
              </w:rPr>
              <w:t>y3</w:t>
            </w:r>
            <w:r>
              <w:rPr>
                <w:rFonts w:hint="eastAsia" w:ascii="宋体" w:hAnsi="宋体" w:eastAsia="宋体" w:cs="宋体"/>
                <w:color w:val="000000"/>
                <w:kern w:val="0"/>
                <w:sz w:val="24"/>
                <w:szCs w:val="24"/>
                <w:lang w:val="en-US" w:eastAsia="zh-CN" w:bidi="ar"/>
              </w:rPr>
              <w:t>不稳定边坡底部修筑格宾石笼挡墙，并悬挂警示牌；闭矿期排土场堆放表土全部利用，拆除格宾石笼挡墙，进行植被恢复，主要采取建（构）筑物拆除、场地平整、覆土、施肥及撒播草籽等措施。</w:t>
            </w:r>
          </w:p>
          <w:p w14:paraId="02EA54DC">
            <w:pPr>
              <w:keepNext w:val="0"/>
              <w:keepLines w:val="0"/>
              <w:widowControl/>
              <w:suppressLineNumbers w:val="0"/>
              <w:jc w:val="left"/>
            </w:pPr>
            <w:r>
              <w:rPr>
                <w:rFonts w:hint="eastAsia" w:ascii="宋体" w:hAnsi="宋体" w:eastAsia="宋体" w:cs="宋体"/>
                <w:color w:val="000000"/>
                <w:kern w:val="0"/>
                <w:sz w:val="24"/>
                <w:szCs w:val="24"/>
                <w:lang w:val="en-US" w:eastAsia="zh-CN" w:bidi="ar"/>
              </w:rPr>
              <w:t>针对排土场因表土、风化层废石堆放而形成的不稳定边坡（</w:t>
            </w: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y2</w:t>
            </w:r>
            <w:r>
              <w:rPr>
                <w:rFonts w:ascii="仿宋" w:hAnsi="仿宋" w:eastAsia="仿宋" w:cs="仿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y3</w:t>
            </w:r>
            <w:r>
              <w:rPr>
                <w:rFonts w:hint="eastAsia" w:ascii="宋体" w:hAnsi="宋体" w:eastAsia="宋体" w:cs="宋体"/>
                <w:color w:val="000000"/>
                <w:kern w:val="0"/>
                <w:sz w:val="24"/>
                <w:szCs w:val="24"/>
                <w:lang w:val="en-US" w:eastAsia="zh-CN" w:bidi="ar"/>
              </w:rPr>
              <w:t>），设计在边坡底部设置格宾石笼挡墙进行拦挡。设计格宾石笼挡墙墙高</w:t>
            </w:r>
            <w:r>
              <w:rPr>
                <w:rFonts w:hint="default" w:ascii="Times New Roman" w:hAnsi="Times New Roman" w:eastAsia="宋体" w:cs="Times New Roman"/>
                <w:color w:val="000000"/>
                <w:kern w:val="0"/>
                <w:sz w:val="24"/>
                <w:szCs w:val="24"/>
                <w:lang w:val="en-US" w:eastAsia="zh-CN" w:bidi="ar"/>
              </w:rPr>
              <w:t>2m</w:t>
            </w:r>
            <w:r>
              <w:rPr>
                <w:rFonts w:hint="eastAsia" w:ascii="宋体" w:hAnsi="宋体" w:eastAsia="宋体" w:cs="宋体"/>
                <w:color w:val="000000"/>
                <w:kern w:val="0"/>
                <w:sz w:val="24"/>
                <w:szCs w:val="24"/>
                <w:lang w:val="en-US" w:eastAsia="zh-CN" w:bidi="ar"/>
              </w:rPr>
              <w:t>，地面以下</w:t>
            </w:r>
            <w:r>
              <w:rPr>
                <w:rFonts w:hint="default" w:ascii="Times New Roman" w:hAnsi="Times New Roman" w:eastAsia="宋体" w:cs="Times New Roman"/>
                <w:color w:val="000000"/>
                <w:kern w:val="0"/>
                <w:sz w:val="24"/>
                <w:szCs w:val="24"/>
                <w:lang w:val="en-US" w:eastAsia="zh-CN" w:bidi="ar"/>
              </w:rPr>
              <w:t>0.5m</w:t>
            </w:r>
            <w:r>
              <w:rPr>
                <w:rFonts w:hint="eastAsia" w:ascii="宋体" w:hAnsi="宋体" w:eastAsia="宋体" w:cs="宋体"/>
                <w:color w:val="000000"/>
                <w:kern w:val="0"/>
                <w:sz w:val="24"/>
                <w:szCs w:val="24"/>
                <w:lang w:val="en-US" w:eastAsia="zh-CN" w:bidi="ar"/>
              </w:rPr>
              <w:t>，地面以上</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，下部宽度为</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，上部宽度为</w:t>
            </w:r>
            <w:r>
              <w:rPr>
                <w:rFonts w:hint="default" w:ascii="Times New Roman" w:hAnsi="Times New Roman" w:eastAsia="宋体" w:cs="Times New Roman"/>
                <w:color w:val="000000"/>
                <w:kern w:val="0"/>
                <w:sz w:val="24"/>
                <w:szCs w:val="24"/>
                <w:lang w:val="en-US" w:eastAsia="zh-CN" w:bidi="ar"/>
              </w:rPr>
              <w:t>1m</w:t>
            </w:r>
            <w:r>
              <w:rPr>
                <w:rFonts w:hint="eastAsia" w:ascii="宋体" w:hAnsi="宋体" w:eastAsia="宋体" w:cs="宋体"/>
                <w:color w:val="000000"/>
                <w:kern w:val="0"/>
                <w:sz w:val="24"/>
                <w:szCs w:val="24"/>
                <w:lang w:val="en-US" w:eastAsia="zh-CN" w:bidi="ar"/>
              </w:rPr>
              <w:t>，基础挖深</w:t>
            </w:r>
            <w:r>
              <w:rPr>
                <w:rFonts w:hint="default" w:ascii="Times New Roman" w:hAnsi="Times New Roman" w:eastAsia="宋体" w:cs="Times New Roman"/>
                <w:color w:val="000000"/>
                <w:kern w:val="0"/>
                <w:sz w:val="24"/>
                <w:szCs w:val="24"/>
                <w:lang w:val="en-US" w:eastAsia="zh-CN" w:bidi="ar"/>
              </w:rPr>
              <w:t>0.5m</w:t>
            </w:r>
            <w:r>
              <w:rPr>
                <w:rFonts w:hint="eastAsia" w:ascii="宋体" w:hAnsi="宋体" w:eastAsia="宋体" w:cs="宋体"/>
                <w:color w:val="000000"/>
                <w:kern w:val="0"/>
                <w:sz w:val="24"/>
                <w:szCs w:val="24"/>
                <w:lang w:val="en-US" w:eastAsia="zh-CN" w:bidi="ar"/>
              </w:rPr>
              <w:t xml:space="preserve">，基础开挖产生的废渣进行回填。修建格宾石笼挡墙所需块石就地选用排土场堆存废石，进行废石综合利用，降低企业成本。可满足格宾石笼挡墙修建。 </w:t>
            </w:r>
          </w:p>
          <w:p w14:paraId="353E29F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82" w:firstLineChars="200"/>
              <w:textAlignment w:val="auto"/>
              <w:rPr>
                <w:rFonts w:ascii="Times New Roman" w:hAnsi="Times New Roman" w:eastAsia="宋体"/>
              </w:rPr>
            </w:pPr>
            <w:r>
              <w:rPr>
                <w:rFonts w:hint="eastAsia" w:ascii="Times New Roman" w:hAnsi="Times New Roman" w:eastAsia="宋体"/>
                <w:b/>
                <w:bCs/>
                <w:color w:val="000000"/>
                <w:sz w:val="24"/>
                <w:lang w:eastAsia="zh-CN"/>
              </w:rPr>
              <w:t>（</w:t>
            </w:r>
            <w:r>
              <w:rPr>
                <w:rFonts w:hint="eastAsia" w:ascii="Times New Roman" w:hAnsi="Times New Roman" w:eastAsia="宋体"/>
                <w:b/>
                <w:bCs/>
                <w:color w:val="000000"/>
                <w:sz w:val="24"/>
                <w:lang w:val="en-US" w:eastAsia="zh-CN"/>
              </w:rPr>
              <w:t>4</w:t>
            </w:r>
            <w:r>
              <w:rPr>
                <w:rFonts w:hint="eastAsia" w:ascii="Times New Roman" w:hAnsi="Times New Roman" w:eastAsia="宋体"/>
                <w:b/>
                <w:bCs/>
                <w:color w:val="000000"/>
                <w:sz w:val="24"/>
                <w:lang w:eastAsia="zh-CN"/>
              </w:rPr>
              <w:t>）</w:t>
            </w:r>
            <w:r>
              <w:rPr>
                <w:rFonts w:ascii="Times New Roman" w:hAnsi="Times New Roman" w:eastAsia="宋体"/>
                <w:b/>
                <w:bCs/>
                <w:color w:val="000000"/>
                <w:sz w:val="24"/>
              </w:rPr>
              <w:t>野生</w:t>
            </w:r>
            <w:r>
              <w:rPr>
                <w:rFonts w:hint="eastAsia" w:ascii="Times New Roman" w:hAnsi="Times New Roman" w:eastAsia="宋体"/>
                <w:b/>
                <w:bCs/>
                <w:color w:val="000000"/>
                <w:sz w:val="24"/>
                <w:lang w:val="en-US" w:eastAsia="zh-CN"/>
              </w:rPr>
              <w:t>动植</w:t>
            </w:r>
            <w:r>
              <w:rPr>
                <w:rFonts w:ascii="Times New Roman" w:hAnsi="Times New Roman" w:eastAsia="宋体"/>
                <w:b/>
                <w:bCs/>
                <w:color w:val="000000"/>
                <w:sz w:val="24"/>
              </w:rPr>
              <w:t>物保护措施</w:t>
            </w:r>
          </w:p>
          <w:p w14:paraId="287135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rPr>
            </w:pPr>
            <w:r>
              <w:rPr>
                <w:rFonts w:hint="eastAsia" w:ascii="Times New Roman" w:hAnsi="Times New Roman" w:eastAsia="宋体"/>
                <w:color w:val="000000"/>
                <w:sz w:val="24"/>
              </w:rPr>
              <w:t>本项目开采过程中</w:t>
            </w:r>
            <w:r>
              <w:rPr>
                <w:rFonts w:ascii="Times New Roman" w:hAnsi="Times New Roman" w:eastAsia="宋体"/>
                <w:color w:val="000000"/>
                <w:sz w:val="24"/>
              </w:rPr>
              <w:t>应采取切实有效措施减轻或减缓对矿区内野生动物生存环境与植物资源的破坏，拟采取以下措施保护动、植物资源：</w:t>
            </w:r>
          </w:p>
          <w:p w14:paraId="45740F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rPr>
            </w:pPr>
            <w:r>
              <w:rPr>
                <w:rFonts w:ascii="Times New Roman" w:hAnsi="Times New Roman" w:eastAsia="宋体"/>
                <w:color w:val="000000"/>
                <w:sz w:val="24"/>
              </w:rPr>
              <w:fldChar w:fldCharType="begin"/>
            </w:r>
            <w:r>
              <w:rPr>
                <w:rFonts w:ascii="Times New Roman" w:hAnsi="Times New Roman" w:eastAsia="宋体"/>
                <w:color w:val="000000"/>
                <w:sz w:val="24"/>
              </w:rPr>
              <w:instrText xml:space="preserve"> </w:instrText>
            </w:r>
            <w:r>
              <w:rPr>
                <w:rFonts w:hint="eastAsia" w:ascii="Times New Roman" w:hAnsi="Times New Roman" w:eastAsia="宋体"/>
                <w:color w:val="000000"/>
                <w:sz w:val="24"/>
              </w:rPr>
              <w:instrText xml:space="preserve">= 1 \* GB3</w:instrText>
            </w:r>
            <w:r>
              <w:rPr>
                <w:rFonts w:ascii="Times New Roman" w:hAnsi="Times New Roman" w:eastAsia="宋体"/>
                <w:color w:val="000000"/>
                <w:sz w:val="24"/>
              </w:rPr>
              <w:instrText xml:space="preserve"> </w:instrText>
            </w:r>
            <w:r>
              <w:rPr>
                <w:rFonts w:ascii="Times New Roman" w:hAnsi="Times New Roman" w:eastAsia="宋体"/>
                <w:color w:val="000000"/>
                <w:sz w:val="24"/>
              </w:rPr>
              <w:fldChar w:fldCharType="separate"/>
            </w:r>
            <w:r>
              <w:rPr>
                <w:rFonts w:hint="eastAsia" w:ascii="Times New Roman" w:hAnsi="Times New Roman" w:eastAsia="宋体"/>
                <w:color w:val="000000"/>
                <w:sz w:val="24"/>
              </w:rPr>
              <w:t>①</w:t>
            </w:r>
            <w:r>
              <w:rPr>
                <w:rFonts w:ascii="Times New Roman" w:hAnsi="Times New Roman" w:eastAsia="宋体"/>
                <w:color w:val="000000"/>
                <w:sz w:val="24"/>
              </w:rPr>
              <w:fldChar w:fldCharType="end"/>
            </w:r>
            <w:r>
              <w:rPr>
                <w:rFonts w:hint="eastAsia" w:ascii="Times New Roman" w:hAnsi="Times New Roman" w:eastAsia="宋体"/>
                <w:color w:val="000000"/>
                <w:sz w:val="24"/>
              </w:rPr>
              <w:t>植被资源的保护措施</w:t>
            </w:r>
          </w:p>
          <w:p w14:paraId="487C21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rPr>
            </w:pPr>
            <w:r>
              <w:rPr>
                <w:rFonts w:ascii="Times New Roman" w:hAnsi="Times New Roman" w:eastAsia="宋体"/>
                <w:color w:val="000000"/>
                <w:sz w:val="24"/>
              </w:rPr>
              <w:fldChar w:fldCharType="begin"/>
            </w:r>
            <w:r>
              <w:rPr>
                <w:rFonts w:ascii="Times New Roman" w:hAnsi="Times New Roman" w:eastAsia="宋体"/>
                <w:color w:val="000000"/>
                <w:sz w:val="24"/>
              </w:rPr>
              <w:instrText xml:space="preserve"> </w:instrText>
            </w:r>
            <w:r>
              <w:rPr>
                <w:rFonts w:hint="eastAsia" w:ascii="Times New Roman" w:hAnsi="Times New Roman" w:eastAsia="宋体"/>
                <w:color w:val="000000"/>
                <w:sz w:val="24"/>
              </w:rPr>
              <w:instrText xml:space="preserve">= 1 \* alphabetic</w:instrText>
            </w:r>
            <w:r>
              <w:rPr>
                <w:rFonts w:ascii="Times New Roman" w:hAnsi="Times New Roman" w:eastAsia="宋体"/>
                <w:color w:val="000000"/>
                <w:sz w:val="24"/>
              </w:rPr>
              <w:instrText xml:space="preserve"> </w:instrText>
            </w:r>
            <w:r>
              <w:rPr>
                <w:rFonts w:ascii="Times New Roman" w:hAnsi="Times New Roman" w:eastAsia="宋体"/>
                <w:color w:val="000000"/>
                <w:sz w:val="24"/>
              </w:rPr>
              <w:fldChar w:fldCharType="separate"/>
            </w:r>
            <w:r>
              <w:rPr>
                <w:rFonts w:ascii="Times New Roman" w:hAnsi="Times New Roman" w:eastAsia="宋体"/>
                <w:color w:val="000000"/>
                <w:sz w:val="24"/>
              </w:rPr>
              <w:t>a</w:t>
            </w:r>
            <w:r>
              <w:rPr>
                <w:rFonts w:ascii="Times New Roman" w:hAnsi="Times New Roman" w:eastAsia="宋体"/>
                <w:color w:val="000000"/>
                <w:sz w:val="24"/>
              </w:rPr>
              <w:fldChar w:fldCharType="end"/>
            </w:r>
            <w:r>
              <w:rPr>
                <w:rFonts w:hint="eastAsia" w:ascii="Times New Roman" w:hAnsi="Times New Roman" w:eastAsia="宋体"/>
                <w:color w:val="000000"/>
                <w:sz w:val="24"/>
              </w:rPr>
              <w:t>.严格控制作业面积，尽量减少施工对植被的破坏。建设单位应组织有效的环境保护管理队伍，加强施工管理，开采区要树立标识牌以及遵守环境保护有关规定。</w:t>
            </w:r>
          </w:p>
          <w:p w14:paraId="67B2C5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rPr>
            </w:pPr>
            <w:r>
              <w:rPr>
                <w:rFonts w:ascii="Times New Roman" w:hAnsi="Times New Roman" w:eastAsia="宋体"/>
                <w:color w:val="000000"/>
                <w:sz w:val="24"/>
              </w:rPr>
              <w:fldChar w:fldCharType="begin"/>
            </w:r>
            <w:r>
              <w:rPr>
                <w:rFonts w:ascii="Times New Roman" w:hAnsi="Times New Roman" w:eastAsia="宋体"/>
                <w:color w:val="000000"/>
                <w:sz w:val="24"/>
              </w:rPr>
              <w:instrText xml:space="preserve"> </w:instrText>
            </w:r>
            <w:r>
              <w:rPr>
                <w:rFonts w:hint="eastAsia" w:ascii="Times New Roman" w:hAnsi="Times New Roman" w:eastAsia="宋体"/>
                <w:color w:val="000000"/>
                <w:sz w:val="24"/>
              </w:rPr>
              <w:instrText xml:space="preserve">= 2 \* alphabetic</w:instrText>
            </w:r>
            <w:r>
              <w:rPr>
                <w:rFonts w:ascii="Times New Roman" w:hAnsi="Times New Roman" w:eastAsia="宋体"/>
                <w:color w:val="000000"/>
                <w:sz w:val="24"/>
              </w:rPr>
              <w:instrText xml:space="preserve"> </w:instrText>
            </w:r>
            <w:r>
              <w:rPr>
                <w:rFonts w:ascii="Times New Roman" w:hAnsi="Times New Roman" w:eastAsia="宋体"/>
                <w:color w:val="000000"/>
                <w:sz w:val="24"/>
              </w:rPr>
              <w:fldChar w:fldCharType="separate"/>
            </w:r>
            <w:r>
              <w:rPr>
                <w:rFonts w:ascii="Times New Roman" w:hAnsi="Times New Roman" w:eastAsia="宋体"/>
                <w:color w:val="000000"/>
                <w:sz w:val="24"/>
              </w:rPr>
              <w:t>b</w:t>
            </w:r>
            <w:r>
              <w:rPr>
                <w:rFonts w:ascii="Times New Roman" w:hAnsi="Times New Roman" w:eastAsia="宋体"/>
                <w:color w:val="000000"/>
                <w:sz w:val="24"/>
              </w:rPr>
              <w:fldChar w:fldCharType="end"/>
            </w:r>
            <w:r>
              <w:rPr>
                <w:rFonts w:hint="eastAsia" w:ascii="Times New Roman" w:hAnsi="Times New Roman" w:eastAsia="宋体"/>
                <w:color w:val="000000"/>
                <w:sz w:val="24"/>
              </w:rPr>
              <w:t>.增强工作人员的环境保护意识，杜绝因对工作人员的流动管理不善及作业方式不合理而产生对植被和土地资源的人为影响和破坏。如：工作人员对植被的任意践踏、焚烧；机械、车辆操作驾驶人员超越施工活动范围而对植被造成碾压；固体废物任意堆放而埋压植被等。</w:t>
            </w:r>
          </w:p>
          <w:p w14:paraId="6A5103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rPr>
            </w:pPr>
            <w:r>
              <w:rPr>
                <w:rFonts w:ascii="Times New Roman" w:hAnsi="Times New Roman" w:eastAsia="宋体"/>
                <w:color w:val="000000"/>
                <w:sz w:val="24"/>
              </w:rPr>
              <w:fldChar w:fldCharType="begin"/>
            </w:r>
            <w:r>
              <w:rPr>
                <w:rFonts w:ascii="Times New Roman" w:hAnsi="Times New Roman" w:eastAsia="宋体"/>
                <w:color w:val="000000"/>
                <w:sz w:val="24"/>
              </w:rPr>
              <w:instrText xml:space="preserve"> </w:instrText>
            </w:r>
            <w:r>
              <w:rPr>
                <w:rFonts w:hint="eastAsia" w:ascii="Times New Roman" w:hAnsi="Times New Roman" w:eastAsia="宋体"/>
                <w:color w:val="000000"/>
                <w:sz w:val="24"/>
              </w:rPr>
              <w:instrText xml:space="preserve">= 2 \* GB3</w:instrText>
            </w:r>
            <w:r>
              <w:rPr>
                <w:rFonts w:ascii="Times New Roman" w:hAnsi="Times New Roman" w:eastAsia="宋体"/>
                <w:color w:val="000000"/>
                <w:sz w:val="24"/>
              </w:rPr>
              <w:instrText xml:space="preserve"> </w:instrText>
            </w:r>
            <w:r>
              <w:rPr>
                <w:rFonts w:ascii="Times New Roman" w:hAnsi="Times New Roman" w:eastAsia="宋体"/>
                <w:color w:val="000000"/>
                <w:sz w:val="24"/>
              </w:rPr>
              <w:fldChar w:fldCharType="separate"/>
            </w:r>
            <w:r>
              <w:rPr>
                <w:rFonts w:hint="eastAsia" w:ascii="Times New Roman" w:hAnsi="Times New Roman" w:eastAsia="宋体"/>
                <w:color w:val="000000"/>
                <w:sz w:val="24"/>
              </w:rPr>
              <w:t>②</w:t>
            </w:r>
            <w:r>
              <w:rPr>
                <w:rFonts w:ascii="Times New Roman" w:hAnsi="Times New Roman" w:eastAsia="宋体"/>
                <w:color w:val="000000"/>
                <w:sz w:val="24"/>
              </w:rPr>
              <w:fldChar w:fldCharType="end"/>
            </w:r>
            <w:r>
              <w:rPr>
                <w:rFonts w:hint="eastAsia" w:ascii="Times New Roman" w:hAnsi="Times New Roman" w:eastAsia="宋体"/>
                <w:color w:val="000000"/>
                <w:sz w:val="24"/>
              </w:rPr>
              <w:t>野生动物保护措施</w:t>
            </w:r>
          </w:p>
          <w:p w14:paraId="4F9A1B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rPr>
            </w:pPr>
            <w:r>
              <w:rPr>
                <w:rFonts w:ascii="Times New Roman" w:hAnsi="Times New Roman" w:eastAsia="宋体"/>
                <w:color w:val="000000"/>
                <w:sz w:val="24"/>
              </w:rPr>
              <w:fldChar w:fldCharType="begin"/>
            </w:r>
            <w:r>
              <w:rPr>
                <w:rFonts w:ascii="Times New Roman" w:hAnsi="Times New Roman" w:eastAsia="宋体"/>
                <w:color w:val="000000"/>
                <w:sz w:val="24"/>
              </w:rPr>
              <w:instrText xml:space="preserve"> </w:instrText>
            </w:r>
            <w:r>
              <w:rPr>
                <w:rFonts w:hint="eastAsia" w:ascii="Times New Roman" w:hAnsi="Times New Roman" w:eastAsia="宋体"/>
                <w:color w:val="000000"/>
                <w:sz w:val="24"/>
              </w:rPr>
              <w:instrText xml:space="preserve">= 1 \* alphabetic</w:instrText>
            </w:r>
            <w:r>
              <w:rPr>
                <w:rFonts w:ascii="Times New Roman" w:hAnsi="Times New Roman" w:eastAsia="宋体"/>
                <w:color w:val="000000"/>
                <w:sz w:val="24"/>
              </w:rPr>
              <w:instrText xml:space="preserve"> </w:instrText>
            </w:r>
            <w:r>
              <w:rPr>
                <w:rFonts w:ascii="Times New Roman" w:hAnsi="Times New Roman" w:eastAsia="宋体"/>
                <w:color w:val="000000"/>
                <w:sz w:val="24"/>
              </w:rPr>
              <w:fldChar w:fldCharType="separate"/>
            </w:r>
            <w:r>
              <w:rPr>
                <w:rFonts w:ascii="Times New Roman" w:hAnsi="Times New Roman" w:eastAsia="宋体"/>
                <w:color w:val="000000"/>
                <w:sz w:val="24"/>
              </w:rPr>
              <w:t>a</w:t>
            </w:r>
            <w:r>
              <w:rPr>
                <w:rFonts w:ascii="Times New Roman" w:hAnsi="Times New Roman" w:eastAsia="宋体"/>
                <w:color w:val="000000"/>
                <w:sz w:val="24"/>
              </w:rPr>
              <w:fldChar w:fldCharType="end"/>
            </w:r>
            <w:r>
              <w:rPr>
                <w:rFonts w:hint="eastAsia" w:ascii="Times New Roman" w:hAnsi="Times New Roman" w:eastAsia="宋体"/>
                <w:color w:val="000000"/>
                <w:sz w:val="24"/>
              </w:rPr>
              <w:t>.</w:t>
            </w:r>
            <w:r>
              <w:rPr>
                <w:rFonts w:hint="eastAsia"/>
                <w:color w:val="000000"/>
                <w:sz w:val="24"/>
                <w:lang w:eastAsia="zh-CN"/>
              </w:rPr>
              <w:t>增强</w:t>
            </w:r>
            <w:r>
              <w:rPr>
                <w:rFonts w:hint="eastAsia" w:ascii="Times New Roman" w:hAnsi="Times New Roman" w:eastAsia="宋体"/>
                <w:color w:val="000000"/>
                <w:sz w:val="24"/>
              </w:rPr>
              <w:t>作业人员环保意识，严禁捕猎野生动物，工作人员必须遵守《中华人民共和国野生动物保护法》，严禁在项目区及其周围捕猎野生动物；</w:t>
            </w:r>
          </w:p>
          <w:p w14:paraId="0D559B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rPr>
            </w:pPr>
            <w:r>
              <w:rPr>
                <w:rFonts w:ascii="Times New Roman" w:hAnsi="Times New Roman" w:eastAsia="宋体"/>
                <w:color w:val="000000"/>
                <w:sz w:val="24"/>
              </w:rPr>
              <w:fldChar w:fldCharType="begin"/>
            </w:r>
            <w:r>
              <w:rPr>
                <w:rFonts w:ascii="Times New Roman" w:hAnsi="Times New Roman" w:eastAsia="宋体"/>
                <w:color w:val="000000"/>
                <w:sz w:val="24"/>
              </w:rPr>
              <w:instrText xml:space="preserve"> </w:instrText>
            </w:r>
            <w:r>
              <w:rPr>
                <w:rFonts w:hint="eastAsia" w:ascii="Times New Roman" w:hAnsi="Times New Roman" w:eastAsia="宋体"/>
                <w:color w:val="000000"/>
                <w:sz w:val="24"/>
              </w:rPr>
              <w:instrText xml:space="preserve">= 2 \* alphabetic</w:instrText>
            </w:r>
            <w:r>
              <w:rPr>
                <w:rFonts w:ascii="Times New Roman" w:hAnsi="Times New Roman" w:eastAsia="宋体"/>
                <w:color w:val="000000"/>
                <w:sz w:val="24"/>
              </w:rPr>
              <w:instrText xml:space="preserve"> </w:instrText>
            </w:r>
            <w:r>
              <w:rPr>
                <w:rFonts w:ascii="Times New Roman" w:hAnsi="Times New Roman" w:eastAsia="宋体"/>
                <w:color w:val="000000"/>
                <w:sz w:val="24"/>
              </w:rPr>
              <w:fldChar w:fldCharType="separate"/>
            </w:r>
            <w:r>
              <w:rPr>
                <w:rFonts w:ascii="Times New Roman" w:hAnsi="Times New Roman" w:eastAsia="宋体"/>
                <w:color w:val="000000"/>
                <w:sz w:val="24"/>
              </w:rPr>
              <w:t>b</w:t>
            </w:r>
            <w:r>
              <w:rPr>
                <w:rFonts w:ascii="Times New Roman" w:hAnsi="Times New Roman" w:eastAsia="宋体"/>
                <w:color w:val="000000"/>
                <w:sz w:val="24"/>
              </w:rPr>
              <w:fldChar w:fldCharType="end"/>
            </w:r>
            <w:r>
              <w:rPr>
                <w:rFonts w:hint="eastAsia" w:ascii="Times New Roman" w:hAnsi="Times New Roman" w:eastAsia="宋体"/>
                <w:color w:val="000000"/>
                <w:sz w:val="24"/>
              </w:rPr>
              <w:t>.野生动物大多是晨昏外出觅食，正午休息，为了减少工程作业噪声对野生动物的惊扰，应做好开采作业方式和时间的计划，避免在夜间、晨昏和正午作业；避免灯光、噪声对动物活动的惊扰；</w:t>
            </w:r>
          </w:p>
          <w:p w14:paraId="2C242F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rPr>
            </w:pPr>
            <w:r>
              <w:rPr>
                <w:rFonts w:ascii="Times New Roman" w:hAnsi="Times New Roman" w:eastAsia="宋体"/>
                <w:color w:val="000000"/>
                <w:sz w:val="24"/>
              </w:rPr>
              <w:fldChar w:fldCharType="begin"/>
            </w:r>
            <w:r>
              <w:rPr>
                <w:rFonts w:ascii="Times New Roman" w:hAnsi="Times New Roman" w:eastAsia="宋体"/>
                <w:color w:val="000000"/>
                <w:sz w:val="24"/>
              </w:rPr>
              <w:instrText xml:space="preserve"> </w:instrText>
            </w:r>
            <w:r>
              <w:rPr>
                <w:rFonts w:hint="eastAsia" w:ascii="Times New Roman" w:hAnsi="Times New Roman" w:eastAsia="宋体"/>
                <w:color w:val="000000"/>
                <w:sz w:val="24"/>
              </w:rPr>
              <w:instrText xml:space="preserve">= 3 \* alphabetic</w:instrText>
            </w:r>
            <w:r>
              <w:rPr>
                <w:rFonts w:ascii="Times New Roman" w:hAnsi="Times New Roman" w:eastAsia="宋体"/>
                <w:color w:val="000000"/>
                <w:sz w:val="24"/>
              </w:rPr>
              <w:instrText xml:space="preserve"> </w:instrText>
            </w:r>
            <w:r>
              <w:rPr>
                <w:rFonts w:ascii="Times New Roman" w:hAnsi="Times New Roman" w:eastAsia="宋体"/>
                <w:color w:val="000000"/>
                <w:sz w:val="24"/>
              </w:rPr>
              <w:fldChar w:fldCharType="separate"/>
            </w:r>
            <w:r>
              <w:rPr>
                <w:rFonts w:ascii="Times New Roman" w:hAnsi="Times New Roman" w:eastAsia="宋体"/>
                <w:color w:val="000000"/>
                <w:sz w:val="24"/>
              </w:rPr>
              <w:t>c</w:t>
            </w:r>
            <w:r>
              <w:rPr>
                <w:rFonts w:ascii="Times New Roman" w:hAnsi="Times New Roman" w:eastAsia="宋体"/>
                <w:color w:val="000000"/>
                <w:sz w:val="24"/>
              </w:rPr>
              <w:fldChar w:fldCharType="end"/>
            </w:r>
            <w:r>
              <w:rPr>
                <w:rFonts w:hint="eastAsia" w:ascii="Times New Roman" w:hAnsi="Times New Roman" w:eastAsia="宋体"/>
                <w:color w:val="000000"/>
                <w:sz w:val="24"/>
              </w:rPr>
              <w:t>.开采作业机械选用低噪声、低振动设备，避免高噪声设备同场地同时作业，减小作业噪声对周边动物的影响；</w:t>
            </w:r>
          </w:p>
          <w:p w14:paraId="73D21E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000000"/>
                <w:sz w:val="24"/>
              </w:rPr>
            </w:pPr>
            <w:r>
              <w:rPr>
                <w:rFonts w:ascii="Times New Roman" w:hAnsi="Times New Roman" w:eastAsia="宋体"/>
                <w:color w:val="000000"/>
                <w:sz w:val="24"/>
              </w:rPr>
              <w:fldChar w:fldCharType="begin"/>
            </w:r>
            <w:r>
              <w:rPr>
                <w:rFonts w:ascii="Times New Roman" w:hAnsi="Times New Roman" w:eastAsia="宋体"/>
                <w:color w:val="000000"/>
                <w:sz w:val="24"/>
              </w:rPr>
              <w:instrText xml:space="preserve"> </w:instrText>
            </w:r>
            <w:r>
              <w:rPr>
                <w:rFonts w:hint="eastAsia" w:ascii="Times New Roman" w:hAnsi="Times New Roman" w:eastAsia="宋体"/>
                <w:color w:val="000000"/>
                <w:sz w:val="24"/>
              </w:rPr>
              <w:instrText xml:space="preserve">= 4 \* alphabetic</w:instrText>
            </w:r>
            <w:r>
              <w:rPr>
                <w:rFonts w:ascii="Times New Roman" w:hAnsi="Times New Roman" w:eastAsia="宋体"/>
                <w:color w:val="000000"/>
                <w:sz w:val="24"/>
              </w:rPr>
              <w:instrText xml:space="preserve"> </w:instrText>
            </w:r>
            <w:r>
              <w:rPr>
                <w:rFonts w:ascii="Times New Roman" w:hAnsi="Times New Roman" w:eastAsia="宋体"/>
                <w:color w:val="000000"/>
                <w:sz w:val="24"/>
              </w:rPr>
              <w:fldChar w:fldCharType="separate"/>
            </w:r>
            <w:r>
              <w:rPr>
                <w:rFonts w:ascii="Times New Roman" w:hAnsi="Times New Roman" w:eastAsia="宋体"/>
                <w:color w:val="000000"/>
                <w:sz w:val="24"/>
              </w:rPr>
              <w:t>d</w:t>
            </w:r>
            <w:r>
              <w:rPr>
                <w:rFonts w:ascii="Times New Roman" w:hAnsi="Times New Roman" w:eastAsia="宋体"/>
                <w:color w:val="000000"/>
                <w:sz w:val="24"/>
              </w:rPr>
              <w:fldChar w:fldCharType="end"/>
            </w:r>
            <w:r>
              <w:rPr>
                <w:rFonts w:hint="eastAsia" w:ascii="Times New Roman" w:hAnsi="Times New Roman" w:eastAsia="宋体"/>
                <w:color w:val="000000"/>
                <w:sz w:val="24"/>
              </w:rPr>
              <w:t>.加强作业人员的卫生管理，严禁生活垃圾、生活污水直接排放，最大限度保护动物生境。</w:t>
            </w:r>
            <w:r>
              <w:rPr>
                <w:rFonts w:hint="eastAsia" w:ascii="Times New Roman" w:hAnsi="Times New Roman" w:eastAsia="宋体"/>
                <w:color w:val="000000"/>
                <w:sz w:val="24"/>
                <w:lang w:val="en-US" w:eastAsia="zh-CN"/>
              </w:rPr>
              <w:t xml:space="preserve"> </w:t>
            </w:r>
          </w:p>
          <w:p w14:paraId="0CE41C67">
            <w:pPr>
              <w:pStyle w:val="19"/>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0" w:firstLineChars="200"/>
              <w:jc w:val="left"/>
              <w:textAlignment w:val="auto"/>
              <w:rPr>
                <w:rFonts w:hint="eastAsia" w:ascii="Times New Roman" w:hAnsi="Times New Roman" w:eastAsia="宋体" w:cs="Times New Roman"/>
                <w:b/>
                <w:bCs/>
                <w:kern w:val="2"/>
                <w:sz w:val="24"/>
                <w:szCs w:val="32"/>
                <w:lang w:val="en-US" w:eastAsia="zh-CN" w:bidi="ar-SA"/>
              </w:rPr>
            </w:pPr>
            <w:r>
              <w:rPr>
                <w:rFonts w:hint="eastAsia" w:ascii="Times New Roman" w:hAnsi="Times New Roman" w:eastAsia="宋体" w:cs="Times New Roman"/>
                <w:b w:val="0"/>
                <w:bCs w:val="0"/>
                <w:kern w:val="2"/>
                <w:sz w:val="24"/>
                <w:szCs w:val="32"/>
                <w:lang w:val="en-US" w:eastAsia="zh-CN" w:bidi="ar-SA"/>
              </w:rPr>
              <w:t>综上所述，本项目运营期采取以上各项措施后，满足《砂石行业绿色矿山建设规范》（DZ/T0316-2018）中各项要求，各项措施可行。</w:t>
            </w:r>
          </w:p>
          <w:p w14:paraId="2F54C740">
            <w:pPr>
              <w:pStyle w:val="4"/>
              <w:bidi w:val="0"/>
              <w:rPr>
                <w:rFonts w:hint="eastAsia" w:ascii="Times New Roman" w:hAnsi="Times New Roman" w:eastAsia="宋体"/>
                <w:b/>
                <w:bCs/>
                <w:szCs w:val="24"/>
              </w:rPr>
            </w:pPr>
            <w:r>
              <w:rPr>
                <w:rFonts w:hint="eastAsia"/>
                <w:lang w:val="en-US" w:eastAsia="zh-CN"/>
              </w:rPr>
              <w:t>2、运营期</w:t>
            </w:r>
            <w:r>
              <w:rPr>
                <w:rFonts w:hint="eastAsia"/>
              </w:rPr>
              <w:t>大气环境影响分析及防治措施</w:t>
            </w:r>
          </w:p>
          <w:p w14:paraId="41A3FF09">
            <w:pPr>
              <w:spacing w:line="360" w:lineRule="auto"/>
              <w:ind w:firstLine="480"/>
              <w:rPr>
                <w:rFonts w:hint="eastAsia" w:hAnsi="宋体"/>
                <w:color w:val="000000"/>
                <w:sz w:val="24"/>
                <w:szCs w:val="24"/>
              </w:rPr>
            </w:pPr>
            <w:r>
              <w:rPr>
                <w:rFonts w:hint="eastAsia" w:hAnsi="宋体"/>
                <w:color w:val="000000"/>
                <w:sz w:val="24"/>
                <w:szCs w:val="24"/>
                <w:lang w:val="en-US" w:eastAsia="zh-CN"/>
              </w:rPr>
              <w:t>本项目废气主要是表土剥离、原矿开采钻孔、爆破、二次破碎、进料、破碎、筛分、排土场、成品堆场、装卸过程中产生的粉尘，道路运输过程中产生的扬尘和机械车辆尾气。</w:t>
            </w:r>
          </w:p>
          <w:p w14:paraId="5442858E">
            <w:pPr>
              <w:spacing w:line="360" w:lineRule="auto"/>
              <w:ind w:firstLine="480"/>
              <w:rPr>
                <w:rFonts w:hint="eastAsia" w:ascii="Times New Roman" w:hAnsi="Times New Roman" w:eastAsia="宋体"/>
                <w:b/>
                <w:bCs/>
                <w:color w:val="000000"/>
                <w:sz w:val="24"/>
                <w:szCs w:val="24"/>
                <w:lang w:val="en-US" w:eastAsia="zh-CN"/>
              </w:rPr>
            </w:pPr>
            <w:r>
              <w:rPr>
                <w:rFonts w:hint="eastAsia" w:hAnsi="宋体"/>
                <w:b/>
                <w:bCs/>
                <w:color w:val="000000"/>
                <w:sz w:val="24"/>
                <w:szCs w:val="24"/>
                <w:lang w:val="en-US" w:eastAsia="zh-CN"/>
              </w:rPr>
              <w:t>（1）表土剥离扬尘</w:t>
            </w:r>
          </w:p>
          <w:p w14:paraId="7421E5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Chars="0" w:firstLine="480" w:firstLineChars="200"/>
              <w:jc w:val="left"/>
              <w:textAlignment w:val="auto"/>
              <w:rPr>
                <w:rFonts w:ascii="Times New Roman" w:hAnsi="Times New Roman" w:eastAsia="宋体"/>
                <w:color w:val="000000"/>
                <w:sz w:val="24"/>
                <w:szCs w:val="24"/>
              </w:rPr>
            </w:pPr>
            <w:r>
              <w:rPr>
                <w:rFonts w:ascii="Times New Roman" w:hAnsi="Times New Roman" w:eastAsia="宋体"/>
                <w:color w:val="000000"/>
                <w:sz w:val="24"/>
                <w:szCs w:val="24"/>
              </w:rPr>
              <w:t>①开采作业区应配备</w:t>
            </w:r>
            <w:r>
              <w:rPr>
                <w:rFonts w:hint="eastAsia" w:ascii="Times New Roman" w:hAnsi="Times New Roman" w:eastAsia="宋体"/>
                <w:color w:val="000000"/>
                <w:sz w:val="24"/>
                <w:szCs w:val="24"/>
                <w:lang w:eastAsia="zh-CN"/>
              </w:rPr>
              <w:t>洒水车</w:t>
            </w:r>
            <w:r>
              <w:rPr>
                <w:rFonts w:ascii="Times New Roman" w:hAnsi="Times New Roman" w:eastAsia="宋体"/>
                <w:color w:val="000000"/>
                <w:sz w:val="24"/>
                <w:szCs w:val="24"/>
              </w:rPr>
              <w:t>，开采时</w:t>
            </w:r>
            <w:r>
              <w:rPr>
                <w:rFonts w:hint="eastAsia" w:ascii="Times New Roman" w:hAnsi="Times New Roman" w:eastAsia="宋体"/>
                <w:color w:val="000000"/>
                <w:sz w:val="24"/>
                <w:szCs w:val="24"/>
                <w:lang w:val="en-US" w:eastAsia="zh-CN"/>
              </w:rPr>
              <w:t>购置雾炮抑尘；开采区域</w:t>
            </w:r>
            <w:r>
              <w:rPr>
                <w:rFonts w:ascii="Times New Roman" w:hAnsi="Times New Roman" w:eastAsia="宋体"/>
                <w:color w:val="000000"/>
                <w:sz w:val="24"/>
                <w:szCs w:val="24"/>
              </w:rPr>
              <w:t>及时洒水抑尘，一个作业周期洒水频次不低于</w:t>
            </w:r>
            <w:r>
              <w:rPr>
                <w:rFonts w:ascii="Times New Roman" w:hAnsi="Times New Roman" w:eastAsia="宋体" w:cs="Times New Roman"/>
                <w:color w:val="000000"/>
                <w:sz w:val="24"/>
                <w:szCs w:val="24"/>
              </w:rPr>
              <w:t>2</w:t>
            </w:r>
            <w:r>
              <w:rPr>
                <w:rFonts w:ascii="Times New Roman" w:hAnsi="Times New Roman" w:eastAsia="宋体"/>
                <w:color w:val="000000"/>
                <w:sz w:val="24"/>
                <w:szCs w:val="24"/>
              </w:rPr>
              <w:t>次，从而使采掘面保持一定的湿度，尽可能降低粉尘产生浓度；②合理安排作业时间，尽可能缩短疏松地面裸露时间，不得在大风（</w:t>
            </w:r>
            <w:r>
              <w:rPr>
                <w:rFonts w:hint="eastAsia" w:ascii="Times New Roman" w:hAnsi="Times New Roman" w:eastAsia="宋体"/>
                <w:color w:val="000000"/>
                <w:sz w:val="24"/>
                <w:szCs w:val="24"/>
                <w:lang w:eastAsia="zh-CN"/>
              </w:rPr>
              <w:t>风</w:t>
            </w:r>
            <w:r>
              <w:rPr>
                <w:rFonts w:ascii="Times New Roman" w:hAnsi="Times New Roman" w:eastAsia="宋体"/>
                <w:color w:val="000000"/>
                <w:sz w:val="24"/>
                <w:szCs w:val="24"/>
              </w:rPr>
              <w:t>速</w:t>
            </w:r>
            <w:r>
              <w:rPr>
                <w:rFonts w:ascii="Times New Roman" w:hAnsi="Times New Roman" w:eastAsia="宋体" w:cs="Times New Roman"/>
                <w:color w:val="000000"/>
                <w:sz w:val="24"/>
                <w:szCs w:val="24"/>
              </w:rPr>
              <w:t>&gt;</w:t>
            </w:r>
            <w:r>
              <w:rPr>
                <w:rFonts w:hint="eastAsia" w:ascii="Times New Roman" w:hAnsi="Times New Roman" w:eastAsia="宋体" w:cs="Times New Roman"/>
                <w:color w:val="000000"/>
                <w:sz w:val="24"/>
                <w:szCs w:val="24"/>
              </w:rPr>
              <w:t>4</w:t>
            </w:r>
            <w:r>
              <w:rPr>
                <w:rFonts w:ascii="Times New Roman" w:hAnsi="Times New Roman" w:eastAsia="宋体" w:cs="Times New Roman"/>
                <w:color w:val="000000"/>
                <w:sz w:val="24"/>
                <w:szCs w:val="24"/>
              </w:rPr>
              <w:t>m/s</w:t>
            </w:r>
            <w:r>
              <w:rPr>
                <w:rFonts w:ascii="Times New Roman" w:hAnsi="Times New Roman" w:eastAsia="宋体"/>
                <w:color w:val="000000"/>
                <w:sz w:val="24"/>
                <w:szCs w:val="24"/>
              </w:rPr>
              <w:t>）天气进行采矿作业。</w:t>
            </w:r>
          </w:p>
          <w:p w14:paraId="7FDCA438">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bCs/>
                <w:color w:val="000000"/>
                <w:sz w:val="24"/>
                <w:szCs w:val="24"/>
                <w:lang w:val="en-US" w:eastAsia="zh-CN"/>
              </w:rPr>
            </w:pPr>
            <w:r>
              <w:rPr>
                <w:rFonts w:hint="eastAsia" w:ascii="Times New Roman" w:hAnsi="Times New Roman" w:eastAsia="宋体"/>
                <w:b w:val="0"/>
                <w:bCs w:val="0"/>
                <w:color w:val="000000"/>
                <w:sz w:val="24"/>
                <w:szCs w:val="24"/>
                <w:lang w:val="en-US" w:eastAsia="zh-CN"/>
              </w:rPr>
              <w:t>本项目采用在剥离工作面洒水增加土壤持水率、降低挖斗卸料高度等措施防尘，采用以上综合以上防尘措施后，采剥扬尘的抑尘效率可达85%以上（本项目按85%计），以无组织形式扩散，对周围环境影响较小。</w:t>
            </w:r>
          </w:p>
          <w:p w14:paraId="2EA2896C">
            <w:pPr>
              <w:pageBreakBefore w:val="0"/>
              <w:kinsoku/>
              <w:wordWrap/>
              <w:overflowPunct/>
              <w:topLinePunct w:val="0"/>
              <w:bidi w:val="0"/>
              <w:spacing w:beforeAutospacing="0" w:afterAutospacing="0" w:line="360" w:lineRule="auto"/>
              <w:ind w:firstLine="482"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b/>
                <w:bCs/>
                <w:color w:val="000000"/>
                <w:sz w:val="24"/>
                <w:szCs w:val="24"/>
                <w:lang w:val="en-US" w:eastAsia="zh-CN"/>
              </w:rPr>
              <w:t>（2）钻孔粉尘</w:t>
            </w:r>
          </w:p>
          <w:p w14:paraId="780D0A62">
            <w:pPr>
              <w:pageBreakBefore w:val="0"/>
              <w:kinsoku/>
              <w:wordWrap/>
              <w:overflowPunct/>
              <w:topLinePunct w:val="0"/>
              <w:bidi w:val="0"/>
              <w:spacing w:beforeAutospacing="0" w:afterAutospacing="0" w:line="360" w:lineRule="auto"/>
              <w:ind w:firstLine="480" w:firstLineChars="200"/>
              <w:rPr>
                <w:rFonts w:hint="default" w:ascii="Times New Roman" w:hAnsi="Times New Roman" w:eastAsia="宋体"/>
                <w:b w:val="0"/>
                <w:bCs w:val="0"/>
                <w:color w:val="000000"/>
                <w:sz w:val="24"/>
                <w:szCs w:val="24"/>
                <w:lang w:val="en-US" w:eastAsia="zh-CN"/>
              </w:rPr>
            </w:pPr>
            <w:r>
              <w:rPr>
                <w:rFonts w:hint="eastAsia" w:ascii="Times New Roman" w:hAnsi="Times New Roman" w:eastAsia="宋体"/>
                <w:b w:val="0"/>
                <w:bCs w:val="0"/>
                <w:color w:val="000000"/>
                <w:sz w:val="24"/>
                <w:szCs w:val="24"/>
                <w:lang w:val="en-US" w:eastAsia="zh-CN"/>
              </w:rPr>
              <w:t>项目在钻孔凿岩前对矿体进行洒水湿润、钻孔时洒水抑尘，采用喷水抑尘效率可达95%左右，以无组织形式扩散，对周围环境影响不大。</w:t>
            </w:r>
          </w:p>
          <w:p w14:paraId="43E39595">
            <w:pPr>
              <w:pageBreakBefore w:val="0"/>
              <w:kinsoku/>
              <w:wordWrap/>
              <w:overflowPunct/>
              <w:topLinePunct w:val="0"/>
              <w:bidi w:val="0"/>
              <w:spacing w:beforeAutospacing="0" w:afterAutospacing="0" w:line="360" w:lineRule="auto"/>
              <w:ind w:firstLine="482" w:firstLineChars="200"/>
              <w:rPr>
                <w:rFonts w:hint="eastAsia"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lang w:val="en-US" w:eastAsia="zh-CN"/>
              </w:rPr>
              <w:t>（3）爆破粉尘</w:t>
            </w:r>
          </w:p>
          <w:p w14:paraId="0F4EDECB">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根据项目开发利用方案，本矿山采用爆破时采用深孔、宽孔距、小抵抗线、多排孔微差爆破方法，起爆方式为非电导爆管起爆。项目爆破过程中短时间内产生大量粉尘，对区域周边环境产生一定影响。为防止粉尘污染，建设单位在爆破现场预先洒水湿润+水雾抑尘等措施以减少粉尘污染，</w:t>
            </w:r>
            <w:r>
              <w:rPr>
                <w:rFonts w:hint="eastAsia" w:ascii="Times New Roman" w:hAnsi="Times New Roman" w:eastAsia="宋体"/>
                <w:b w:val="0"/>
                <w:bCs w:val="0"/>
                <w:color w:val="000000"/>
                <w:sz w:val="24"/>
                <w:szCs w:val="24"/>
                <w:lang w:val="en-US" w:eastAsia="zh-CN"/>
              </w:rPr>
              <w:t>采用水封炮眼措施，可去除爆破粉尘约50%。另外，通过采用合理的炮孔网度和微差爆破减少粉尘，向预爆区洒水、钻孔注水等措施人为地提高矿石湿度，爆破后开启水喷淋装置进行抑尘，可减少约85%。通过以上措施，爆破粉尘量可减少约92.5%，以无组织形式扩散，对周围环境影响不大。</w:t>
            </w:r>
          </w:p>
          <w:p w14:paraId="2DAFE4CB">
            <w:pPr>
              <w:pageBreakBefore w:val="0"/>
              <w:kinsoku/>
              <w:wordWrap/>
              <w:overflowPunct/>
              <w:topLinePunct w:val="0"/>
              <w:bidi w:val="0"/>
              <w:spacing w:beforeAutospacing="0" w:afterAutospacing="0" w:line="360" w:lineRule="auto"/>
              <w:ind w:firstLine="482" w:firstLineChars="200"/>
              <w:rPr>
                <w:rFonts w:hint="eastAsia"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lang w:val="en-US" w:eastAsia="zh-CN"/>
              </w:rPr>
              <w:t>（4）二次破碎粉尘</w:t>
            </w:r>
          </w:p>
          <w:p w14:paraId="1E6322F4">
            <w:pPr>
              <w:pageBreakBefore w:val="0"/>
              <w:kinsoku/>
              <w:wordWrap/>
              <w:overflowPunct/>
              <w:topLinePunct w:val="0"/>
              <w:bidi w:val="0"/>
              <w:spacing w:beforeAutospacing="0" w:afterAutospacing="0" w:line="360" w:lineRule="auto"/>
              <w:ind w:firstLine="480" w:firstLineChars="200"/>
              <w:rPr>
                <w:rFonts w:hint="eastAsia" w:ascii="Times New Roman" w:hAnsi="Times New Roman" w:eastAsia="宋体"/>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露天采场出矿块度控制大块粒度≤500mm，由于采用微差爆破，爆破后的大块率较少，出现的个别大块（</w:t>
            </w:r>
            <w:r>
              <w:rPr>
                <w:rFonts w:hint="default" w:ascii="Times New Roman" w:hAnsi="Times New Roman" w:eastAsia="宋体" w:cs="Times New Roman"/>
                <w:b w:val="0"/>
                <w:bCs w:val="0"/>
                <w:color w:val="000000"/>
                <w:sz w:val="24"/>
                <w:szCs w:val="24"/>
                <w:lang w:val="en-US" w:eastAsia="zh-CN"/>
              </w:rPr>
              <w:t>Φ≥500mm</w:t>
            </w:r>
            <w:r>
              <w:rPr>
                <w:rFonts w:hint="eastAsia" w:ascii="Times New Roman" w:hAnsi="Times New Roman" w:eastAsia="宋体" w:cs="Times New Roman"/>
                <w:b w:val="0"/>
                <w:bCs w:val="0"/>
                <w:color w:val="000000"/>
                <w:sz w:val="24"/>
                <w:szCs w:val="24"/>
                <w:lang w:val="en-US" w:eastAsia="zh-CN"/>
              </w:rPr>
              <w:t>）采用液压破碎锤进行二次破碎。在矿块二次破碎过程中将产生粉尘。</w:t>
            </w:r>
            <w:r>
              <w:rPr>
                <w:rFonts w:hint="eastAsia" w:ascii="Times New Roman" w:hAnsi="Times New Roman" w:eastAsia="宋体"/>
                <w:b w:val="0"/>
                <w:bCs w:val="0"/>
                <w:color w:val="000000"/>
                <w:sz w:val="24"/>
                <w:szCs w:val="24"/>
                <w:lang w:val="en-US" w:eastAsia="zh-CN"/>
              </w:rPr>
              <w:t>项目采用水喷淋抑尘等措施进行防尘，抑尘效率约85%，以无组织形式扩散，对周围环境影响不大。</w:t>
            </w:r>
          </w:p>
          <w:p w14:paraId="5A51A37D">
            <w:pPr>
              <w:pageBreakBefore w:val="0"/>
              <w:kinsoku/>
              <w:wordWrap/>
              <w:overflowPunct/>
              <w:topLinePunct w:val="0"/>
              <w:bidi w:val="0"/>
              <w:spacing w:beforeAutospacing="0" w:afterAutospacing="0" w:line="360" w:lineRule="auto"/>
              <w:ind w:firstLine="482" w:firstLineChars="200"/>
              <w:contextualSpacing/>
              <w:jc w:val="both"/>
              <w:rPr>
                <w:rFonts w:hint="default"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lang w:val="en-US" w:eastAsia="zh-CN"/>
              </w:rPr>
              <w:t>（5）进料口粉尘</w:t>
            </w:r>
          </w:p>
          <w:p w14:paraId="0CCDA973">
            <w:pPr>
              <w:pageBreakBefore w:val="0"/>
              <w:kinsoku/>
              <w:wordWrap/>
              <w:overflowPunct/>
              <w:topLinePunct w:val="0"/>
              <w:bidi w:val="0"/>
              <w:spacing w:beforeAutospacing="0" w:afterAutospacing="0" w:line="360" w:lineRule="auto"/>
              <w:ind w:firstLine="480" w:firstLineChars="200"/>
              <w:contextualSpacing/>
              <w:jc w:val="both"/>
              <w:rPr>
                <w:rFonts w:hint="default" w:ascii="Times New Roman" w:hAnsi="Times New Roman" w:eastAsia="宋体" w:cs="Times New Roman"/>
                <w:b w:val="0"/>
                <w:bCs w:val="0"/>
                <w:color w:val="000000"/>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
              </w:rPr>
              <w:t>封闭式生产车间内设置进料口，车间顶部喷淋设施</w:t>
            </w:r>
            <w:r>
              <w:rPr>
                <w:rFonts w:hint="default" w:ascii="Times New Roman" w:hAnsi="Times New Roman" w:eastAsia="宋体" w:cs="Times New Roman"/>
                <w:color w:val="auto"/>
                <w:kern w:val="0"/>
                <w:sz w:val="24"/>
                <w:szCs w:val="24"/>
                <w:lang w:val="en-US" w:eastAsia="zh-CN" w:bidi="ar"/>
              </w:rPr>
              <w:t>，持续对原料进行充分预湿处理，保证原料含水率在</w:t>
            </w:r>
            <w:r>
              <w:rPr>
                <w:rFonts w:hint="eastAsia" w:cs="Times New Roman"/>
                <w:color w:val="auto"/>
                <w:kern w:val="0"/>
                <w:sz w:val="24"/>
                <w:szCs w:val="24"/>
                <w:lang w:val="en-US" w:eastAsia="zh-CN" w:bidi="ar"/>
              </w:rPr>
              <w:t>2%～4%</w:t>
            </w:r>
            <w:r>
              <w:rPr>
                <w:rFonts w:hint="default" w:ascii="Times New Roman" w:hAnsi="Times New Roman" w:eastAsia="宋体" w:cs="Times New Roman"/>
                <w:color w:val="auto"/>
                <w:kern w:val="0"/>
                <w:sz w:val="24"/>
                <w:szCs w:val="24"/>
                <w:lang w:val="en-US" w:eastAsia="zh-CN" w:bidi="ar"/>
              </w:rPr>
              <w:t>之间水平，原料为潮湿状态，一般可以减少粉尘量在70%以上，从源头控制起尘量，可将空气中的粉尘量降低80%</w:t>
            </w:r>
            <w:r>
              <w:rPr>
                <w:rFonts w:hint="eastAsia" w:ascii="Times New Roman" w:hAnsi="Times New Roman" w:eastAsia="宋体" w:cs="Times New Roman"/>
                <w:b w:val="0"/>
                <w:bCs w:val="0"/>
                <w:color w:val="000000"/>
                <w:kern w:val="0"/>
                <w:sz w:val="24"/>
                <w:szCs w:val="24"/>
                <w:lang w:val="en-US" w:eastAsia="zh-CN" w:bidi="ar-SA"/>
              </w:rPr>
              <w:t>，对周围环境影响较小。</w:t>
            </w:r>
          </w:p>
          <w:p w14:paraId="56E6160D">
            <w:pPr>
              <w:pageBreakBefore w:val="0"/>
              <w:kinsoku/>
              <w:wordWrap/>
              <w:overflowPunct/>
              <w:topLinePunct w:val="0"/>
              <w:bidi w:val="0"/>
              <w:spacing w:beforeAutospacing="0" w:afterAutospacing="0" w:line="360" w:lineRule="auto"/>
              <w:ind w:firstLine="482" w:firstLineChars="200"/>
              <w:contextualSpacing/>
              <w:jc w:val="both"/>
              <w:rPr>
                <w:rFonts w:hint="eastAsia" w:ascii="Times New Roman" w:hAnsi="Times New Roman" w:eastAsia="宋体" w:cs="Times New Roman"/>
                <w:b/>
                <w:bCs/>
                <w:color w:val="000000"/>
                <w:kern w:val="0"/>
                <w:sz w:val="24"/>
                <w:szCs w:val="24"/>
                <w:lang w:val="en-US" w:eastAsia="zh-CN" w:bidi="ar-SA"/>
              </w:rPr>
            </w:pPr>
            <w:r>
              <w:rPr>
                <w:rFonts w:hint="eastAsia" w:ascii="Times New Roman" w:hAnsi="Times New Roman" w:eastAsia="宋体"/>
                <w:b/>
                <w:bCs/>
                <w:color w:val="000000"/>
                <w:sz w:val="24"/>
                <w:szCs w:val="24"/>
                <w:lang w:val="en-US" w:eastAsia="zh-CN"/>
              </w:rPr>
              <w:t>（6）</w:t>
            </w:r>
            <w:r>
              <w:rPr>
                <w:rFonts w:hint="eastAsia" w:ascii="Times New Roman" w:hAnsi="Times New Roman" w:eastAsia="宋体" w:cs="Times New Roman"/>
                <w:b/>
                <w:bCs/>
                <w:color w:val="000000"/>
                <w:kern w:val="0"/>
                <w:sz w:val="24"/>
                <w:szCs w:val="24"/>
                <w:lang w:val="en-US" w:eastAsia="zh-CN" w:bidi="ar-SA"/>
              </w:rPr>
              <w:t>加工破碎粉尘</w:t>
            </w:r>
          </w:p>
          <w:p w14:paraId="699486F4">
            <w:pPr>
              <w:pageBreakBefore w:val="0"/>
              <w:kinsoku/>
              <w:wordWrap/>
              <w:overflowPunct/>
              <w:topLinePunct w:val="0"/>
              <w:bidi w:val="0"/>
              <w:spacing w:beforeAutospacing="0" w:afterAutospacing="0" w:line="360" w:lineRule="auto"/>
              <w:ind w:firstLine="480" w:firstLineChars="200"/>
              <w:contextualSpacing/>
              <w:jc w:val="both"/>
              <w:rPr>
                <w:rFonts w:hint="default" w:ascii="Times New Roman" w:hAnsi="Times New Roman" w:eastAsia="宋体"/>
                <w:color w:val="auto"/>
                <w:kern w:val="2"/>
                <w:sz w:val="24"/>
                <w:szCs w:val="24"/>
                <w:lang w:val="en-US" w:eastAsia="zh-CN"/>
              </w:rPr>
            </w:pPr>
            <w:r>
              <w:rPr>
                <w:rFonts w:hint="default" w:ascii="Times New Roman" w:hAnsi="Times New Roman" w:eastAsia="宋体"/>
                <w:color w:val="auto"/>
                <w:kern w:val="2"/>
                <w:sz w:val="24"/>
                <w:szCs w:val="24"/>
                <w:lang w:val="en-US" w:eastAsia="zh-CN"/>
              </w:rPr>
              <w:t>原料在</w:t>
            </w:r>
            <w:r>
              <w:rPr>
                <w:rFonts w:hint="eastAsia"/>
                <w:color w:val="auto"/>
                <w:kern w:val="2"/>
                <w:sz w:val="24"/>
                <w:szCs w:val="24"/>
                <w:lang w:val="en-US" w:eastAsia="zh-CN"/>
              </w:rPr>
              <w:t>生产车间</w:t>
            </w:r>
            <w:r>
              <w:rPr>
                <w:rFonts w:hint="default" w:ascii="Times New Roman" w:hAnsi="Times New Roman" w:eastAsia="宋体"/>
                <w:color w:val="auto"/>
                <w:kern w:val="2"/>
                <w:sz w:val="24"/>
                <w:szCs w:val="24"/>
                <w:lang w:val="en-US" w:eastAsia="zh-CN"/>
              </w:rPr>
              <w:t>进行洒水，对石料进行湿润，提高原料的含水率，可以降低50%人上的粉尘量；破碎过程中在封闭</w:t>
            </w:r>
            <w:r>
              <w:rPr>
                <w:rFonts w:hint="eastAsia"/>
                <w:color w:val="auto"/>
                <w:kern w:val="2"/>
                <w:sz w:val="24"/>
                <w:szCs w:val="24"/>
                <w:lang w:val="en-US" w:eastAsia="zh-CN"/>
              </w:rPr>
              <w:t>车间</w:t>
            </w:r>
            <w:r>
              <w:rPr>
                <w:rFonts w:hint="default" w:ascii="Times New Roman" w:hAnsi="Times New Roman" w:eastAsia="宋体"/>
                <w:color w:val="auto"/>
                <w:kern w:val="2"/>
                <w:sz w:val="24"/>
                <w:szCs w:val="24"/>
                <w:lang w:val="en-US" w:eastAsia="zh-CN"/>
              </w:rPr>
              <w:t>生产</w:t>
            </w:r>
            <w:r>
              <w:rPr>
                <w:rFonts w:hint="eastAsia" w:ascii="Times New Roman" w:hAnsi="Times New Roman" w:eastAsia="宋体"/>
                <w:color w:val="auto"/>
                <w:kern w:val="2"/>
                <w:sz w:val="24"/>
                <w:szCs w:val="24"/>
                <w:lang w:val="en-US" w:eastAsia="zh-CN"/>
              </w:rPr>
              <w:t>，物料输送廊道也进行封闭</w:t>
            </w:r>
            <w:r>
              <w:rPr>
                <w:rFonts w:hint="default" w:ascii="Times New Roman" w:hAnsi="Times New Roman" w:eastAsia="宋体"/>
                <w:color w:val="auto"/>
                <w:kern w:val="2"/>
                <w:sz w:val="24"/>
                <w:szCs w:val="24"/>
                <w:lang w:val="en-US" w:eastAsia="zh-CN"/>
              </w:rPr>
              <w:t>，并采用</w:t>
            </w:r>
            <w:r>
              <w:rPr>
                <w:rFonts w:hint="eastAsia"/>
                <w:color w:val="auto"/>
                <w:kern w:val="2"/>
                <w:sz w:val="24"/>
                <w:szCs w:val="24"/>
                <w:lang w:val="en-US" w:eastAsia="zh-CN"/>
              </w:rPr>
              <w:t>喷淋</w:t>
            </w:r>
            <w:r>
              <w:rPr>
                <w:rFonts w:hint="default" w:ascii="Times New Roman" w:hAnsi="Times New Roman" w:eastAsia="宋体"/>
                <w:color w:val="auto"/>
                <w:kern w:val="2"/>
                <w:sz w:val="24"/>
                <w:szCs w:val="24"/>
                <w:lang w:val="en-US" w:eastAsia="zh-CN"/>
              </w:rPr>
              <w:t>降尘</w:t>
            </w:r>
            <w:r>
              <w:rPr>
                <w:rFonts w:hint="eastAsia" w:ascii="Times New Roman" w:hAnsi="Times New Roman" w:eastAsia="宋体"/>
                <w:color w:val="auto"/>
                <w:kern w:val="2"/>
                <w:sz w:val="24"/>
                <w:szCs w:val="24"/>
                <w:lang w:val="en-US" w:eastAsia="zh-CN"/>
              </w:rPr>
              <w:t>，</w:t>
            </w:r>
            <w:r>
              <w:rPr>
                <w:rFonts w:hint="default" w:ascii="Times New Roman" w:hAnsi="Times New Roman" w:eastAsia="宋体"/>
                <w:color w:val="auto"/>
                <w:kern w:val="2"/>
                <w:sz w:val="24"/>
                <w:szCs w:val="24"/>
                <w:lang w:val="en-US" w:eastAsia="zh-CN"/>
              </w:rPr>
              <w:t>可以降低90%人上的粉尘量，综合而言，采取防治措施后破碎过程中粉尘</w:t>
            </w:r>
            <w:r>
              <w:rPr>
                <w:rFonts w:hint="eastAsia" w:ascii="Times New Roman" w:hAnsi="Times New Roman" w:eastAsia="宋体"/>
                <w:color w:val="auto"/>
                <w:kern w:val="2"/>
                <w:sz w:val="24"/>
                <w:szCs w:val="24"/>
                <w:lang w:val="en-US" w:eastAsia="zh-CN"/>
              </w:rPr>
              <w:t>对周围环境影响不大</w:t>
            </w:r>
            <w:r>
              <w:rPr>
                <w:rFonts w:hint="default" w:ascii="Times New Roman" w:hAnsi="Times New Roman" w:eastAsia="宋体"/>
                <w:color w:val="auto"/>
                <w:kern w:val="2"/>
                <w:sz w:val="24"/>
                <w:szCs w:val="24"/>
                <w:lang w:val="en-US" w:eastAsia="zh-CN"/>
              </w:rPr>
              <w:t>。</w:t>
            </w:r>
          </w:p>
          <w:p w14:paraId="25EF8620">
            <w:pPr>
              <w:pageBreakBefore w:val="0"/>
              <w:kinsoku/>
              <w:wordWrap/>
              <w:overflowPunct/>
              <w:topLinePunct w:val="0"/>
              <w:bidi w:val="0"/>
              <w:spacing w:beforeAutospacing="0" w:afterAutospacing="0" w:line="360" w:lineRule="auto"/>
              <w:ind w:firstLine="482" w:firstLineChars="200"/>
              <w:contextualSpacing/>
              <w:jc w:val="both"/>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（7）筛分粉尘</w:t>
            </w:r>
          </w:p>
          <w:p w14:paraId="431733A0">
            <w:pPr>
              <w:pageBreakBefore w:val="0"/>
              <w:kinsoku/>
              <w:wordWrap/>
              <w:overflowPunct/>
              <w:topLinePunct w:val="0"/>
              <w:bidi w:val="0"/>
              <w:spacing w:beforeAutospacing="0" w:afterAutospacing="0" w:line="360" w:lineRule="auto"/>
              <w:ind w:firstLine="480" w:firstLineChars="200"/>
              <w:contextualSpacing/>
              <w:jc w:val="both"/>
              <w:rPr>
                <w:rFonts w:hint="default" w:ascii="Times New Roman" w:hAnsi="Times New Roman" w:eastAsia="宋体"/>
                <w:color w:val="auto"/>
                <w:kern w:val="2"/>
                <w:sz w:val="24"/>
                <w:szCs w:val="24"/>
                <w:lang w:val="en-US" w:eastAsia="zh-CN"/>
              </w:rPr>
            </w:pPr>
            <w:r>
              <w:rPr>
                <w:rFonts w:hint="eastAsia" w:ascii="Times New Roman" w:hAnsi="Times New Roman" w:eastAsia="宋体"/>
                <w:color w:val="auto"/>
                <w:kern w:val="2"/>
                <w:sz w:val="24"/>
                <w:szCs w:val="24"/>
                <w:lang w:val="en-US" w:eastAsia="zh-CN"/>
              </w:rPr>
              <w:t>将筛分设备</w:t>
            </w:r>
            <w:r>
              <w:rPr>
                <w:rFonts w:hint="eastAsia"/>
                <w:color w:val="auto"/>
                <w:kern w:val="2"/>
                <w:sz w:val="24"/>
                <w:szCs w:val="24"/>
                <w:lang w:val="en-US" w:eastAsia="zh-CN"/>
              </w:rPr>
              <w:t>置</w:t>
            </w:r>
            <w:r>
              <w:rPr>
                <w:rFonts w:hint="eastAsia" w:ascii="Times New Roman" w:hAnsi="Times New Roman" w:eastAsia="宋体"/>
                <w:color w:val="auto"/>
                <w:kern w:val="2"/>
                <w:sz w:val="24"/>
                <w:szCs w:val="24"/>
                <w:lang w:val="en-US" w:eastAsia="zh-CN"/>
              </w:rPr>
              <w:t>于</w:t>
            </w:r>
            <w:r>
              <w:rPr>
                <w:rFonts w:hint="eastAsia"/>
                <w:color w:val="auto"/>
                <w:kern w:val="2"/>
                <w:sz w:val="24"/>
                <w:szCs w:val="24"/>
                <w:lang w:val="en-US" w:eastAsia="zh-CN"/>
              </w:rPr>
              <w:t>封闭</w:t>
            </w:r>
            <w:r>
              <w:rPr>
                <w:rFonts w:hint="eastAsia" w:ascii="Times New Roman" w:hAnsi="Times New Roman" w:eastAsia="宋体"/>
                <w:color w:val="auto"/>
                <w:kern w:val="2"/>
                <w:sz w:val="24"/>
                <w:szCs w:val="24"/>
                <w:lang w:val="en-US" w:eastAsia="zh-CN"/>
              </w:rPr>
              <w:t>车间，</w:t>
            </w:r>
            <w:r>
              <w:rPr>
                <w:rFonts w:hint="eastAsia"/>
                <w:color w:val="auto"/>
                <w:kern w:val="2"/>
                <w:sz w:val="24"/>
                <w:szCs w:val="24"/>
                <w:lang w:val="en-US" w:eastAsia="zh-CN"/>
              </w:rPr>
              <w:t>并进行车间喷淋降尘</w:t>
            </w:r>
            <w:r>
              <w:rPr>
                <w:rFonts w:hint="default" w:ascii="Times New Roman" w:hAnsi="Times New Roman" w:eastAsia="宋体"/>
                <w:color w:val="auto"/>
                <w:kern w:val="2"/>
                <w:sz w:val="24"/>
                <w:szCs w:val="24"/>
                <w:lang w:val="en-US" w:eastAsia="zh-CN"/>
              </w:rPr>
              <w:t>。洒水降尘的效率按85%计，其余逸散粉尘进一步通过破碎生产车间喷雾压尘装置进一步降尘，则其联合控制效率为95.5%，</w:t>
            </w:r>
            <w:r>
              <w:rPr>
                <w:rFonts w:hint="eastAsia" w:ascii="Times New Roman" w:hAnsi="Times New Roman" w:eastAsia="宋体"/>
                <w:color w:val="auto"/>
                <w:kern w:val="2"/>
                <w:sz w:val="24"/>
                <w:szCs w:val="24"/>
                <w:lang w:val="en-US" w:eastAsia="zh-CN"/>
              </w:rPr>
              <w:t>因此筛分粉尘产生量较小，对周围环境影响较小。</w:t>
            </w:r>
          </w:p>
          <w:p w14:paraId="0743BB6E">
            <w:pPr>
              <w:pageBreakBefore w:val="0"/>
              <w:kinsoku/>
              <w:wordWrap/>
              <w:overflowPunct/>
              <w:topLinePunct w:val="0"/>
              <w:bidi w:val="0"/>
              <w:spacing w:beforeAutospacing="0" w:afterAutospacing="0" w:line="360" w:lineRule="auto"/>
              <w:ind w:firstLine="510" w:firstLineChars="200"/>
              <w:contextualSpacing/>
              <w:rPr>
                <w:rFonts w:hint="eastAsia" w:ascii="Times New Roman" w:hAnsi="Times New Roman" w:eastAsia="宋体"/>
                <w:b/>
                <w:bCs/>
                <w:spacing w:val="7"/>
                <w:sz w:val="24"/>
                <w:szCs w:val="24"/>
                <w:lang w:val="en-US" w:eastAsia="zh-CN"/>
              </w:rPr>
            </w:pPr>
            <w:r>
              <w:rPr>
                <w:rFonts w:hint="eastAsia" w:ascii="Times New Roman" w:hAnsi="Times New Roman" w:eastAsia="宋体"/>
                <w:b/>
                <w:bCs/>
                <w:spacing w:val="7"/>
                <w:sz w:val="24"/>
                <w:szCs w:val="24"/>
                <w:lang w:eastAsia="zh-CN"/>
              </w:rPr>
              <w:t>（</w:t>
            </w:r>
            <w:r>
              <w:rPr>
                <w:rFonts w:hint="eastAsia" w:ascii="Times New Roman" w:hAnsi="Times New Roman" w:eastAsia="宋体"/>
                <w:b/>
                <w:bCs/>
                <w:spacing w:val="7"/>
                <w:sz w:val="24"/>
                <w:szCs w:val="24"/>
                <w:lang w:val="en-US" w:eastAsia="zh-CN"/>
              </w:rPr>
              <w:t>8</w:t>
            </w:r>
            <w:r>
              <w:rPr>
                <w:rFonts w:hint="eastAsia" w:ascii="Times New Roman" w:hAnsi="Times New Roman" w:eastAsia="宋体"/>
                <w:b/>
                <w:bCs/>
                <w:spacing w:val="7"/>
                <w:sz w:val="24"/>
                <w:szCs w:val="24"/>
                <w:lang w:eastAsia="zh-CN"/>
              </w:rPr>
              <w:t>）</w:t>
            </w:r>
            <w:r>
              <w:rPr>
                <w:rFonts w:ascii="Times New Roman" w:hAnsi="Times New Roman" w:eastAsia="宋体"/>
                <w:b/>
                <w:bCs/>
                <w:spacing w:val="7"/>
                <w:sz w:val="24"/>
                <w:szCs w:val="24"/>
              </w:rPr>
              <w:t>成品堆场</w:t>
            </w:r>
            <w:r>
              <w:rPr>
                <w:rFonts w:hint="eastAsia" w:ascii="Times New Roman" w:hAnsi="Times New Roman" w:eastAsia="宋体"/>
                <w:b/>
                <w:bCs/>
                <w:spacing w:val="7"/>
                <w:sz w:val="24"/>
                <w:szCs w:val="24"/>
                <w:lang w:val="en-US" w:eastAsia="zh-CN"/>
              </w:rPr>
              <w:t>粉尘</w:t>
            </w:r>
          </w:p>
          <w:p w14:paraId="42097B67">
            <w:pPr>
              <w:pageBreakBefore w:val="0"/>
              <w:kinsoku/>
              <w:wordWrap/>
              <w:overflowPunct/>
              <w:topLinePunct w:val="0"/>
              <w:bidi w:val="0"/>
              <w:spacing w:beforeAutospacing="0" w:afterAutospacing="0" w:line="360" w:lineRule="auto"/>
              <w:ind w:firstLine="480" w:firstLineChars="200"/>
              <w:contextualSpacing/>
              <w:jc w:val="both"/>
              <w:rPr>
                <w:rFonts w:hint="eastAsia"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本项目采剥后即可采用装载</w:t>
            </w:r>
            <w:r>
              <w:rPr>
                <w:rFonts w:hint="eastAsia" w:cs="Times New Roman"/>
                <w:color w:val="auto"/>
                <w:kern w:val="2"/>
                <w:sz w:val="24"/>
                <w:szCs w:val="24"/>
                <w:lang w:val="en-US" w:eastAsia="zh-CN"/>
              </w:rPr>
              <w:t>机装</w:t>
            </w:r>
            <w:r>
              <w:rPr>
                <w:rFonts w:hint="default" w:ascii="Times New Roman" w:hAnsi="Times New Roman" w:eastAsia="宋体" w:cs="Times New Roman"/>
                <w:color w:val="auto"/>
                <w:kern w:val="2"/>
                <w:sz w:val="24"/>
                <w:szCs w:val="24"/>
                <w:lang w:val="en-US" w:eastAsia="zh-CN"/>
              </w:rPr>
              <w:t>载进入破碎加工区，破碎后堆存在</w:t>
            </w:r>
            <w:r>
              <w:rPr>
                <w:rFonts w:hint="eastAsia" w:ascii="Times New Roman" w:hAnsi="Times New Roman" w:eastAsia="宋体" w:cs="Times New Roman"/>
                <w:color w:val="auto"/>
                <w:kern w:val="2"/>
                <w:sz w:val="24"/>
                <w:szCs w:val="24"/>
                <w:lang w:val="en-US" w:eastAsia="zh-CN"/>
              </w:rPr>
              <w:t>成品</w:t>
            </w:r>
            <w:r>
              <w:rPr>
                <w:rFonts w:hint="default" w:ascii="Times New Roman" w:hAnsi="Times New Roman" w:eastAsia="宋体" w:cs="Times New Roman"/>
                <w:color w:val="auto"/>
                <w:kern w:val="2"/>
                <w:sz w:val="24"/>
                <w:szCs w:val="24"/>
                <w:lang w:val="en-US" w:eastAsia="zh-CN"/>
              </w:rPr>
              <w:t>堆场内。</w:t>
            </w:r>
            <w:r>
              <w:rPr>
                <w:rFonts w:hint="eastAsia" w:ascii="Times New Roman" w:hAnsi="Times New Roman" w:eastAsia="宋体" w:cs="Times New Roman"/>
                <w:color w:val="auto"/>
                <w:kern w:val="2"/>
                <w:sz w:val="24"/>
                <w:szCs w:val="24"/>
                <w:lang w:val="en-US" w:eastAsia="zh-CN"/>
              </w:rPr>
              <w:t>项目成品堆场面积为21066m</w:t>
            </w:r>
            <w:r>
              <w:rPr>
                <w:rFonts w:hint="eastAsia" w:ascii="Times New Roman" w:hAnsi="Times New Roman" w:eastAsia="宋体" w:cs="Times New Roman"/>
                <w:color w:val="auto"/>
                <w:kern w:val="2"/>
                <w:sz w:val="24"/>
                <w:szCs w:val="24"/>
                <w:vertAlign w:val="superscript"/>
                <w:lang w:val="en-US" w:eastAsia="zh-CN"/>
              </w:rPr>
              <w:t>2</w:t>
            </w:r>
            <w:r>
              <w:rPr>
                <w:rFonts w:hint="eastAsia" w:ascii="Times New Roman" w:hAnsi="Times New Roman" w:eastAsia="宋体" w:cs="Times New Roman"/>
                <w:color w:val="auto"/>
                <w:kern w:val="2"/>
                <w:sz w:val="24"/>
                <w:szCs w:val="24"/>
                <w:lang w:val="en-US" w:eastAsia="zh-CN"/>
              </w:rPr>
              <w:t>，成品堆场设置</w:t>
            </w:r>
            <w:r>
              <w:rPr>
                <w:rFonts w:hint="eastAsia" w:cs="Times New Roman"/>
                <w:color w:val="auto"/>
                <w:kern w:val="2"/>
                <w:sz w:val="24"/>
                <w:szCs w:val="24"/>
                <w:lang w:val="en-US" w:eastAsia="zh-CN"/>
              </w:rPr>
              <w:t>封闭车间</w:t>
            </w:r>
            <w:r>
              <w:rPr>
                <w:rFonts w:hint="eastAsia" w:ascii="Times New Roman" w:hAnsi="Times New Roman" w:eastAsia="宋体" w:cs="Times New Roman"/>
                <w:color w:val="auto"/>
                <w:kern w:val="2"/>
                <w:sz w:val="24"/>
                <w:szCs w:val="24"/>
                <w:lang w:val="en-US" w:eastAsia="zh-CN"/>
              </w:rPr>
              <w:t>，进行喷洒降尘，</w:t>
            </w:r>
            <w:r>
              <w:rPr>
                <w:rFonts w:hint="default" w:ascii="Times New Roman" w:hAnsi="Times New Roman" w:eastAsia="宋体" w:cs="Times New Roman"/>
                <w:color w:val="auto"/>
                <w:kern w:val="2"/>
                <w:sz w:val="24"/>
                <w:szCs w:val="24"/>
                <w:lang w:val="en-US" w:eastAsia="zh-CN"/>
              </w:rPr>
              <w:t>通过类比同类项目，采取上述措施后，</w:t>
            </w:r>
            <w:r>
              <w:rPr>
                <w:rFonts w:hint="eastAsia" w:ascii="Times New Roman" w:hAnsi="Times New Roman" w:eastAsia="宋体" w:cs="Times New Roman"/>
                <w:color w:val="auto"/>
                <w:kern w:val="2"/>
                <w:sz w:val="24"/>
                <w:szCs w:val="24"/>
                <w:lang w:val="en-US" w:eastAsia="zh-CN"/>
              </w:rPr>
              <w:t>成品堆场</w:t>
            </w:r>
            <w:r>
              <w:rPr>
                <w:rFonts w:hint="default" w:ascii="Times New Roman" w:hAnsi="Times New Roman" w:eastAsia="宋体" w:cs="Times New Roman"/>
                <w:color w:val="auto"/>
                <w:kern w:val="2"/>
                <w:sz w:val="24"/>
                <w:szCs w:val="24"/>
                <w:lang w:val="en-US" w:eastAsia="zh-CN"/>
              </w:rPr>
              <w:t>粉尘产生量可减少</w:t>
            </w:r>
            <w:r>
              <w:rPr>
                <w:rFonts w:hint="eastAsia" w:ascii="Times New Roman" w:hAnsi="Times New Roman" w:eastAsia="宋体" w:cs="Times New Roman"/>
                <w:color w:val="auto"/>
                <w:kern w:val="2"/>
                <w:sz w:val="24"/>
                <w:szCs w:val="24"/>
                <w:lang w:val="en-US" w:eastAsia="zh-CN"/>
              </w:rPr>
              <w:t>8</w:t>
            </w:r>
            <w:r>
              <w:rPr>
                <w:rFonts w:hint="default" w:ascii="Times New Roman" w:hAnsi="Times New Roman" w:eastAsia="宋体" w:cs="Times New Roman"/>
                <w:color w:val="auto"/>
                <w:kern w:val="2"/>
                <w:sz w:val="24"/>
                <w:szCs w:val="24"/>
                <w:lang w:val="en-US" w:eastAsia="zh-CN"/>
              </w:rPr>
              <w:t>0%左右，则成品堆场粉尘以无组织形式排放</w:t>
            </w:r>
            <w:r>
              <w:rPr>
                <w:rFonts w:hint="eastAsia" w:ascii="Times New Roman" w:hAnsi="Times New Roman" w:eastAsia="宋体" w:cs="Times New Roman"/>
                <w:color w:val="auto"/>
                <w:kern w:val="2"/>
                <w:sz w:val="24"/>
                <w:szCs w:val="24"/>
                <w:lang w:val="en-US" w:eastAsia="zh-CN"/>
              </w:rPr>
              <w:t>，对周围环境影响较小</w:t>
            </w:r>
            <w:r>
              <w:rPr>
                <w:rFonts w:hint="default" w:ascii="Times New Roman" w:hAnsi="Times New Roman" w:eastAsia="宋体" w:cs="Times New Roman"/>
                <w:color w:val="auto"/>
                <w:kern w:val="2"/>
                <w:sz w:val="24"/>
                <w:szCs w:val="24"/>
                <w:lang w:val="en-US" w:eastAsia="zh-CN"/>
              </w:rPr>
              <w:t>。</w:t>
            </w:r>
          </w:p>
          <w:p w14:paraId="3700B06B">
            <w:pPr>
              <w:spacing w:line="360" w:lineRule="auto"/>
              <w:ind w:firstLine="480"/>
              <w:rPr>
                <w:rFonts w:hint="eastAsia" w:hAnsi="宋体"/>
                <w:color w:val="000000"/>
                <w:sz w:val="24"/>
                <w:szCs w:val="24"/>
              </w:rPr>
            </w:pPr>
            <w:r>
              <w:rPr>
                <w:rFonts w:hint="eastAsia" w:hAnsi="宋体"/>
                <w:b/>
                <w:bCs/>
                <w:color w:val="000000"/>
                <w:sz w:val="24"/>
                <w:szCs w:val="24"/>
                <w:lang w:val="en-US" w:eastAsia="zh-CN"/>
              </w:rPr>
              <w:t>（9）装卸粉尘</w:t>
            </w:r>
          </w:p>
          <w:p w14:paraId="2E9C0C72">
            <w:pPr>
              <w:spacing w:line="360" w:lineRule="auto"/>
              <w:ind w:firstLine="480" w:firstLineChars="200"/>
              <w:rPr>
                <w:rFonts w:hint="eastAsia" w:ascii="Times New Roman" w:hAnsi="宋体" w:cs="Times New Roman"/>
                <w:color w:val="000000"/>
                <w:sz w:val="24"/>
                <w:szCs w:val="24"/>
              </w:rPr>
            </w:pPr>
            <w:r>
              <w:rPr>
                <w:rFonts w:hint="eastAsia"/>
                <w:sz w:val="24"/>
              </w:rPr>
              <w:t>自卸汽车在</w:t>
            </w:r>
            <w:r>
              <w:rPr>
                <w:rFonts w:hint="eastAsia"/>
                <w:sz w:val="24"/>
                <w:lang w:val="en-US" w:eastAsia="zh-CN"/>
              </w:rPr>
              <w:t>装料和</w:t>
            </w:r>
            <w:r>
              <w:rPr>
                <w:rFonts w:hint="eastAsia"/>
                <w:sz w:val="24"/>
              </w:rPr>
              <w:t>卸料时也会产生一定量的粉尘，</w:t>
            </w:r>
            <w:r>
              <w:rPr>
                <w:rFonts w:hint="eastAsia" w:ascii="Times New Roman" w:hAnsi="Times New Roman" w:eastAsia="宋体"/>
                <w:b w:val="0"/>
                <w:bCs w:val="0"/>
                <w:color w:val="000000"/>
                <w:sz w:val="24"/>
                <w:szCs w:val="24"/>
                <w:lang w:eastAsia="zh-CN"/>
              </w:rPr>
              <w:t>本项目装卸过程采用雾炮等进行洒水抑尘作业，可有效</w:t>
            </w:r>
            <w:r>
              <w:rPr>
                <w:rFonts w:hint="eastAsia"/>
                <w:b w:val="0"/>
                <w:bCs w:val="0"/>
                <w:color w:val="000000"/>
                <w:sz w:val="24"/>
                <w:szCs w:val="24"/>
                <w:lang w:eastAsia="zh-CN"/>
              </w:rPr>
              <w:t>减少</w:t>
            </w:r>
            <w:r>
              <w:rPr>
                <w:rFonts w:hint="eastAsia" w:ascii="Times New Roman" w:hAnsi="Times New Roman" w:eastAsia="宋体"/>
                <w:b w:val="0"/>
                <w:bCs w:val="0"/>
                <w:color w:val="000000"/>
                <w:sz w:val="24"/>
                <w:szCs w:val="24"/>
                <w:lang w:eastAsia="zh-CN"/>
              </w:rPr>
              <w:t>装卸过程粉尘产生量。</w:t>
            </w:r>
            <w:r>
              <w:rPr>
                <w:rFonts w:hint="eastAsia" w:ascii="Times New Roman" w:hAnsi="Times New Roman" w:eastAsia="宋体"/>
                <w:b w:val="0"/>
                <w:bCs w:val="0"/>
                <w:color w:val="000000"/>
                <w:sz w:val="24"/>
                <w:szCs w:val="24"/>
                <w:lang w:val="en-US" w:eastAsia="zh-CN"/>
              </w:rPr>
              <w:t>装卸粉尘</w:t>
            </w:r>
            <w:r>
              <w:rPr>
                <w:rFonts w:hint="eastAsia"/>
                <w:sz w:val="24"/>
                <w:lang w:val="en-US" w:eastAsia="zh-CN"/>
              </w:rPr>
              <w:t>以无组织形式排放，对周围环境影响较小</w:t>
            </w:r>
            <w:r>
              <w:rPr>
                <w:rFonts w:hint="eastAsia"/>
                <w:sz w:val="24"/>
              </w:rPr>
              <w:t>。</w:t>
            </w:r>
          </w:p>
          <w:p w14:paraId="1DF0E570">
            <w:pPr>
              <w:spacing w:line="360" w:lineRule="auto"/>
              <w:ind w:firstLine="480"/>
              <w:rPr>
                <w:rFonts w:hint="eastAsia" w:hAnsi="宋体"/>
                <w:color w:val="000000"/>
                <w:sz w:val="24"/>
                <w:szCs w:val="24"/>
                <w:lang w:val="en-US" w:eastAsia="zh-CN"/>
              </w:rPr>
            </w:pPr>
            <w:r>
              <w:rPr>
                <w:rFonts w:hint="eastAsia" w:hAnsi="宋体"/>
                <w:b/>
                <w:bCs/>
                <w:color w:val="000000"/>
                <w:sz w:val="24"/>
                <w:szCs w:val="24"/>
                <w:lang w:val="en-US" w:eastAsia="zh-CN"/>
              </w:rPr>
              <w:t>（10）道路运输扬尘</w:t>
            </w:r>
          </w:p>
          <w:p w14:paraId="0DCA41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Chars="0" w:firstLine="480" w:firstLineChars="200"/>
              <w:textAlignment w:val="auto"/>
              <w:rPr>
                <w:rFonts w:hint="eastAsia" w:ascii="Times New Roman" w:hAnsi="Times New Roman" w:eastAsia="宋体"/>
                <w:color w:val="000000"/>
                <w:sz w:val="24"/>
                <w:szCs w:val="24"/>
                <w:lang w:eastAsia="zh-CN"/>
              </w:rPr>
            </w:pPr>
            <w:r>
              <w:rPr>
                <w:rFonts w:ascii="Times New Roman" w:hAnsi="Times New Roman" w:eastAsia="宋体"/>
                <w:color w:val="000000"/>
                <w:sz w:val="24"/>
                <w:szCs w:val="24"/>
              </w:rPr>
              <w:fldChar w:fldCharType="begin"/>
            </w:r>
            <w:r>
              <w:rPr>
                <w:rFonts w:ascii="Times New Roman" w:hAnsi="Times New Roman" w:eastAsia="宋体"/>
                <w:color w:val="000000"/>
                <w:sz w:val="24"/>
                <w:szCs w:val="24"/>
              </w:rPr>
              <w:instrText xml:space="preserve"> = 1 \* GB3 \* MERGEFORMAT </w:instrText>
            </w:r>
            <w:r>
              <w:rPr>
                <w:rFonts w:ascii="Times New Roman" w:hAnsi="Times New Roman" w:eastAsia="宋体"/>
                <w:color w:val="000000"/>
                <w:sz w:val="24"/>
                <w:szCs w:val="24"/>
              </w:rPr>
              <w:fldChar w:fldCharType="separate"/>
            </w:r>
            <w:r>
              <w:rPr>
                <w:rFonts w:ascii="Times New Roman" w:hAnsi="Times New Roman" w:eastAsia="宋体"/>
                <w:color w:val="000000"/>
                <w:sz w:val="24"/>
                <w:szCs w:val="24"/>
              </w:rPr>
              <w:t>①</w:t>
            </w:r>
            <w:r>
              <w:rPr>
                <w:rFonts w:ascii="Times New Roman" w:hAnsi="Times New Roman" w:eastAsia="宋体"/>
                <w:color w:val="000000"/>
                <w:sz w:val="24"/>
                <w:szCs w:val="24"/>
              </w:rPr>
              <w:fldChar w:fldCharType="end"/>
            </w:r>
            <w:r>
              <w:rPr>
                <w:rFonts w:hint="eastAsia" w:ascii="Times New Roman" w:hAnsi="Times New Roman" w:eastAsia="宋体"/>
                <w:color w:val="000000"/>
                <w:sz w:val="24"/>
                <w:szCs w:val="24"/>
                <w:lang w:eastAsia="zh-CN"/>
              </w:rPr>
              <w:t>矿区</w:t>
            </w:r>
            <w:r>
              <w:rPr>
                <w:rFonts w:hint="eastAsia" w:ascii="Times New Roman" w:hAnsi="Times New Roman" w:eastAsia="宋体"/>
                <w:color w:val="000000"/>
                <w:sz w:val="24"/>
                <w:szCs w:val="24"/>
                <w:lang w:val="en-US" w:eastAsia="zh-CN"/>
              </w:rPr>
              <w:t>内</w:t>
            </w:r>
            <w:r>
              <w:rPr>
                <w:rFonts w:hint="eastAsia" w:ascii="Times New Roman" w:hAnsi="Times New Roman" w:eastAsia="宋体"/>
                <w:color w:val="000000"/>
                <w:sz w:val="24"/>
                <w:szCs w:val="24"/>
                <w:lang w:eastAsia="zh-CN"/>
              </w:rPr>
              <w:t>运输道路</w:t>
            </w:r>
            <w:r>
              <w:rPr>
                <w:rFonts w:hint="eastAsia"/>
                <w:color w:val="000000"/>
                <w:sz w:val="24"/>
                <w:szCs w:val="24"/>
                <w:lang w:eastAsia="zh-CN"/>
              </w:rPr>
              <w:t>采用</w:t>
            </w:r>
            <w:r>
              <w:rPr>
                <w:rFonts w:hint="eastAsia" w:ascii="Times New Roman" w:hAnsi="Times New Roman" w:eastAsia="宋体"/>
                <w:color w:val="000000"/>
                <w:sz w:val="24"/>
                <w:szCs w:val="24"/>
                <w:lang w:eastAsia="zh-CN"/>
              </w:rPr>
              <w:t>废弃的砂石料进行铺压，定期洒水，</w:t>
            </w:r>
            <w:r>
              <w:rPr>
                <w:rFonts w:ascii="Times New Roman" w:hAnsi="Times New Roman" w:eastAsia="宋体"/>
                <w:color w:val="000000"/>
                <w:sz w:val="24"/>
                <w:szCs w:val="24"/>
              </w:rPr>
              <w:t>在晴天或有风天气每天洒水4次，每晴天小风或无风天气洒水2次</w:t>
            </w:r>
            <w:r>
              <w:rPr>
                <w:rFonts w:hint="eastAsia" w:ascii="Times New Roman" w:hAnsi="Times New Roman" w:eastAsia="宋体"/>
                <w:color w:val="000000"/>
                <w:sz w:val="24"/>
                <w:szCs w:val="24"/>
                <w:lang w:eastAsia="zh-CN"/>
              </w:rPr>
              <w:t>，定期对道路进行修补。</w:t>
            </w:r>
          </w:p>
          <w:p w14:paraId="1C26C4C7">
            <w:pPr>
              <w:pStyle w:val="19"/>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Chars="0" w:firstLine="480" w:firstLineChars="200"/>
              <w:jc w:val="left"/>
              <w:textAlignment w:val="auto"/>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fldChar w:fldCharType="begin"/>
            </w:r>
            <w:r>
              <w:rPr>
                <w:rFonts w:hint="eastAsia" w:ascii="Times New Roman" w:hAnsi="Times New Roman" w:eastAsia="宋体"/>
                <w:color w:val="000000"/>
                <w:sz w:val="24"/>
                <w:szCs w:val="24"/>
                <w:lang w:val="en-US" w:eastAsia="zh-CN"/>
              </w:rPr>
              <w:instrText xml:space="preserve"> = 2 \* GB3 \* MERGEFORMAT </w:instrText>
            </w:r>
            <w:r>
              <w:rPr>
                <w:rFonts w:hint="eastAsia" w:ascii="Times New Roman" w:hAnsi="Times New Roman" w:eastAsia="宋体"/>
                <w:color w:val="000000"/>
                <w:sz w:val="24"/>
                <w:szCs w:val="24"/>
                <w:lang w:val="en-US" w:eastAsia="zh-CN"/>
              </w:rPr>
              <w:fldChar w:fldCharType="separate"/>
            </w:r>
            <w:r>
              <w:rPr>
                <w:rFonts w:ascii="Times New Roman" w:hAnsi="Times New Roman" w:eastAsia="宋体"/>
                <w:color w:val="000000"/>
                <w:sz w:val="24"/>
                <w:szCs w:val="24"/>
              </w:rPr>
              <w:t>②</w:t>
            </w:r>
            <w:r>
              <w:rPr>
                <w:rFonts w:hint="eastAsia" w:ascii="Times New Roman" w:hAnsi="Times New Roman" w:eastAsia="宋体"/>
                <w:color w:val="000000"/>
                <w:sz w:val="24"/>
                <w:szCs w:val="24"/>
                <w:lang w:val="en-US" w:eastAsia="zh-CN"/>
              </w:rPr>
              <w:fldChar w:fldCharType="end"/>
            </w:r>
            <w:r>
              <w:rPr>
                <w:rFonts w:hint="eastAsia" w:ascii="Times New Roman" w:hAnsi="Times New Roman" w:eastAsia="宋体"/>
                <w:color w:val="000000"/>
                <w:sz w:val="24"/>
                <w:szCs w:val="24"/>
                <w:lang w:val="en-US" w:eastAsia="zh-CN"/>
              </w:rPr>
              <w:t>限制运输车辆行驶速度。</w:t>
            </w:r>
          </w:p>
          <w:p w14:paraId="578E638E">
            <w:pPr>
              <w:pageBreakBefore w:val="0"/>
              <w:widowControl w:val="0"/>
              <w:kinsoku/>
              <w:wordWrap/>
              <w:overflowPunct/>
              <w:topLinePunct w:val="0"/>
              <w:autoSpaceDE/>
              <w:autoSpaceDN/>
              <w:bidi w:val="0"/>
              <w:adjustRightInd/>
              <w:snapToGrid/>
              <w:spacing w:beforeAutospacing="0" w:afterAutospacing="0" w:line="360" w:lineRule="auto"/>
              <w:ind w:leftChars="0" w:firstLine="480" w:firstLineChars="200"/>
              <w:textAlignment w:val="auto"/>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fldChar w:fldCharType="begin"/>
            </w:r>
            <w:r>
              <w:rPr>
                <w:rFonts w:hint="eastAsia" w:ascii="Times New Roman" w:hAnsi="Times New Roman" w:eastAsia="宋体"/>
                <w:color w:val="000000"/>
                <w:sz w:val="24"/>
                <w:szCs w:val="24"/>
                <w:lang w:val="en-US" w:eastAsia="zh-CN"/>
              </w:rPr>
              <w:instrText xml:space="preserve"> = 3 \* GB3 \* MERGEFORMAT </w:instrText>
            </w:r>
            <w:r>
              <w:rPr>
                <w:rFonts w:hint="eastAsia" w:ascii="Times New Roman" w:hAnsi="Times New Roman" w:eastAsia="宋体"/>
                <w:color w:val="000000"/>
                <w:sz w:val="24"/>
                <w:szCs w:val="24"/>
                <w:lang w:val="en-US" w:eastAsia="zh-CN"/>
              </w:rPr>
              <w:fldChar w:fldCharType="separate"/>
            </w:r>
            <w:r>
              <w:rPr>
                <w:rFonts w:ascii="Times New Roman" w:hAnsi="Times New Roman" w:eastAsia="宋体"/>
                <w:color w:val="000000"/>
                <w:sz w:val="24"/>
                <w:szCs w:val="24"/>
              </w:rPr>
              <w:t>③</w:t>
            </w:r>
            <w:r>
              <w:rPr>
                <w:rFonts w:hint="eastAsia" w:ascii="Times New Roman" w:hAnsi="Times New Roman" w:eastAsia="宋体"/>
                <w:color w:val="000000"/>
                <w:sz w:val="24"/>
                <w:szCs w:val="24"/>
                <w:lang w:val="en-US" w:eastAsia="zh-CN"/>
              </w:rPr>
              <w:fldChar w:fldCharType="end"/>
            </w:r>
            <w:r>
              <w:rPr>
                <w:rFonts w:hint="eastAsia" w:ascii="Times New Roman" w:hAnsi="Times New Roman" w:eastAsia="宋体"/>
                <w:color w:val="000000"/>
                <w:sz w:val="24"/>
                <w:szCs w:val="24"/>
                <w:lang w:val="en-US" w:eastAsia="zh-CN"/>
              </w:rPr>
              <w:t>运输采取绿色运输，运输车辆应密闭，防止产生运输扬尘。</w:t>
            </w:r>
          </w:p>
          <w:p w14:paraId="025F919C">
            <w:pPr>
              <w:pStyle w:val="19"/>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Chars="0" w:firstLine="480" w:firstLineChars="200"/>
              <w:textAlignment w:val="auto"/>
              <w:rPr>
                <w:color w:val="000000"/>
                <w:sz w:val="24"/>
              </w:rPr>
            </w:pPr>
            <w:r>
              <w:rPr>
                <w:rFonts w:hint="eastAsia" w:ascii="Times New Roman" w:hAnsi="Times New Roman" w:eastAsia="宋体"/>
                <w:color w:val="000000"/>
                <w:sz w:val="24"/>
                <w:szCs w:val="24"/>
                <w:lang w:val="en-US" w:eastAsia="zh-CN"/>
              </w:rPr>
              <w:fldChar w:fldCharType="begin"/>
            </w:r>
            <w:r>
              <w:rPr>
                <w:rFonts w:hint="eastAsia" w:ascii="Times New Roman" w:hAnsi="Times New Roman" w:eastAsia="宋体"/>
                <w:color w:val="000000"/>
                <w:sz w:val="24"/>
                <w:szCs w:val="24"/>
                <w:lang w:val="en-US" w:eastAsia="zh-CN"/>
              </w:rPr>
              <w:instrText xml:space="preserve"> = 4 \* GB3 \* MERGEFORMAT </w:instrText>
            </w:r>
            <w:r>
              <w:rPr>
                <w:rFonts w:hint="eastAsia" w:ascii="Times New Roman" w:hAnsi="Times New Roman" w:eastAsia="宋体"/>
                <w:color w:val="000000"/>
                <w:sz w:val="24"/>
                <w:szCs w:val="24"/>
                <w:lang w:val="en-US" w:eastAsia="zh-CN"/>
              </w:rPr>
              <w:fldChar w:fldCharType="separate"/>
            </w:r>
            <w:r>
              <w:rPr>
                <w:rFonts w:ascii="Times New Roman" w:hAnsi="Times New Roman" w:eastAsia="宋体"/>
                <w:color w:val="000000"/>
                <w:sz w:val="24"/>
                <w:szCs w:val="24"/>
              </w:rPr>
              <w:t>④</w:t>
            </w:r>
            <w:r>
              <w:rPr>
                <w:rFonts w:hint="eastAsia" w:ascii="Times New Roman" w:hAnsi="Times New Roman" w:eastAsia="宋体"/>
                <w:color w:val="000000"/>
                <w:sz w:val="24"/>
                <w:szCs w:val="24"/>
                <w:lang w:val="en-US" w:eastAsia="zh-CN"/>
              </w:rPr>
              <w:fldChar w:fldCharType="end"/>
            </w:r>
            <w:r>
              <w:rPr>
                <w:rFonts w:hint="eastAsia" w:ascii="Times New Roman" w:hAnsi="Times New Roman" w:eastAsia="宋体"/>
                <w:color w:val="000000"/>
                <w:sz w:val="24"/>
                <w:szCs w:val="24"/>
                <w:lang w:val="en-US" w:eastAsia="zh-CN"/>
              </w:rPr>
              <w:t>矿区设置车辆冲洗平台，对进出场车辆需进行冲洗。</w:t>
            </w:r>
          </w:p>
          <w:p w14:paraId="4BF9546F">
            <w:pPr>
              <w:spacing w:line="360" w:lineRule="auto"/>
              <w:ind w:firstLine="480" w:firstLineChars="200"/>
              <w:rPr>
                <w:rFonts w:hint="eastAsia"/>
                <w:color w:val="000000"/>
                <w:sz w:val="24"/>
              </w:rPr>
            </w:pPr>
            <w:r>
              <w:rPr>
                <w:rFonts w:hAnsi="宋体"/>
                <w:color w:val="000000"/>
                <w:sz w:val="24"/>
                <w:szCs w:val="24"/>
              </w:rPr>
              <w:t>经计算在不考虑洒水及阴雨天气的情况下，本项目运输粉尘产生量为</w:t>
            </w:r>
            <w:r>
              <w:rPr>
                <w:rFonts w:hint="eastAsia"/>
                <w:color w:val="000000"/>
                <w:sz w:val="24"/>
                <w:szCs w:val="24"/>
                <w:lang w:val="en-US" w:eastAsia="zh-CN"/>
              </w:rPr>
              <w:t>6.08</w:t>
            </w:r>
            <w:r>
              <w:rPr>
                <w:color w:val="000000"/>
                <w:sz w:val="24"/>
                <w:szCs w:val="24"/>
              </w:rPr>
              <w:t>t/a</w:t>
            </w:r>
            <w:r>
              <w:rPr>
                <w:rFonts w:hAnsi="宋体"/>
                <w:color w:val="000000"/>
                <w:sz w:val="24"/>
                <w:szCs w:val="24"/>
              </w:rPr>
              <w:t>，在除雨天外均进行</w:t>
            </w:r>
            <w:r>
              <w:rPr>
                <w:color w:val="000000"/>
                <w:sz w:val="24"/>
                <w:szCs w:val="24"/>
              </w:rPr>
              <w:t>3</w:t>
            </w:r>
            <w:r>
              <w:rPr>
                <w:rFonts w:hAnsi="宋体"/>
                <w:color w:val="000000"/>
                <w:sz w:val="24"/>
                <w:szCs w:val="24"/>
              </w:rPr>
              <w:t>次以上洒水降尘，使地面尘土的含水达到</w:t>
            </w:r>
            <w:r>
              <w:rPr>
                <w:color w:val="000000"/>
                <w:sz w:val="24"/>
                <w:szCs w:val="24"/>
              </w:rPr>
              <w:t>7%</w:t>
            </w:r>
            <w:r>
              <w:rPr>
                <w:rFonts w:hAnsi="宋体"/>
                <w:color w:val="000000"/>
                <w:sz w:val="24"/>
                <w:szCs w:val="24"/>
              </w:rPr>
              <w:t>的情况下，粉尘减少</w:t>
            </w:r>
            <w:r>
              <w:rPr>
                <w:color w:val="000000"/>
                <w:sz w:val="24"/>
                <w:szCs w:val="24"/>
              </w:rPr>
              <w:t>70%</w:t>
            </w:r>
            <w:r>
              <w:rPr>
                <w:rFonts w:hAnsi="宋体"/>
                <w:color w:val="000000"/>
                <w:sz w:val="24"/>
                <w:szCs w:val="24"/>
              </w:rPr>
              <w:t>，</w:t>
            </w:r>
            <w:r>
              <w:rPr>
                <w:rFonts w:hint="eastAsia"/>
                <w:color w:val="000000"/>
                <w:sz w:val="24"/>
              </w:rPr>
              <w:t>道路运输扬尘排放量约为</w:t>
            </w:r>
            <w:r>
              <w:rPr>
                <w:rFonts w:hint="eastAsia"/>
                <w:color w:val="000000"/>
                <w:sz w:val="24"/>
                <w:lang w:val="en-US" w:eastAsia="zh-CN"/>
              </w:rPr>
              <w:t>1.8</w:t>
            </w:r>
            <w:r>
              <w:rPr>
                <w:rFonts w:hint="eastAsia"/>
                <w:color w:val="000000"/>
                <w:sz w:val="24"/>
              </w:rPr>
              <w:t>t/a</w:t>
            </w:r>
            <w:r>
              <w:rPr>
                <w:rFonts w:hint="eastAsia"/>
                <w:color w:val="000000"/>
                <w:sz w:val="24"/>
                <w:lang w:eastAsia="zh-CN"/>
              </w:rPr>
              <w:t>，</w:t>
            </w:r>
            <w:r>
              <w:rPr>
                <w:rFonts w:hint="eastAsia"/>
                <w:sz w:val="24"/>
                <w:lang w:val="en-US" w:eastAsia="zh-CN"/>
              </w:rPr>
              <w:t>以无组织形式排放，对周围环境影响较小</w:t>
            </w:r>
            <w:r>
              <w:rPr>
                <w:rFonts w:hint="eastAsia"/>
                <w:color w:val="000000"/>
                <w:sz w:val="24"/>
              </w:rPr>
              <w:t>。</w:t>
            </w:r>
          </w:p>
          <w:p w14:paraId="43E8E4AE">
            <w:pPr>
              <w:spacing w:line="360" w:lineRule="auto"/>
              <w:ind w:firstLine="480"/>
              <w:rPr>
                <w:rFonts w:hint="eastAsia" w:hAnsi="宋体"/>
                <w:b/>
                <w:bCs/>
                <w:color w:val="000000"/>
                <w:sz w:val="24"/>
                <w:szCs w:val="24"/>
                <w:lang w:val="en-US" w:eastAsia="zh-CN"/>
              </w:rPr>
            </w:pPr>
            <w:r>
              <w:rPr>
                <w:rFonts w:hint="eastAsia" w:hAnsi="宋体"/>
                <w:b/>
                <w:bCs/>
                <w:color w:val="000000"/>
                <w:sz w:val="24"/>
                <w:szCs w:val="24"/>
                <w:lang w:val="en-US" w:eastAsia="zh-CN"/>
              </w:rPr>
              <w:t>（11）排土场扬尘</w:t>
            </w:r>
          </w:p>
          <w:p w14:paraId="1042802C">
            <w:pPr>
              <w:pStyle w:val="19"/>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Chars="0" w:firstLine="480" w:firstLineChars="200"/>
              <w:textAlignment w:val="auto"/>
              <w:rPr>
                <w:rFonts w:hint="eastAsia" w:ascii="Times New Roman" w:hAnsi="Times New Roman" w:eastAsia="宋体"/>
                <w:color w:val="000000"/>
                <w:sz w:val="24"/>
                <w:szCs w:val="24"/>
                <w:lang w:val="en-US" w:eastAsia="zh-CN"/>
              </w:rPr>
            </w:pPr>
            <w:r>
              <w:rPr>
                <w:rFonts w:ascii="Times New Roman" w:hAnsi="Times New Roman" w:eastAsia="宋体"/>
                <w:color w:val="000000"/>
                <w:sz w:val="24"/>
                <w:szCs w:val="24"/>
              </w:rPr>
              <w:fldChar w:fldCharType="begin"/>
            </w:r>
            <w:r>
              <w:rPr>
                <w:rFonts w:ascii="Times New Roman" w:hAnsi="Times New Roman" w:eastAsia="宋体"/>
                <w:color w:val="000000"/>
                <w:sz w:val="24"/>
                <w:szCs w:val="24"/>
              </w:rPr>
              <w:instrText xml:space="preserve"> = 1 \* GB3 \* MERGEFORMAT </w:instrText>
            </w:r>
            <w:r>
              <w:rPr>
                <w:rFonts w:ascii="Times New Roman" w:hAnsi="Times New Roman" w:eastAsia="宋体"/>
                <w:color w:val="000000"/>
                <w:sz w:val="24"/>
                <w:szCs w:val="24"/>
              </w:rPr>
              <w:fldChar w:fldCharType="separate"/>
            </w:r>
            <w:r>
              <w:rPr>
                <w:rFonts w:ascii="Times New Roman" w:hAnsi="Times New Roman" w:eastAsia="宋体"/>
                <w:color w:val="000000"/>
                <w:sz w:val="24"/>
                <w:szCs w:val="24"/>
              </w:rPr>
              <w:t>①</w:t>
            </w:r>
            <w:r>
              <w:rPr>
                <w:rFonts w:ascii="Times New Roman" w:hAnsi="Times New Roman" w:eastAsia="宋体"/>
                <w:color w:val="000000"/>
                <w:sz w:val="24"/>
                <w:szCs w:val="24"/>
              </w:rPr>
              <w:fldChar w:fldCharType="end"/>
            </w:r>
            <w:r>
              <w:rPr>
                <w:rFonts w:hint="eastAsia" w:ascii="Times New Roman" w:hAnsi="Times New Roman" w:eastAsia="宋体"/>
                <w:color w:val="000000"/>
                <w:sz w:val="24"/>
                <w:szCs w:val="24"/>
                <w:lang w:val="en-US" w:eastAsia="zh-CN"/>
              </w:rPr>
              <w:t>排土场</w:t>
            </w:r>
            <w:r>
              <w:rPr>
                <w:rFonts w:hint="eastAsia" w:ascii="Times New Roman" w:hAnsi="Times New Roman" w:eastAsia="宋体"/>
                <w:color w:val="000000"/>
                <w:sz w:val="24"/>
                <w:szCs w:val="24"/>
                <w:lang w:eastAsia="zh-CN"/>
              </w:rPr>
              <w:t>堆放的废石应及时</w:t>
            </w:r>
            <w:r>
              <w:rPr>
                <w:rFonts w:hint="eastAsia" w:ascii="Times New Roman" w:hAnsi="Times New Roman" w:eastAsia="宋体"/>
                <w:color w:val="000000"/>
                <w:sz w:val="24"/>
                <w:szCs w:val="24"/>
                <w:lang w:val="en-US" w:eastAsia="zh-CN"/>
              </w:rPr>
              <w:t>用于采空区</w:t>
            </w:r>
            <w:r>
              <w:rPr>
                <w:rFonts w:hint="eastAsia" w:ascii="Times New Roman" w:hAnsi="Times New Roman" w:eastAsia="宋体"/>
                <w:color w:val="000000"/>
                <w:sz w:val="24"/>
                <w:szCs w:val="24"/>
                <w:lang w:eastAsia="zh-CN"/>
              </w:rPr>
              <w:t>回填，不能及时回填</w:t>
            </w:r>
            <w:r>
              <w:rPr>
                <w:rFonts w:hint="eastAsia" w:ascii="Times New Roman" w:hAnsi="Times New Roman" w:eastAsia="宋体"/>
                <w:color w:val="000000"/>
                <w:sz w:val="24"/>
                <w:szCs w:val="24"/>
                <w:lang w:val="en-US" w:eastAsia="zh-CN"/>
              </w:rPr>
              <w:t>的</w:t>
            </w:r>
            <w:r>
              <w:rPr>
                <w:rFonts w:hint="eastAsia" w:ascii="Times New Roman" w:hAnsi="Times New Roman" w:eastAsia="宋体"/>
                <w:color w:val="000000"/>
                <w:sz w:val="24"/>
                <w:szCs w:val="24"/>
                <w:lang w:eastAsia="zh-CN"/>
              </w:rPr>
              <w:t>应</w:t>
            </w:r>
            <w:r>
              <w:rPr>
                <w:rFonts w:hint="eastAsia" w:ascii="Times New Roman" w:hAnsi="Times New Roman" w:eastAsia="宋体"/>
                <w:color w:val="000000"/>
                <w:sz w:val="24"/>
                <w:szCs w:val="24"/>
                <w:lang w:val="en-US" w:eastAsia="zh-CN"/>
              </w:rPr>
              <w:t>设置防尘网</w:t>
            </w:r>
            <w:r>
              <w:rPr>
                <w:rFonts w:hint="eastAsia" w:ascii="Times New Roman" w:hAnsi="Times New Roman" w:eastAsia="宋体"/>
                <w:color w:val="000000"/>
                <w:sz w:val="24"/>
                <w:szCs w:val="24"/>
                <w:lang w:eastAsia="zh-CN"/>
              </w:rPr>
              <w:t>覆盖并辅以洒水措施。</w:t>
            </w:r>
          </w:p>
          <w:p w14:paraId="418AACD4">
            <w:pPr>
              <w:pageBreakBefore w:val="0"/>
              <w:widowControl w:val="0"/>
              <w:kinsoku/>
              <w:wordWrap/>
              <w:overflowPunct/>
              <w:topLinePunct w:val="0"/>
              <w:autoSpaceDE/>
              <w:autoSpaceDN/>
              <w:bidi w:val="0"/>
              <w:adjustRightInd/>
              <w:snapToGrid/>
              <w:spacing w:beforeAutospacing="0" w:afterAutospacing="0" w:line="360" w:lineRule="auto"/>
              <w:ind w:leftChars="0" w:firstLine="480" w:firstLineChars="200"/>
              <w:textAlignment w:val="auto"/>
              <w:rPr>
                <w:rFonts w:hint="eastAsia" w:ascii="Times New Roman" w:hAnsi="Times New Roman" w:eastAsia="宋体"/>
                <w:b/>
                <w:bCs/>
                <w:color w:val="000000"/>
                <w:sz w:val="24"/>
                <w:szCs w:val="24"/>
              </w:rPr>
            </w:pPr>
            <w:r>
              <w:rPr>
                <w:rFonts w:hint="eastAsia" w:ascii="Times New Roman" w:hAnsi="Times New Roman" w:eastAsia="宋体"/>
                <w:color w:val="000000"/>
                <w:sz w:val="24"/>
                <w:szCs w:val="24"/>
                <w:lang w:val="en-US" w:eastAsia="zh-CN"/>
              </w:rPr>
              <w:fldChar w:fldCharType="begin"/>
            </w:r>
            <w:r>
              <w:rPr>
                <w:rFonts w:hint="eastAsia" w:ascii="Times New Roman" w:hAnsi="Times New Roman" w:eastAsia="宋体"/>
                <w:color w:val="000000"/>
                <w:sz w:val="24"/>
                <w:szCs w:val="24"/>
                <w:lang w:val="en-US" w:eastAsia="zh-CN"/>
              </w:rPr>
              <w:instrText xml:space="preserve"> = 2 \* GB3 \* MERGEFORMAT </w:instrText>
            </w:r>
            <w:r>
              <w:rPr>
                <w:rFonts w:hint="eastAsia" w:ascii="Times New Roman" w:hAnsi="Times New Roman" w:eastAsia="宋体"/>
                <w:color w:val="000000"/>
                <w:sz w:val="24"/>
                <w:szCs w:val="24"/>
                <w:lang w:val="en-US" w:eastAsia="zh-CN"/>
              </w:rPr>
              <w:fldChar w:fldCharType="separate"/>
            </w:r>
            <w:r>
              <w:rPr>
                <w:rFonts w:ascii="Times New Roman" w:hAnsi="Times New Roman" w:eastAsia="宋体"/>
                <w:color w:val="000000"/>
                <w:sz w:val="24"/>
                <w:szCs w:val="24"/>
              </w:rPr>
              <w:t>②</w:t>
            </w:r>
            <w:r>
              <w:rPr>
                <w:rFonts w:hint="eastAsia" w:ascii="Times New Roman" w:hAnsi="Times New Roman" w:eastAsia="宋体"/>
                <w:color w:val="000000"/>
                <w:sz w:val="24"/>
                <w:szCs w:val="24"/>
                <w:lang w:val="en-US" w:eastAsia="zh-CN"/>
              </w:rPr>
              <w:fldChar w:fldCharType="end"/>
            </w:r>
            <w:r>
              <w:rPr>
                <w:rFonts w:hint="eastAsia" w:ascii="Times New Roman" w:hAnsi="Times New Roman" w:eastAsia="宋体"/>
                <w:color w:val="000000"/>
                <w:sz w:val="24"/>
                <w:szCs w:val="24"/>
                <w:lang w:val="en-US" w:eastAsia="zh-CN"/>
              </w:rPr>
              <w:t>排土场内单独堆放的剥离的表土，要妥善保存养护。用于后期植被恢复。</w:t>
            </w:r>
          </w:p>
          <w:p w14:paraId="04F18CD0">
            <w:pPr>
              <w:spacing w:line="360" w:lineRule="auto"/>
              <w:ind w:firstLine="480"/>
              <w:rPr>
                <w:rFonts w:hint="default" w:ascii="Times New Roman" w:hAnsi="宋体" w:eastAsia="宋体" w:cs="Times New Roman"/>
                <w:color w:val="000000"/>
                <w:sz w:val="24"/>
                <w:szCs w:val="24"/>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对排土场采用防尘网覆盖，</w:t>
            </w:r>
            <w:r>
              <w:rPr>
                <w:rFonts w:hint="default" w:ascii="Times New Roman" w:hAnsi="Times New Roman" w:eastAsia="宋体" w:cs="Times New Roman"/>
                <w:color w:val="auto"/>
                <w:sz w:val="24"/>
                <w:szCs w:val="24"/>
              </w:rPr>
              <w:t>定期进行洒水降尘。通过类比同类项目，采取上述措施后，</w:t>
            </w:r>
            <w:r>
              <w:rPr>
                <w:rFonts w:hint="default" w:ascii="Times New Roman" w:hAnsi="Times New Roman" w:eastAsia="宋体" w:cs="Times New Roman"/>
                <w:color w:val="auto"/>
                <w:sz w:val="24"/>
                <w:szCs w:val="24"/>
                <w:lang w:val="en-US" w:eastAsia="zh-CN"/>
              </w:rPr>
              <w:t>排土</w:t>
            </w:r>
            <w:r>
              <w:rPr>
                <w:rFonts w:hint="default" w:ascii="Times New Roman" w:hAnsi="Times New Roman" w:eastAsia="宋体" w:cs="Times New Roman"/>
                <w:color w:val="auto"/>
                <w:sz w:val="24"/>
                <w:szCs w:val="24"/>
              </w:rPr>
              <w:t>场粉尘产生量可减少</w:t>
            </w:r>
            <w:r>
              <w:rPr>
                <w:rFonts w:hint="default"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rPr>
              <w:t>%左右，</w:t>
            </w:r>
            <w:r>
              <w:rPr>
                <w:rFonts w:hint="default" w:ascii="Times New Roman" w:hAnsi="宋体" w:eastAsia="宋体" w:cs="Times New Roman"/>
                <w:color w:val="000000"/>
                <w:sz w:val="24"/>
                <w:szCs w:val="24"/>
                <w:lang w:val="en-US" w:eastAsia="zh-CN"/>
              </w:rPr>
              <w:t>以无组织形式排放</w:t>
            </w:r>
            <w:r>
              <w:rPr>
                <w:rFonts w:hint="eastAsia" w:ascii="Times New Roman" w:hAnsi="宋体" w:eastAsia="宋体" w:cs="Times New Roman"/>
                <w:color w:val="000000"/>
                <w:sz w:val="24"/>
                <w:szCs w:val="24"/>
                <w:lang w:val="en-US" w:eastAsia="zh-CN"/>
              </w:rPr>
              <w:t>，对周围环境影响较小</w:t>
            </w:r>
            <w:r>
              <w:rPr>
                <w:rFonts w:hint="default" w:ascii="Times New Roman" w:hAnsi="宋体" w:eastAsia="宋体" w:cs="Times New Roman"/>
                <w:color w:val="000000"/>
                <w:sz w:val="24"/>
                <w:szCs w:val="24"/>
                <w:lang w:val="en-US" w:eastAsia="zh-CN"/>
              </w:rPr>
              <w:t>。</w:t>
            </w:r>
          </w:p>
          <w:p w14:paraId="1968681A">
            <w:pPr>
              <w:spacing w:line="360" w:lineRule="auto"/>
              <w:ind w:firstLine="480"/>
              <w:rPr>
                <w:rFonts w:hint="eastAsia" w:hAnsi="宋体"/>
                <w:b/>
                <w:bCs/>
                <w:color w:val="000000"/>
                <w:sz w:val="24"/>
                <w:szCs w:val="24"/>
                <w:lang w:val="en-US" w:eastAsia="zh-CN"/>
              </w:rPr>
            </w:pPr>
            <w:r>
              <w:rPr>
                <w:rFonts w:hint="eastAsia" w:hAnsi="宋体"/>
                <w:b/>
                <w:bCs/>
                <w:color w:val="000000"/>
                <w:sz w:val="24"/>
                <w:szCs w:val="24"/>
                <w:lang w:val="en-US" w:eastAsia="zh-CN"/>
              </w:rPr>
              <w:t>（12）工程机械车辆尾气</w:t>
            </w:r>
          </w:p>
          <w:p w14:paraId="6BFD19E1">
            <w:pPr>
              <w:spacing w:line="360" w:lineRule="auto"/>
              <w:ind w:firstLine="480" w:firstLineChars="200"/>
              <w:rPr>
                <w:rFonts w:hint="eastAsia"/>
                <w:sz w:val="24"/>
              </w:rPr>
            </w:pPr>
            <w:r>
              <w:rPr>
                <w:rFonts w:hint="eastAsia"/>
                <w:sz w:val="24"/>
              </w:rPr>
              <w:t>挖掘机、自卸卡车等重型机械和车辆运行过程中使用柴油，柴油燃烧产生尾气，属无组织排放，主要污染物为氮氧化物</w:t>
            </w:r>
            <w:r>
              <w:rPr>
                <w:rFonts w:hint="eastAsia"/>
                <w:sz w:val="24"/>
                <w:lang w:eastAsia="zh-CN"/>
              </w:rPr>
              <w:t>（</w:t>
            </w:r>
            <w:r>
              <w:rPr>
                <w:rFonts w:hint="eastAsia"/>
                <w:sz w:val="24"/>
              </w:rPr>
              <w:t>以NO</w:t>
            </w:r>
            <w:r>
              <w:rPr>
                <w:rFonts w:hint="eastAsia"/>
                <w:sz w:val="24"/>
                <w:vertAlign w:val="subscript"/>
              </w:rPr>
              <w:t>x</w:t>
            </w:r>
            <w:r>
              <w:rPr>
                <w:rFonts w:hint="eastAsia"/>
                <w:sz w:val="24"/>
              </w:rPr>
              <w:t>计</w:t>
            </w:r>
            <w:r>
              <w:rPr>
                <w:rFonts w:hint="eastAsia"/>
                <w:sz w:val="24"/>
                <w:lang w:eastAsia="zh-CN"/>
              </w:rPr>
              <w:t>）</w:t>
            </w:r>
            <w:r>
              <w:rPr>
                <w:rFonts w:hint="eastAsia"/>
                <w:sz w:val="24"/>
              </w:rPr>
              <w:t>和THC等，产生量较小。</w:t>
            </w:r>
            <w:r>
              <w:rPr>
                <w:rFonts w:hint="eastAsia"/>
                <w:sz w:val="24"/>
                <w:lang w:val="en-US" w:eastAsia="zh-CN"/>
              </w:rPr>
              <w:t>项目区</w:t>
            </w:r>
            <w:r>
              <w:rPr>
                <w:rFonts w:hint="eastAsia"/>
                <w:sz w:val="24"/>
              </w:rPr>
              <w:t>地势空旷易于污染物扩散，对周边环境空气影响不大。</w:t>
            </w:r>
          </w:p>
          <w:p w14:paraId="540E5287">
            <w:pPr>
              <w:pStyle w:val="4"/>
              <w:bidi w:val="0"/>
              <w:rPr>
                <w:rFonts w:hint="default" w:eastAsia="宋体"/>
                <w:lang w:val="en-US" w:eastAsia="zh-CN"/>
              </w:rPr>
            </w:pPr>
            <w:r>
              <w:rPr>
                <w:rFonts w:hint="eastAsia"/>
                <w:lang w:val="en-US" w:eastAsia="zh-CN"/>
              </w:rPr>
              <w:t>3</w:t>
            </w:r>
            <w:r>
              <w:t>、</w:t>
            </w:r>
            <w:r>
              <w:rPr>
                <w:rFonts w:hint="eastAsia"/>
                <w:lang w:val="en-US" w:eastAsia="zh-CN"/>
              </w:rPr>
              <w:t>废水防治措施</w:t>
            </w:r>
          </w:p>
          <w:p w14:paraId="049B4506">
            <w:pPr>
              <w:pageBreakBefore w:val="0"/>
              <w:kinsoku/>
              <w:wordWrap/>
              <w:overflowPunct/>
              <w:topLinePunct w:val="0"/>
              <w:bidi w:val="0"/>
              <w:spacing w:beforeAutospacing="0" w:afterAutospacing="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根据工程分析，本</w:t>
            </w:r>
            <w:r>
              <w:rPr>
                <w:rFonts w:ascii="Times New Roman" w:hAnsi="Times New Roman" w:eastAsia="宋体"/>
                <w:sz w:val="24"/>
                <w:szCs w:val="24"/>
              </w:rPr>
              <w:t>项目运营期</w:t>
            </w:r>
            <w:r>
              <w:rPr>
                <w:rFonts w:hint="eastAsia" w:ascii="Times New Roman" w:hAnsi="Times New Roman" w:eastAsia="宋体"/>
                <w:sz w:val="24"/>
                <w:szCs w:val="24"/>
              </w:rPr>
              <w:t>间</w:t>
            </w:r>
            <w:r>
              <w:rPr>
                <w:rFonts w:ascii="Times New Roman" w:hAnsi="Times New Roman" w:eastAsia="宋体"/>
                <w:sz w:val="24"/>
                <w:szCs w:val="24"/>
              </w:rPr>
              <w:t>产生的废水主要为生产废水</w:t>
            </w:r>
            <w:r>
              <w:rPr>
                <w:rFonts w:hint="eastAsia" w:ascii="Times New Roman" w:hAnsi="Times New Roman" w:eastAsia="宋体"/>
                <w:sz w:val="24"/>
                <w:szCs w:val="24"/>
              </w:rPr>
              <w:t>和职</w:t>
            </w:r>
            <w:r>
              <w:rPr>
                <w:rFonts w:ascii="Times New Roman" w:hAnsi="Times New Roman" w:eastAsia="宋体"/>
                <w:sz w:val="24"/>
                <w:szCs w:val="24"/>
              </w:rPr>
              <w:t>工生活</w:t>
            </w:r>
            <w:r>
              <w:rPr>
                <w:rFonts w:hint="eastAsia" w:ascii="Times New Roman" w:hAnsi="Times New Roman" w:eastAsia="宋体"/>
                <w:sz w:val="24"/>
                <w:szCs w:val="24"/>
              </w:rPr>
              <w:t>污</w:t>
            </w:r>
            <w:r>
              <w:rPr>
                <w:rFonts w:ascii="Times New Roman" w:hAnsi="Times New Roman" w:eastAsia="宋体"/>
                <w:sz w:val="24"/>
                <w:szCs w:val="24"/>
              </w:rPr>
              <w:t>水。</w:t>
            </w:r>
          </w:p>
          <w:p w14:paraId="264FE9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b/>
                <w:bCs w:val="0"/>
                <w:color w:val="auto"/>
                <w:sz w:val="24"/>
                <w:lang w:val="zh-CN"/>
              </w:rPr>
            </w:pPr>
            <w:r>
              <w:rPr>
                <w:rFonts w:hint="eastAsia" w:ascii="Times New Roman" w:hAnsi="Times New Roman" w:eastAsia="宋体"/>
                <w:b/>
                <w:bCs w:val="0"/>
                <w:color w:val="auto"/>
                <w:sz w:val="24"/>
                <w:lang w:val="zh-CN"/>
              </w:rPr>
              <w:t>（1）生产废水</w:t>
            </w:r>
          </w:p>
          <w:p w14:paraId="174888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b w:val="0"/>
                <w:bCs/>
                <w:color w:val="auto"/>
                <w:sz w:val="24"/>
                <w:lang w:val="zh-CN"/>
              </w:rPr>
            </w:pPr>
            <w:r>
              <w:rPr>
                <w:rFonts w:hint="eastAsia" w:ascii="Times New Roman" w:hAnsi="Times New Roman" w:eastAsia="宋体"/>
                <w:b w:val="0"/>
                <w:bCs/>
                <w:color w:val="auto"/>
                <w:sz w:val="24"/>
                <w:lang w:val="zh-CN"/>
              </w:rPr>
              <w:t>本项目生产用水主要用于露天采场、</w:t>
            </w:r>
            <w:r>
              <w:rPr>
                <w:rFonts w:hint="eastAsia" w:ascii="Times New Roman" w:hAnsi="Times New Roman" w:eastAsia="宋体"/>
                <w:b w:val="0"/>
                <w:bCs/>
                <w:color w:val="auto"/>
                <w:sz w:val="24"/>
                <w:lang w:val="en-US" w:eastAsia="zh-CN"/>
              </w:rPr>
              <w:t>排土</w:t>
            </w:r>
            <w:r>
              <w:rPr>
                <w:rFonts w:hint="eastAsia" w:ascii="Times New Roman" w:hAnsi="Times New Roman" w:eastAsia="宋体"/>
                <w:b w:val="0"/>
                <w:bCs/>
                <w:color w:val="auto"/>
                <w:sz w:val="24"/>
                <w:lang w:val="zh-CN"/>
              </w:rPr>
              <w:t>场、场内道路等洒水抑尘用水。降尘用水全部蒸发损耗，无生产废水外排。</w:t>
            </w:r>
          </w:p>
          <w:p w14:paraId="1869A61C">
            <w:pPr>
              <w:pStyle w:val="19"/>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firstLine="480" w:firstLineChars="200"/>
              <w:textAlignment w:val="auto"/>
              <w:rPr>
                <w:rFonts w:hint="eastAsia" w:ascii="Times New Roman" w:hAnsi="Times New Roman" w:eastAsia="宋体"/>
                <w:lang w:val="zh-CN"/>
              </w:rPr>
            </w:pPr>
            <w:r>
              <w:rPr>
                <w:rFonts w:hint="eastAsia" w:ascii="Times New Roman" w:hAnsi="Times New Roman" w:eastAsia="宋体" w:cs="Times New Roman"/>
                <w:color w:val="auto"/>
                <w:sz w:val="24"/>
                <w:szCs w:val="24"/>
                <w:lang w:val="en-US" w:eastAsia="zh-CN"/>
              </w:rPr>
              <w:t>机械及车辆冲洗平台产生的废水经沉淀后全部回用，不外排。</w:t>
            </w:r>
            <w:r>
              <w:rPr>
                <w:rFonts w:hint="eastAsia" w:ascii="Times New Roman" w:hAnsi="Times New Roman" w:eastAsia="宋体"/>
                <w:color w:val="auto"/>
                <w:sz w:val="24"/>
                <w:szCs w:val="24"/>
              </w:rPr>
              <w:t>冲洗平台为钢结构镂空架下方及侧方为水泥沉淀池，四周进行水泥硬化并设置截水沟将冲洗水引至沉淀池</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车辆冲洗废水主要污染物为SS，经沉淀后回用</w:t>
            </w:r>
            <w:r>
              <w:rPr>
                <w:rFonts w:hint="eastAsia"/>
                <w:color w:val="auto"/>
                <w:sz w:val="24"/>
                <w:szCs w:val="24"/>
                <w:lang w:val="en-US" w:eastAsia="zh-CN"/>
              </w:rPr>
              <w:t>，不外排，对周围环境影响较小</w:t>
            </w:r>
            <w:r>
              <w:rPr>
                <w:rFonts w:hint="eastAsia" w:ascii="Times New Roman" w:hAnsi="Times New Roman" w:eastAsia="宋体"/>
                <w:color w:val="auto"/>
                <w:sz w:val="24"/>
                <w:szCs w:val="24"/>
                <w:lang w:val="en-US" w:eastAsia="zh-CN"/>
              </w:rPr>
              <w:t>。</w:t>
            </w:r>
          </w:p>
          <w:p w14:paraId="7848E8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b/>
                <w:bCs w:val="0"/>
                <w:color w:val="auto"/>
                <w:sz w:val="24"/>
                <w:lang w:val="zh-CN"/>
              </w:rPr>
            </w:pPr>
            <w:r>
              <w:rPr>
                <w:rFonts w:hint="eastAsia" w:ascii="Times New Roman" w:hAnsi="Times New Roman" w:eastAsia="宋体"/>
                <w:b/>
                <w:bCs w:val="0"/>
                <w:color w:val="auto"/>
                <w:sz w:val="24"/>
                <w:lang w:val="zh-CN"/>
              </w:rPr>
              <w:t>（2）生活污水</w:t>
            </w:r>
          </w:p>
          <w:p w14:paraId="367078EA">
            <w:pPr>
              <w:keepNext w:val="0"/>
              <w:keepLines w:val="0"/>
              <w:widowControl/>
              <w:suppressLineNumbers w:val="0"/>
              <w:jc w:val="left"/>
              <w:rPr>
                <w:rFonts w:hint="eastAsia" w:ascii="Times New Roman" w:hAnsi="Times New Roman" w:eastAsia="宋体"/>
                <w:b w:val="0"/>
                <w:bCs/>
                <w:color w:val="auto"/>
                <w:sz w:val="24"/>
                <w:szCs w:val="24"/>
                <w:lang w:val="zh-CN"/>
              </w:rPr>
            </w:pPr>
            <w:r>
              <w:rPr>
                <w:rFonts w:hint="eastAsia" w:ascii="Times New Roman" w:hAnsi="Times New Roman" w:eastAsia="宋体" w:cs="Times New Roman"/>
                <w:b w:val="0"/>
                <w:bCs/>
                <w:color w:val="FF0000"/>
                <w:sz w:val="24"/>
                <w:szCs w:val="24"/>
                <w:vertAlign w:val="baseline"/>
                <w:lang w:val="en-US" w:eastAsia="zh-CN"/>
              </w:rPr>
              <w:t>职工</w:t>
            </w:r>
            <w:r>
              <w:rPr>
                <w:rFonts w:hint="eastAsia" w:cs="Times New Roman"/>
                <w:b w:val="0"/>
                <w:bCs/>
                <w:color w:val="FF0000"/>
                <w:sz w:val="24"/>
                <w:szCs w:val="24"/>
                <w:vertAlign w:val="baseline"/>
                <w:lang w:val="en-US" w:eastAsia="zh-CN"/>
              </w:rPr>
              <w:t>盥洗废水和淋浴废水经管道进入化粪池，职工人员</w:t>
            </w:r>
            <w:r>
              <w:rPr>
                <w:rFonts w:hint="eastAsia" w:ascii="Times New Roman" w:hAnsi="Times New Roman" w:eastAsia="宋体" w:cs="Times New Roman"/>
                <w:b w:val="0"/>
                <w:bCs/>
                <w:color w:val="FF0000"/>
                <w:sz w:val="24"/>
                <w:szCs w:val="24"/>
                <w:vertAlign w:val="baseline"/>
                <w:lang w:val="en-US" w:eastAsia="zh-CN"/>
              </w:rPr>
              <w:t>如厕采用</w:t>
            </w:r>
            <w:r>
              <w:rPr>
                <w:rFonts w:hint="eastAsia" w:cs="Times New Roman"/>
                <w:b w:val="0"/>
                <w:bCs/>
                <w:color w:val="FF0000"/>
                <w:sz w:val="24"/>
                <w:szCs w:val="24"/>
                <w:vertAlign w:val="baseline"/>
                <w:lang w:val="en-US" w:eastAsia="zh-CN"/>
              </w:rPr>
              <w:t>干式</w:t>
            </w:r>
            <w:r>
              <w:rPr>
                <w:rFonts w:hint="eastAsia" w:ascii="Times New Roman" w:hAnsi="Times New Roman" w:eastAsia="宋体" w:cs="Times New Roman"/>
                <w:b w:val="0"/>
                <w:bCs/>
                <w:color w:val="FF0000"/>
                <w:sz w:val="24"/>
                <w:szCs w:val="24"/>
                <w:vertAlign w:val="baseline"/>
                <w:lang w:val="en-US" w:eastAsia="zh-CN"/>
              </w:rPr>
              <w:t>环保厕所</w:t>
            </w:r>
            <w:r>
              <w:rPr>
                <w:rFonts w:hint="eastAsia" w:cs="Times New Roman"/>
                <w:b w:val="0"/>
                <w:bCs/>
                <w:color w:val="FF0000"/>
                <w:sz w:val="24"/>
                <w:szCs w:val="24"/>
                <w:vertAlign w:val="baseline"/>
                <w:lang w:val="en-US" w:eastAsia="zh-CN"/>
              </w:rPr>
              <w:t>，旁边设置化粪池，粪便进入化粪池后，定期委托专业公司吸污车抽吸拉运至污水处理厂深度处理</w:t>
            </w:r>
            <w:r>
              <w:rPr>
                <w:rFonts w:hint="eastAsia" w:ascii="Times New Roman" w:hAnsi="Times New Roman" w:eastAsia="宋体"/>
                <w:b w:val="0"/>
                <w:bCs/>
                <w:color w:val="auto"/>
                <w:sz w:val="24"/>
                <w:szCs w:val="24"/>
                <w:lang w:val="zh-CN"/>
              </w:rPr>
              <w:t>。</w:t>
            </w:r>
          </w:p>
          <w:p w14:paraId="119CA68E">
            <w:pPr>
              <w:keepNext w:val="0"/>
              <w:keepLines w:val="0"/>
              <w:widowControl/>
              <w:suppressLineNumbers w:val="0"/>
              <w:jc w:val="left"/>
              <w:rPr>
                <w:rFonts w:hint="default" w:ascii="Times New Roman" w:hAnsi="Times New Roman" w:cs="Times New Roman"/>
                <w:color w:val="0000FC"/>
                <w:sz w:val="24"/>
              </w:rPr>
            </w:pPr>
            <w:r>
              <w:rPr>
                <w:rFonts w:hint="eastAsia"/>
                <w:b w:val="0"/>
                <w:bCs/>
                <w:color w:val="0000FC"/>
                <w:sz w:val="24"/>
                <w:lang w:val="en-US" w:eastAsia="zh-CN"/>
              </w:rPr>
              <w:t>因本项目远离城镇及村庄，无市政污水管网等，且本项目产生的生活污水主要是职工盥洗废水、淋浴废水、食堂废水以及粪便等，其主要污染物成分为BOD5、COD、SS、动植物油等，污染物成分简单含量较低，可通过自建化粪池处理，</w:t>
            </w:r>
            <w:r>
              <w:rPr>
                <w:rFonts w:hint="eastAsia" w:cs="Times New Roman"/>
                <w:color w:val="0000FC"/>
                <w:sz w:val="24"/>
                <w:lang w:val="en-US" w:eastAsia="zh-CN"/>
              </w:rPr>
              <w:t>进入化粪池后</w:t>
            </w:r>
            <w:r>
              <w:rPr>
                <w:rFonts w:hint="default" w:ascii="Times New Roman" w:hAnsi="Times New Roman" w:cs="Times New Roman"/>
                <w:color w:val="0000FC"/>
                <w:sz w:val="24"/>
              </w:rPr>
              <w:t>定期委托专业公司清运</w:t>
            </w:r>
            <w:r>
              <w:rPr>
                <w:rFonts w:hint="eastAsia" w:cs="Times New Roman"/>
                <w:color w:val="0000FC"/>
                <w:sz w:val="24"/>
                <w:lang w:val="en-US" w:eastAsia="zh-CN"/>
              </w:rPr>
              <w:t>处置</w:t>
            </w:r>
            <w:r>
              <w:rPr>
                <w:rFonts w:hint="eastAsia" w:cs="Times New Roman"/>
                <w:color w:val="0000FC"/>
                <w:sz w:val="24"/>
                <w:lang w:eastAsia="zh-CN"/>
              </w:rPr>
              <w:t>。</w:t>
            </w:r>
            <w:r>
              <w:rPr>
                <w:rFonts w:hint="eastAsia" w:cs="Times New Roman"/>
                <w:color w:val="0000FC"/>
                <w:sz w:val="24"/>
                <w:lang w:val="en-US" w:eastAsia="zh-CN"/>
              </w:rPr>
              <w:t>项目附近无管网，</w:t>
            </w:r>
            <w:r>
              <w:rPr>
                <w:rFonts w:hint="default" w:ascii="Times New Roman" w:hAnsi="Times New Roman" w:cs="Times New Roman"/>
                <w:color w:val="0000FC"/>
                <w:sz w:val="24"/>
              </w:rPr>
              <w:t>生活污水</w:t>
            </w:r>
            <w:r>
              <w:rPr>
                <w:rFonts w:hint="eastAsia" w:cs="Times New Roman"/>
                <w:color w:val="0000FC"/>
                <w:sz w:val="24"/>
                <w:lang w:val="en-US" w:eastAsia="zh-CN"/>
              </w:rPr>
              <w:t>委托专业的公司拉</w:t>
            </w:r>
            <w:r>
              <w:rPr>
                <w:rFonts w:hint="eastAsia" w:ascii="Times New Roman" w:hAnsi="Times New Roman" w:cs="Times New Roman"/>
                <w:color w:val="0000FC"/>
                <w:sz w:val="24"/>
                <w:lang w:val="en-US" w:eastAsia="zh-CN"/>
              </w:rPr>
              <w:t>运处置，并与其签订处置协议，</w:t>
            </w:r>
            <w:r>
              <w:rPr>
                <w:rFonts w:hint="eastAsia" w:cs="Times New Roman"/>
                <w:color w:val="0000FC"/>
                <w:sz w:val="24"/>
                <w:lang w:val="en-US" w:eastAsia="zh-CN"/>
              </w:rPr>
              <w:t>清运公司</w:t>
            </w:r>
            <w:r>
              <w:rPr>
                <w:rFonts w:hint="eastAsia" w:ascii="Times New Roman" w:hAnsi="Times New Roman" w:cs="Times New Roman"/>
                <w:color w:val="0000FC"/>
                <w:sz w:val="24"/>
                <w:lang w:val="en-US" w:eastAsia="zh-CN"/>
              </w:rPr>
              <w:t>负责将受托处理的污水运入其污水处理基地。</w:t>
            </w:r>
            <w:r>
              <w:rPr>
                <w:rFonts w:hint="eastAsia" w:cs="Times New Roman"/>
                <w:color w:val="0000FC"/>
                <w:sz w:val="24"/>
                <w:lang w:val="en-US" w:eastAsia="zh-CN"/>
              </w:rPr>
              <w:t>清运公司</w:t>
            </w:r>
            <w:r>
              <w:rPr>
                <w:rFonts w:hint="eastAsia" w:ascii="Times New Roman" w:hAnsi="Times New Roman" w:cs="Times New Roman"/>
                <w:color w:val="0000FC"/>
                <w:sz w:val="24"/>
                <w:lang w:val="en-US" w:eastAsia="zh-CN"/>
              </w:rPr>
              <w:t>在运输过程中应防止跑、冒、滴、漏而污染环境，同时确保所处理污水达标排放。因此，生活污水</w:t>
            </w:r>
            <w:r>
              <w:rPr>
                <w:rFonts w:hint="default" w:ascii="Times New Roman" w:hAnsi="Times New Roman" w:cs="Times New Roman"/>
                <w:color w:val="0000FC"/>
                <w:sz w:val="24"/>
              </w:rPr>
              <w:t>定期委托专业公司清运</w:t>
            </w:r>
            <w:r>
              <w:rPr>
                <w:rFonts w:hint="eastAsia" w:ascii="Times New Roman" w:hAnsi="Times New Roman" w:cs="Times New Roman"/>
                <w:color w:val="0000FC"/>
                <w:sz w:val="24"/>
                <w:lang w:val="en-US" w:eastAsia="zh-CN"/>
              </w:rPr>
              <w:t>处置是可行的</w:t>
            </w:r>
            <w:r>
              <w:rPr>
                <w:rFonts w:hint="default" w:ascii="Times New Roman" w:hAnsi="Times New Roman" w:cs="Times New Roman"/>
                <w:color w:val="0000FC"/>
                <w:sz w:val="24"/>
              </w:rPr>
              <w:t>。</w:t>
            </w:r>
          </w:p>
          <w:p w14:paraId="0DEF10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b w:val="0"/>
                <w:bCs/>
                <w:color w:val="auto"/>
                <w:sz w:val="24"/>
                <w:lang w:val="zh-CN"/>
              </w:rPr>
            </w:pPr>
            <w:r>
              <w:rPr>
                <w:rFonts w:hint="eastAsia" w:ascii="Times New Roman" w:hAnsi="Times New Roman" w:eastAsia="宋体"/>
                <w:b w:val="0"/>
                <w:bCs/>
                <w:color w:val="auto"/>
                <w:sz w:val="24"/>
                <w:lang w:val="zh-CN"/>
              </w:rPr>
              <w:t>本项目运营期间产生的废水不外排，对区域水环境不会造成</w:t>
            </w:r>
            <w:r>
              <w:rPr>
                <w:rFonts w:hint="eastAsia"/>
                <w:b w:val="0"/>
                <w:bCs/>
                <w:color w:val="auto"/>
                <w:sz w:val="24"/>
                <w:lang w:val="en-US" w:eastAsia="zh-CN"/>
              </w:rPr>
              <w:t>不利</w:t>
            </w:r>
            <w:r>
              <w:rPr>
                <w:rFonts w:hint="eastAsia" w:ascii="Times New Roman" w:hAnsi="Times New Roman" w:eastAsia="宋体"/>
                <w:b w:val="0"/>
                <w:bCs/>
                <w:color w:val="auto"/>
                <w:sz w:val="24"/>
                <w:lang w:val="zh-CN"/>
              </w:rPr>
              <w:t>影响。</w:t>
            </w:r>
          </w:p>
          <w:p w14:paraId="1C8F9FD9">
            <w:pPr>
              <w:pStyle w:val="4"/>
              <w:bidi w:val="0"/>
              <w:rPr>
                <w:rFonts w:hint="default" w:eastAsia="宋体"/>
                <w:lang w:val="en-US" w:eastAsia="zh-CN"/>
              </w:rPr>
            </w:pPr>
            <w:r>
              <w:rPr>
                <w:rFonts w:hint="eastAsia"/>
                <w:lang w:val="en-US" w:eastAsia="zh-CN"/>
              </w:rPr>
              <w:t>4</w:t>
            </w:r>
            <w:r>
              <w:rPr>
                <w:lang w:val="zh-CN"/>
              </w:rPr>
              <w:t>、噪声</w:t>
            </w:r>
            <w:r>
              <w:rPr>
                <w:rFonts w:hint="eastAsia"/>
                <w:lang w:val="en-US" w:eastAsia="zh-CN"/>
              </w:rPr>
              <w:t>预测及污染防治措施</w:t>
            </w:r>
          </w:p>
          <w:p w14:paraId="27A48C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b w:val="0"/>
                <w:bCs w:val="0"/>
                <w:color w:val="auto"/>
                <w:sz w:val="24"/>
                <w:lang w:val="zh-CN"/>
              </w:rPr>
            </w:pPr>
            <w:r>
              <w:rPr>
                <w:rFonts w:hint="eastAsia" w:ascii="Times New Roman" w:hAnsi="Times New Roman" w:eastAsia="宋体"/>
                <w:b w:val="0"/>
                <w:bCs w:val="0"/>
                <w:color w:val="auto"/>
                <w:sz w:val="24"/>
                <w:lang w:val="zh-CN"/>
              </w:rPr>
              <w:t>本项目运营期间主要的噪声设备包括</w:t>
            </w:r>
            <w:r>
              <w:rPr>
                <w:rFonts w:hint="eastAsia" w:ascii="Times New Roman" w:hAnsi="Times New Roman" w:eastAsia="宋体"/>
                <w:b w:val="0"/>
                <w:bCs w:val="0"/>
                <w:color w:val="auto"/>
                <w:sz w:val="24"/>
                <w:lang w:val="en-US" w:eastAsia="zh-CN"/>
              </w:rPr>
              <w:t>采矿设备和加工设备</w:t>
            </w:r>
            <w:r>
              <w:rPr>
                <w:rFonts w:hint="eastAsia" w:ascii="Times New Roman" w:hAnsi="Times New Roman" w:eastAsia="宋体"/>
                <w:b w:val="0"/>
                <w:bCs w:val="0"/>
                <w:color w:val="auto"/>
                <w:sz w:val="24"/>
                <w:lang w:val="zh-CN"/>
              </w:rPr>
              <w:t>等。</w:t>
            </w:r>
          </w:p>
          <w:p w14:paraId="22B04E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szCs w:val="24"/>
              </w:rPr>
            </w:pPr>
            <w:r>
              <w:rPr>
                <w:rFonts w:hint="eastAsia" w:ascii="Times New Roman" w:hAnsi="Times New Roman" w:eastAsia="宋体"/>
                <w:color w:val="000000"/>
                <w:sz w:val="24"/>
                <w:szCs w:val="24"/>
              </w:rPr>
              <w:t>运营期间</w:t>
            </w:r>
            <w:r>
              <w:rPr>
                <w:rFonts w:ascii="Times New Roman" w:hAnsi="Times New Roman" w:eastAsia="宋体"/>
                <w:color w:val="000000"/>
                <w:sz w:val="24"/>
                <w:szCs w:val="24"/>
              </w:rPr>
              <w:t>机械设备噪声源可近似视为点源，根据点源衰减模式，计算</w:t>
            </w:r>
            <w:r>
              <w:rPr>
                <w:rFonts w:hint="eastAsia" w:ascii="Times New Roman" w:hAnsi="Times New Roman" w:eastAsia="宋体"/>
                <w:color w:val="000000"/>
                <w:sz w:val="24"/>
                <w:szCs w:val="24"/>
              </w:rPr>
              <w:t>运营期</w:t>
            </w:r>
            <w:r>
              <w:rPr>
                <w:rFonts w:ascii="Times New Roman" w:hAnsi="Times New Roman" w:eastAsia="宋体"/>
                <w:color w:val="000000"/>
                <w:sz w:val="24"/>
                <w:szCs w:val="24"/>
              </w:rPr>
              <w:t>离声源不同距离处的噪声值，预测模式如下：</w:t>
            </w:r>
          </w:p>
          <w:p w14:paraId="0FC2A59C">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ascii="Times New Roman" w:hAnsi="Times New Roman" w:eastAsia="宋体"/>
                <w:color w:val="000000"/>
                <w:sz w:val="24"/>
                <w:szCs w:val="24"/>
              </w:rPr>
            </w:pPr>
            <w:r>
              <w:rPr>
                <w:rFonts w:ascii="Times New Roman" w:hAnsi="Times New Roman" w:eastAsia="宋体"/>
                <w:color w:val="000000"/>
                <w:position w:val="-32"/>
                <w:sz w:val="24"/>
                <w:szCs w:val="24"/>
              </w:rPr>
              <w:object>
                <v:shape id="_x0000_i1029" o:spt="75" type="#_x0000_t75" style="height:38.05pt;width:101.2pt;" o:ole="t" filled="f" o:preferrelative="t" stroked="f" coordsize="21600,21600">
                  <v:path/>
                  <v:fill on="f" focussize="0,0"/>
                  <v:stroke on="f" joinstyle="miter"/>
                  <v:imagedata r:id="rId22" o:title=""/>
                  <o:lock v:ext="edit" aspectratio="t"/>
                  <w10:wrap type="none"/>
                  <w10:anchorlock/>
                </v:shape>
                <o:OLEObject Type="Embed" ProgID="Equations" ShapeID="_x0000_i1029" DrawAspect="Content" ObjectID="_1468075729" r:id="rId21">
                  <o:LockedField>false</o:LockedField>
                </o:OLEObject>
              </w:object>
            </w:r>
          </w:p>
          <w:p w14:paraId="12946A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szCs w:val="24"/>
              </w:rPr>
            </w:pPr>
            <w:r>
              <w:rPr>
                <w:rFonts w:ascii="Times New Roman" w:hAnsi="Times New Roman" w:eastAsia="宋体"/>
                <w:color w:val="000000"/>
                <w:sz w:val="24"/>
                <w:szCs w:val="24"/>
              </w:rPr>
              <w:t>式中：L</w:t>
            </w:r>
            <w:r>
              <w:rPr>
                <w:rFonts w:ascii="Times New Roman" w:hAnsi="Times New Roman" w:eastAsia="宋体"/>
                <w:color w:val="000000"/>
                <w:sz w:val="24"/>
                <w:szCs w:val="24"/>
                <w:vertAlign w:val="subscript"/>
              </w:rPr>
              <w:t>p</w:t>
            </w:r>
            <w:r>
              <w:rPr>
                <w:rFonts w:ascii="Times New Roman" w:hAnsi="Times New Roman" w:eastAsia="宋体"/>
                <w:color w:val="000000"/>
                <w:sz w:val="24"/>
                <w:szCs w:val="24"/>
              </w:rPr>
              <w:t>——距声源r处的施工噪声预测值；</w:t>
            </w:r>
          </w:p>
          <w:p w14:paraId="718460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szCs w:val="24"/>
              </w:rPr>
            </w:pPr>
            <w:r>
              <w:rPr>
                <w:rFonts w:ascii="Times New Roman" w:hAnsi="Times New Roman" w:eastAsia="宋体"/>
                <w:color w:val="000000"/>
                <w:sz w:val="24"/>
                <w:szCs w:val="24"/>
              </w:rPr>
              <w:t>L</w:t>
            </w:r>
            <w:r>
              <w:rPr>
                <w:rFonts w:ascii="Times New Roman" w:hAnsi="Times New Roman" w:eastAsia="宋体"/>
                <w:color w:val="000000"/>
                <w:sz w:val="24"/>
                <w:szCs w:val="24"/>
                <w:vertAlign w:val="subscript"/>
              </w:rPr>
              <w:t>p0</w:t>
            </w:r>
            <w:r>
              <w:rPr>
                <w:rFonts w:ascii="Times New Roman" w:hAnsi="Times New Roman" w:eastAsia="宋体"/>
                <w:color w:val="000000"/>
                <w:sz w:val="24"/>
                <w:szCs w:val="24"/>
              </w:rPr>
              <w:t>——距声源r</w:t>
            </w:r>
            <w:r>
              <w:rPr>
                <w:rFonts w:ascii="Times New Roman" w:hAnsi="Times New Roman" w:eastAsia="宋体"/>
                <w:color w:val="000000"/>
                <w:sz w:val="24"/>
                <w:szCs w:val="24"/>
                <w:vertAlign w:val="subscript"/>
              </w:rPr>
              <w:t>0</w:t>
            </w:r>
            <w:r>
              <w:rPr>
                <w:rFonts w:ascii="Times New Roman" w:hAnsi="Times New Roman" w:eastAsia="宋体"/>
                <w:color w:val="000000"/>
                <w:sz w:val="24"/>
                <w:szCs w:val="24"/>
              </w:rPr>
              <w:t>处的参考声级；</w:t>
            </w:r>
          </w:p>
          <w:p w14:paraId="61A820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szCs w:val="24"/>
              </w:rPr>
            </w:pPr>
            <w:r>
              <w:rPr>
                <w:rFonts w:ascii="Times New Roman" w:hAnsi="Times New Roman" w:eastAsia="宋体"/>
                <w:color w:val="000000"/>
                <w:sz w:val="24"/>
                <w:szCs w:val="24"/>
              </w:rPr>
              <w:t>多声源对某个受声点的理论估算方法，是将几个声源的A声级按能量叠加，等效为几个声源对某个受声点的理论声级，其公式为：</w:t>
            </w:r>
          </w:p>
          <w:p w14:paraId="2F337447">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ascii="Times New Roman" w:hAnsi="Times New Roman" w:eastAsia="宋体"/>
                <w:color w:val="000000"/>
                <w:sz w:val="24"/>
                <w:szCs w:val="24"/>
              </w:rPr>
            </w:pPr>
            <w:r>
              <w:rPr>
                <w:rFonts w:ascii="Times New Roman" w:hAnsi="Times New Roman" w:eastAsia="宋体"/>
                <w:color w:val="000000"/>
                <w:sz w:val="24"/>
                <w:szCs w:val="24"/>
              </w:rPr>
              <w:object>
                <v:shape id="_x0000_i1030" o:spt="75" type="#_x0000_t75" style="height:33.95pt;width:100.55pt;" o:ole="t" filled="f" o:preferrelative="t" stroked="f" coordsize="21600,21600">
                  <v:path/>
                  <v:fill on="f" focussize="0,0"/>
                  <v:stroke on="f" joinstyle="miter"/>
                  <v:imagedata r:id="rId24" o:title=""/>
                  <o:lock v:ext="edit" aspectratio="t"/>
                  <w10:wrap type="none"/>
                  <w10:anchorlock/>
                </v:shape>
                <o:OLEObject Type="Embed" ProgID="Equations" ShapeID="_x0000_i1030" DrawAspect="Content" ObjectID="_1468075730" r:id="rId23">
                  <o:LockedField>false</o:LockedField>
                </o:OLEObject>
              </w:object>
            </w:r>
          </w:p>
          <w:p w14:paraId="56487E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000000"/>
                <w:sz w:val="24"/>
                <w:szCs w:val="24"/>
                <w:lang w:eastAsia="zh-CN"/>
              </w:rPr>
            </w:pPr>
            <w:r>
              <w:rPr>
                <w:rFonts w:ascii="Times New Roman" w:hAnsi="Times New Roman" w:eastAsia="宋体"/>
                <w:color w:val="000000"/>
                <w:sz w:val="24"/>
                <w:szCs w:val="24"/>
              </w:rPr>
              <w:t>式中：L</w:t>
            </w:r>
            <w:r>
              <w:rPr>
                <w:rFonts w:ascii="Times New Roman" w:hAnsi="Times New Roman" w:eastAsia="宋体"/>
                <w:color w:val="000000"/>
                <w:sz w:val="24"/>
                <w:szCs w:val="24"/>
                <w:vertAlign w:val="subscript"/>
              </w:rPr>
              <w:t>合</w:t>
            </w:r>
            <w:r>
              <w:rPr>
                <w:rFonts w:hint="eastAsia" w:ascii="Times New Roman" w:hAnsi="Times New Roman" w:eastAsia="宋体"/>
                <w:color w:val="000000"/>
                <w:sz w:val="24"/>
                <w:szCs w:val="24"/>
              </w:rPr>
              <w:t>——</w:t>
            </w:r>
            <w:r>
              <w:rPr>
                <w:rFonts w:ascii="Times New Roman" w:hAnsi="Times New Roman" w:eastAsia="宋体"/>
                <w:color w:val="000000"/>
                <w:sz w:val="24"/>
                <w:szCs w:val="24"/>
              </w:rPr>
              <w:t>受声点总等效声级，dB</w:t>
            </w:r>
            <w:r>
              <w:rPr>
                <w:rFonts w:hint="eastAsia" w:ascii="Times New Roman" w:hAnsi="Times New Roman" w:eastAsia="宋体"/>
                <w:color w:val="000000"/>
                <w:sz w:val="24"/>
                <w:szCs w:val="24"/>
                <w:lang w:eastAsia="zh-CN"/>
              </w:rPr>
              <w:t>（</w:t>
            </w:r>
            <w:r>
              <w:rPr>
                <w:rFonts w:ascii="Times New Roman" w:hAnsi="Times New Roman" w:eastAsia="宋体"/>
                <w:color w:val="000000"/>
                <w:sz w:val="24"/>
                <w:szCs w:val="24"/>
              </w:rPr>
              <w:t>A</w:t>
            </w:r>
            <w:r>
              <w:rPr>
                <w:rFonts w:hint="eastAsia" w:ascii="Times New Roman" w:hAnsi="Times New Roman" w:eastAsia="宋体"/>
                <w:color w:val="000000"/>
                <w:sz w:val="24"/>
                <w:szCs w:val="24"/>
                <w:lang w:eastAsia="zh-CN"/>
              </w:rPr>
              <w:t>）</w:t>
            </w:r>
          </w:p>
          <w:p w14:paraId="2F04BA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000000"/>
                <w:sz w:val="24"/>
                <w:szCs w:val="24"/>
                <w:lang w:eastAsia="zh-CN"/>
              </w:rPr>
            </w:pPr>
            <w:r>
              <w:rPr>
                <w:rFonts w:ascii="Times New Roman" w:hAnsi="Times New Roman" w:eastAsia="宋体"/>
                <w:color w:val="000000"/>
                <w:sz w:val="24"/>
                <w:szCs w:val="24"/>
              </w:rPr>
              <w:t>Li</w:t>
            </w:r>
            <w:r>
              <w:rPr>
                <w:rFonts w:hint="eastAsia" w:ascii="Times New Roman" w:hAnsi="Times New Roman" w:eastAsia="宋体"/>
                <w:color w:val="000000"/>
                <w:sz w:val="24"/>
                <w:szCs w:val="24"/>
              </w:rPr>
              <w:t>——</w:t>
            </w:r>
            <w:r>
              <w:rPr>
                <w:rFonts w:ascii="Times New Roman" w:hAnsi="Times New Roman" w:eastAsia="宋体"/>
                <w:color w:val="000000"/>
                <w:sz w:val="24"/>
                <w:szCs w:val="24"/>
              </w:rPr>
              <w:t>第i声源对某预测点的等效声级，dB</w:t>
            </w:r>
            <w:r>
              <w:rPr>
                <w:rFonts w:hint="eastAsia" w:ascii="Times New Roman" w:hAnsi="Times New Roman" w:eastAsia="宋体"/>
                <w:color w:val="000000"/>
                <w:sz w:val="24"/>
                <w:szCs w:val="24"/>
                <w:lang w:eastAsia="zh-CN"/>
              </w:rPr>
              <w:t>（</w:t>
            </w:r>
            <w:r>
              <w:rPr>
                <w:rFonts w:ascii="Times New Roman" w:hAnsi="Times New Roman" w:eastAsia="宋体"/>
                <w:color w:val="000000"/>
                <w:sz w:val="24"/>
                <w:szCs w:val="24"/>
              </w:rPr>
              <w:t>A</w:t>
            </w:r>
            <w:r>
              <w:rPr>
                <w:rFonts w:hint="eastAsia" w:ascii="Times New Roman" w:hAnsi="Times New Roman" w:eastAsia="宋体"/>
                <w:color w:val="000000"/>
                <w:sz w:val="24"/>
                <w:szCs w:val="24"/>
                <w:lang w:eastAsia="zh-CN"/>
              </w:rPr>
              <w:t>）</w:t>
            </w:r>
          </w:p>
          <w:p w14:paraId="57FFA9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szCs w:val="24"/>
              </w:rPr>
            </w:pPr>
            <w:r>
              <w:rPr>
                <w:rFonts w:ascii="Times New Roman" w:hAnsi="Times New Roman" w:eastAsia="宋体"/>
                <w:color w:val="000000"/>
                <w:sz w:val="24"/>
                <w:szCs w:val="24"/>
              </w:rPr>
              <w:t>N</w:t>
            </w:r>
            <w:r>
              <w:rPr>
                <w:rFonts w:hint="eastAsia" w:ascii="Times New Roman" w:hAnsi="Times New Roman" w:eastAsia="宋体"/>
                <w:color w:val="000000"/>
                <w:sz w:val="24"/>
                <w:szCs w:val="24"/>
              </w:rPr>
              <w:t>——</w:t>
            </w:r>
            <w:r>
              <w:rPr>
                <w:rFonts w:ascii="Times New Roman" w:hAnsi="Times New Roman" w:eastAsia="宋体"/>
                <w:color w:val="000000"/>
                <w:sz w:val="24"/>
                <w:szCs w:val="24"/>
              </w:rPr>
              <w:t>声源总数</w:t>
            </w:r>
          </w:p>
          <w:p w14:paraId="06124C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szCs w:val="24"/>
              </w:rPr>
            </w:pPr>
            <w:r>
              <w:rPr>
                <w:rFonts w:ascii="Times New Roman" w:hAnsi="Times New Roman" w:eastAsia="宋体"/>
                <w:color w:val="000000"/>
                <w:sz w:val="24"/>
                <w:szCs w:val="24"/>
              </w:rPr>
              <w:t>各类</w:t>
            </w:r>
            <w:r>
              <w:rPr>
                <w:rFonts w:hint="eastAsia" w:ascii="Times New Roman" w:hAnsi="Times New Roman" w:eastAsia="宋体"/>
                <w:color w:val="000000"/>
                <w:sz w:val="24"/>
                <w:szCs w:val="24"/>
              </w:rPr>
              <w:t>机械</w:t>
            </w:r>
            <w:r>
              <w:rPr>
                <w:rFonts w:ascii="Times New Roman" w:hAnsi="Times New Roman" w:eastAsia="宋体"/>
                <w:color w:val="000000"/>
                <w:sz w:val="24"/>
                <w:szCs w:val="24"/>
              </w:rPr>
              <w:t>设备在不同距离处的噪声值见</w:t>
            </w:r>
            <w:r>
              <w:rPr>
                <w:rFonts w:hint="eastAsia" w:ascii="Times New Roman" w:hAnsi="Times New Roman" w:eastAsia="宋体"/>
                <w:color w:val="000000"/>
                <w:sz w:val="24"/>
                <w:szCs w:val="24"/>
                <w:lang w:val="en-US" w:eastAsia="zh-CN"/>
              </w:rPr>
              <w:t>下</w:t>
            </w:r>
            <w:r>
              <w:rPr>
                <w:rFonts w:hint="eastAsia" w:ascii="Times New Roman" w:hAnsi="Times New Roman" w:eastAsia="宋体"/>
                <w:color w:val="000000"/>
                <w:sz w:val="24"/>
                <w:szCs w:val="24"/>
              </w:rPr>
              <w:t>表</w:t>
            </w:r>
            <w:r>
              <w:rPr>
                <w:rFonts w:ascii="Times New Roman" w:hAnsi="Times New Roman" w:eastAsia="宋体"/>
                <w:color w:val="000000"/>
                <w:sz w:val="24"/>
                <w:szCs w:val="24"/>
              </w:rPr>
              <w:t>。</w:t>
            </w:r>
          </w:p>
          <w:p w14:paraId="029143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表</w:t>
            </w:r>
            <w:r>
              <w:rPr>
                <w:rFonts w:hint="eastAsia" w:ascii="Times New Roman" w:hAnsi="Times New Roman" w:eastAsia="宋体" w:cs="Times New Roman"/>
                <w:b/>
                <w:color w:val="000000"/>
                <w:sz w:val="21"/>
                <w:szCs w:val="21"/>
                <w:lang w:val="en-US" w:eastAsia="zh-CN"/>
              </w:rPr>
              <w:t>5</w:t>
            </w:r>
            <w:r>
              <w:rPr>
                <w:rFonts w:ascii="Times New Roman" w:hAnsi="Times New Roman" w:eastAsia="宋体" w:cs="Times New Roman"/>
                <w:b/>
                <w:color w:val="000000"/>
                <w:sz w:val="21"/>
                <w:szCs w:val="21"/>
              </w:rPr>
              <w:t>-</w:t>
            </w:r>
            <w:r>
              <w:rPr>
                <w:rFonts w:hint="eastAsia" w:ascii="Times New Roman" w:hAnsi="Times New Roman" w:eastAsia="宋体" w:cs="Times New Roman"/>
                <w:b/>
                <w:color w:val="000000"/>
                <w:sz w:val="21"/>
                <w:szCs w:val="21"/>
                <w:lang w:val="en-US" w:eastAsia="zh-CN"/>
              </w:rPr>
              <w:t>2</w:t>
            </w:r>
            <w:r>
              <w:rPr>
                <w:rFonts w:ascii="Times New Roman" w:hAnsi="Times New Roman" w:eastAsia="宋体" w:cs="Times New Roman"/>
                <w:b/>
                <w:color w:val="000000"/>
                <w:sz w:val="21"/>
                <w:szCs w:val="21"/>
              </w:rPr>
              <w:t xml:space="preserve"> </w:t>
            </w:r>
            <w:r>
              <w:rPr>
                <w:rFonts w:hint="eastAsia" w:ascii="Times New Roman" w:hAnsi="Times New Roman" w:eastAsia="宋体" w:cs="Times New Roman"/>
                <w:b/>
                <w:color w:val="000000"/>
                <w:sz w:val="21"/>
                <w:szCs w:val="21"/>
              </w:rPr>
              <w:t xml:space="preserve">  </w:t>
            </w:r>
            <w:r>
              <w:rPr>
                <w:rFonts w:ascii="Times New Roman" w:hAnsi="Times New Roman" w:eastAsia="宋体" w:cs="Times New Roman"/>
                <w:b/>
                <w:color w:val="000000"/>
                <w:sz w:val="21"/>
                <w:szCs w:val="21"/>
              </w:rPr>
              <w:t>机械设备不同距离处的噪声预测值    单位：dB（A）</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0"/>
              <w:gridCol w:w="1267"/>
              <w:gridCol w:w="769"/>
              <w:gridCol w:w="769"/>
              <w:gridCol w:w="769"/>
              <w:gridCol w:w="769"/>
              <w:gridCol w:w="769"/>
              <w:gridCol w:w="769"/>
              <w:gridCol w:w="769"/>
              <w:gridCol w:w="769"/>
            </w:tblGrid>
            <w:tr w14:paraId="059885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restart"/>
                  <w:tcBorders>
                    <w:tl2br w:val="nil"/>
                    <w:tr2bl w:val="nil"/>
                  </w:tcBorders>
                  <w:noWrap w:val="0"/>
                  <w:vAlign w:val="center"/>
                </w:tcPr>
                <w:p w14:paraId="27F3E5B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hint="eastAsia" w:ascii="Times New Roman" w:hAnsi="Times New Roman" w:eastAsia="宋体"/>
                      <w:b/>
                      <w:color w:val="000000"/>
                      <w:sz w:val="21"/>
                      <w:szCs w:val="21"/>
                    </w:rPr>
                    <w:t>生产工序</w:t>
                  </w:r>
                </w:p>
              </w:tc>
              <w:tc>
                <w:tcPr>
                  <w:tcW w:w="783" w:type="pct"/>
                  <w:vMerge w:val="restart"/>
                  <w:tcBorders>
                    <w:tl2br w:val="nil"/>
                    <w:tr2bl w:val="nil"/>
                  </w:tcBorders>
                  <w:noWrap w:val="0"/>
                  <w:vAlign w:val="center"/>
                </w:tcPr>
                <w:p w14:paraId="1A54369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ascii="Times New Roman" w:hAnsi="Times New Roman" w:eastAsia="宋体"/>
                      <w:b/>
                      <w:color w:val="000000"/>
                      <w:sz w:val="21"/>
                      <w:szCs w:val="21"/>
                    </w:rPr>
                    <w:t>机械类型</w:t>
                  </w:r>
                </w:p>
              </w:tc>
              <w:tc>
                <w:tcPr>
                  <w:tcW w:w="3802" w:type="pct"/>
                  <w:gridSpan w:val="8"/>
                  <w:tcBorders>
                    <w:tl2br w:val="nil"/>
                    <w:tr2bl w:val="nil"/>
                  </w:tcBorders>
                  <w:noWrap w:val="0"/>
                  <w:vAlign w:val="top"/>
                </w:tcPr>
                <w:p w14:paraId="4CF94D7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ascii="Times New Roman" w:hAnsi="Times New Roman" w:eastAsia="宋体"/>
                      <w:b/>
                      <w:color w:val="000000"/>
                      <w:sz w:val="21"/>
                      <w:szCs w:val="21"/>
                    </w:rPr>
                    <w:t>噪声预测值</w:t>
                  </w:r>
                </w:p>
              </w:tc>
            </w:tr>
            <w:tr w14:paraId="193DFF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continue"/>
                  <w:tcBorders>
                    <w:tl2br w:val="nil"/>
                    <w:tr2bl w:val="nil"/>
                  </w:tcBorders>
                  <w:noWrap w:val="0"/>
                  <w:vAlign w:val="center"/>
                </w:tcPr>
                <w:p w14:paraId="760CFFF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p>
              </w:tc>
              <w:tc>
                <w:tcPr>
                  <w:tcW w:w="783" w:type="pct"/>
                  <w:vMerge w:val="continue"/>
                  <w:tcBorders>
                    <w:tl2br w:val="nil"/>
                    <w:tr2bl w:val="nil"/>
                  </w:tcBorders>
                  <w:noWrap w:val="0"/>
                  <w:vAlign w:val="center"/>
                </w:tcPr>
                <w:p w14:paraId="54C7714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p>
              </w:tc>
              <w:tc>
                <w:tcPr>
                  <w:tcW w:w="475" w:type="pct"/>
                  <w:tcBorders>
                    <w:tl2br w:val="nil"/>
                    <w:tr2bl w:val="nil"/>
                  </w:tcBorders>
                  <w:noWrap w:val="0"/>
                  <w:vAlign w:val="top"/>
                </w:tcPr>
                <w:p w14:paraId="3EEB6EB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hint="eastAsia" w:ascii="Times New Roman" w:hAnsi="Times New Roman" w:eastAsia="宋体"/>
                      <w:b/>
                      <w:color w:val="000000"/>
                      <w:sz w:val="21"/>
                      <w:szCs w:val="21"/>
                      <w:lang w:val="en-US" w:eastAsia="zh-CN"/>
                    </w:rPr>
                    <w:t>1</w:t>
                  </w:r>
                  <w:r>
                    <w:rPr>
                      <w:rFonts w:hint="eastAsia" w:ascii="Times New Roman" w:hAnsi="Times New Roman" w:eastAsia="宋体"/>
                      <w:b/>
                      <w:color w:val="000000"/>
                      <w:sz w:val="21"/>
                      <w:szCs w:val="21"/>
                    </w:rPr>
                    <w:t>m</w:t>
                  </w:r>
                </w:p>
              </w:tc>
              <w:tc>
                <w:tcPr>
                  <w:tcW w:w="475" w:type="pct"/>
                  <w:tcBorders>
                    <w:tl2br w:val="nil"/>
                    <w:tr2bl w:val="nil"/>
                  </w:tcBorders>
                  <w:noWrap w:val="0"/>
                  <w:vAlign w:val="center"/>
                </w:tcPr>
                <w:p w14:paraId="28F6F24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ascii="Times New Roman" w:hAnsi="Times New Roman" w:eastAsia="宋体"/>
                      <w:b/>
                      <w:color w:val="000000"/>
                      <w:sz w:val="21"/>
                      <w:szCs w:val="21"/>
                    </w:rPr>
                    <w:t>5m</w:t>
                  </w:r>
                </w:p>
              </w:tc>
              <w:tc>
                <w:tcPr>
                  <w:tcW w:w="475" w:type="pct"/>
                  <w:tcBorders>
                    <w:tl2br w:val="nil"/>
                    <w:tr2bl w:val="nil"/>
                  </w:tcBorders>
                  <w:noWrap w:val="0"/>
                  <w:vAlign w:val="center"/>
                </w:tcPr>
                <w:p w14:paraId="78E8F38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ascii="Times New Roman" w:hAnsi="Times New Roman" w:eastAsia="宋体"/>
                      <w:b/>
                      <w:color w:val="000000"/>
                      <w:sz w:val="21"/>
                      <w:szCs w:val="21"/>
                    </w:rPr>
                    <w:t>10m</w:t>
                  </w:r>
                </w:p>
              </w:tc>
              <w:tc>
                <w:tcPr>
                  <w:tcW w:w="475" w:type="pct"/>
                  <w:tcBorders>
                    <w:tl2br w:val="nil"/>
                    <w:tr2bl w:val="nil"/>
                  </w:tcBorders>
                  <w:noWrap w:val="0"/>
                  <w:vAlign w:val="center"/>
                </w:tcPr>
                <w:p w14:paraId="5D2AA50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ascii="Times New Roman" w:hAnsi="Times New Roman" w:eastAsia="宋体"/>
                      <w:b/>
                      <w:color w:val="000000"/>
                      <w:sz w:val="21"/>
                      <w:szCs w:val="21"/>
                    </w:rPr>
                    <w:t>20m</w:t>
                  </w:r>
                </w:p>
              </w:tc>
              <w:tc>
                <w:tcPr>
                  <w:tcW w:w="475" w:type="pct"/>
                  <w:tcBorders>
                    <w:tl2br w:val="nil"/>
                    <w:tr2bl w:val="nil"/>
                  </w:tcBorders>
                  <w:noWrap w:val="0"/>
                  <w:vAlign w:val="center"/>
                </w:tcPr>
                <w:p w14:paraId="4406F98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hint="eastAsia" w:ascii="Times New Roman" w:hAnsi="Times New Roman" w:eastAsia="宋体"/>
                      <w:b/>
                      <w:color w:val="000000"/>
                      <w:sz w:val="21"/>
                      <w:szCs w:val="21"/>
                    </w:rPr>
                    <w:t>3</w:t>
                  </w:r>
                  <w:r>
                    <w:rPr>
                      <w:rFonts w:ascii="Times New Roman" w:hAnsi="Times New Roman" w:eastAsia="宋体"/>
                      <w:b/>
                      <w:color w:val="000000"/>
                      <w:sz w:val="21"/>
                      <w:szCs w:val="21"/>
                    </w:rPr>
                    <w:t>0m</w:t>
                  </w:r>
                </w:p>
              </w:tc>
              <w:tc>
                <w:tcPr>
                  <w:tcW w:w="475" w:type="pct"/>
                  <w:tcBorders>
                    <w:tl2br w:val="nil"/>
                    <w:tr2bl w:val="nil"/>
                  </w:tcBorders>
                  <w:noWrap w:val="0"/>
                  <w:vAlign w:val="center"/>
                </w:tcPr>
                <w:p w14:paraId="3DA4E05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ascii="Times New Roman" w:hAnsi="Times New Roman" w:eastAsia="宋体"/>
                      <w:b/>
                      <w:color w:val="000000"/>
                      <w:sz w:val="21"/>
                      <w:szCs w:val="21"/>
                    </w:rPr>
                    <w:t>50m</w:t>
                  </w:r>
                </w:p>
              </w:tc>
              <w:tc>
                <w:tcPr>
                  <w:tcW w:w="475" w:type="pct"/>
                  <w:tcBorders>
                    <w:tl2br w:val="nil"/>
                    <w:tr2bl w:val="nil"/>
                  </w:tcBorders>
                  <w:noWrap w:val="0"/>
                  <w:vAlign w:val="center"/>
                </w:tcPr>
                <w:p w14:paraId="54BFDBB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ascii="Times New Roman" w:hAnsi="Times New Roman" w:eastAsia="宋体"/>
                      <w:b/>
                      <w:color w:val="000000"/>
                      <w:sz w:val="21"/>
                      <w:szCs w:val="21"/>
                    </w:rPr>
                    <w:t>100m</w:t>
                  </w:r>
                </w:p>
              </w:tc>
              <w:tc>
                <w:tcPr>
                  <w:tcW w:w="475" w:type="pct"/>
                  <w:tcBorders>
                    <w:tl2br w:val="nil"/>
                    <w:tr2bl w:val="nil"/>
                  </w:tcBorders>
                  <w:noWrap w:val="0"/>
                  <w:vAlign w:val="center"/>
                </w:tcPr>
                <w:p w14:paraId="79D4741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ascii="Times New Roman" w:hAnsi="Times New Roman" w:eastAsia="宋体"/>
                      <w:b/>
                      <w:color w:val="000000"/>
                      <w:sz w:val="21"/>
                      <w:szCs w:val="21"/>
                    </w:rPr>
                    <w:t>200m</w:t>
                  </w:r>
                </w:p>
              </w:tc>
            </w:tr>
            <w:tr w14:paraId="1C2513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restart"/>
                  <w:tcBorders>
                    <w:tl2br w:val="nil"/>
                    <w:tr2bl w:val="nil"/>
                  </w:tcBorders>
                  <w:noWrap w:val="0"/>
                  <w:vAlign w:val="center"/>
                </w:tcPr>
                <w:p w14:paraId="7B4A0B3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rPr>
                    <w:t>采矿设备</w:t>
                  </w:r>
                </w:p>
              </w:tc>
              <w:tc>
                <w:tcPr>
                  <w:tcW w:w="783" w:type="pct"/>
                  <w:tcBorders>
                    <w:tl2br w:val="nil"/>
                    <w:tr2bl w:val="nil"/>
                  </w:tcBorders>
                  <w:noWrap w:val="0"/>
                  <w:vAlign w:val="center"/>
                </w:tcPr>
                <w:p w14:paraId="056CD27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ascii="Times New Roman" w:hAnsi="Times New Roman" w:eastAsia="宋体"/>
                      <w:color w:val="000000"/>
                      <w:sz w:val="21"/>
                      <w:szCs w:val="21"/>
                    </w:rPr>
                  </w:pPr>
                  <w:r>
                    <w:rPr>
                      <w:rFonts w:hint="default" w:ascii="Times New Roman" w:hAnsi="Times New Roman" w:eastAsia="宋体" w:cs="Times New Roman"/>
                      <w:b w:val="0"/>
                      <w:bCs/>
                      <w:color w:val="auto"/>
                      <w:sz w:val="21"/>
                      <w:szCs w:val="21"/>
                      <w:highlight w:val="none"/>
                    </w:rPr>
                    <w:t>潜孔钻机</w:t>
                  </w:r>
                </w:p>
              </w:tc>
              <w:tc>
                <w:tcPr>
                  <w:tcW w:w="475" w:type="pct"/>
                  <w:tcBorders>
                    <w:tl2br w:val="nil"/>
                    <w:tr2bl w:val="nil"/>
                  </w:tcBorders>
                  <w:noWrap w:val="0"/>
                  <w:vAlign w:val="center"/>
                </w:tcPr>
                <w:p w14:paraId="450003C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kern w:val="2"/>
                      <w:sz w:val="21"/>
                      <w:szCs w:val="21"/>
                      <w:lang w:val="en-US" w:eastAsia="zh-CN" w:bidi="ar-SA"/>
                    </w:rPr>
                  </w:pPr>
                  <w:r>
                    <w:rPr>
                      <w:rFonts w:hint="eastAsia" w:ascii="Times New Roman" w:hAnsi="Times New Roman" w:eastAsia="宋体"/>
                      <w:sz w:val="21"/>
                      <w:szCs w:val="21"/>
                      <w:lang w:val="en-US" w:eastAsia="zh-CN"/>
                    </w:rPr>
                    <w:t>85</w:t>
                  </w:r>
                </w:p>
              </w:tc>
              <w:tc>
                <w:tcPr>
                  <w:tcW w:w="475" w:type="pct"/>
                  <w:tcBorders>
                    <w:tl2br w:val="nil"/>
                    <w:tr2bl w:val="nil"/>
                  </w:tcBorders>
                  <w:noWrap w:val="0"/>
                  <w:vAlign w:val="center"/>
                </w:tcPr>
                <w:p w14:paraId="6D9A06D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71</w:t>
                  </w:r>
                </w:p>
              </w:tc>
              <w:tc>
                <w:tcPr>
                  <w:tcW w:w="475" w:type="pct"/>
                  <w:tcBorders>
                    <w:tl2br w:val="nil"/>
                    <w:tr2bl w:val="nil"/>
                  </w:tcBorders>
                  <w:noWrap w:val="0"/>
                  <w:vAlign w:val="center"/>
                </w:tcPr>
                <w:p w14:paraId="1B6A1EE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65</w:t>
                  </w:r>
                </w:p>
              </w:tc>
              <w:tc>
                <w:tcPr>
                  <w:tcW w:w="475" w:type="pct"/>
                  <w:tcBorders>
                    <w:tl2br w:val="nil"/>
                    <w:tr2bl w:val="nil"/>
                  </w:tcBorders>
                  <w:noWrap w:val="0"/>
                  <w:vAlign w:val="center"/>
                </w:tcPr>
                <w:p w14:paraId="5D81F8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58.98</w:t>
                  </w:r>
                </w:p>
              </w:tc>
              <w:tc>
                <w:tcPr>
                  <w:tcW w:w="475" w:type="pct"/>
                  <w:tcBorders>
                    <w:tl2br w:val="nil"/>
                    <w:tr2bl w:val="nil"/>
                  </w:tcBorders>
                  <w:noWrap w:val="0"/>
                  <w:vAlign w:val="center"/>
                </w:tcPr>
                <w:p w14:paraId="43A957A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55.46</w:t>
                  </w:r>
                </w:p>
              </w:tc>
              <w:tc>
                <w:tcPr>
                  <w:tcW w:w="475" w:type="pct"/>
                  <w:tcBorders>
                    <w:tl2br w:val="nil"/>
                    <w:tr2bl w:val="nil"/>
                  </w:tcBorders>
                  <w:noWrap w:val="0"/>
                  <w:vAlign w:val="center"/>
                </w:tcPr>
                <w:p w14:paraId="6429937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51.02</w:t>
                  </w:r>
                </w:p>
              </w:tc>
              <w:tc>
                <w:tcPr>
                  <w:tcW w:w="475" w:type="pct"/>
                  <w:tcBorders>
                    <w:tl2br w:val="nil"/>
                    <w:tr2bl w:val="nil"/>
                  </w:tcBorders>
                  <w:noWrap w:val="0"/>
                  <w:vAlign w:val="center"/>
                </w:tcPr>
                <w:p w14:paraId="7E8700D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45</w:t>
                  </w:r>
                </w:p>
              </w:tc>
              <w:tc>
                <w:tcPr>
                  <w:tcW w:w="475" w:type="pct"/>
                  <w:tcBorders>
                    <w:tl2br w:val="nil"/>
                    <w:tr2bl w:val="nil"/>
                  </w:tcBorders>
                  <w:noWrap w:val="0"/>
                  <w:vAlign w:val="center"/>
                </w:tcPr>
                <w:p w14:paraId="31E60AF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38.98</w:t>
                  </w:r>
                </w:p>
              </w:tc>
            </w:tr>
            <w:tr w14:paraId="00F7BA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continue"/>
                  <w:tcBorders>
                    <w:tl2br w:val="nil"/>
                    <w:tr2bl w:val="nil"/>
                  </w:tcBorders>
                  <w:noWrap w:val="0"/>
                  <w:vAlign w:val="center"/>
                </w:tcPr>
                <w:p w14:paraId="6036FBF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p>
              </w:tc>
              <w:tc>
                <w:tcPr>
                  <w:tcW w:w="783" w:type="pct"/>
                  <w:tcBorders>
                    <w:tl2br w:val="nil"/>
                    <w:tr2bl w:val="nil"/>
                  </w:tcBorders>
                  <w:noWrap w:val="0"/>
                  <w:vAlign w:val="center"/>
                </w:tcPr>
                <w:p w14:paraId="6FCB13E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ascii="Times New Roman" w:hAnsi="Times New Roman" w:eastAsia="宋体"/>
                      <w:color w:val="000000"/>
                      <w:sz w:val="21"/>
                      <w:szCs w:val="21"/>
                    </w:rPr>
                  </w:pPr>
                  <w:r>
                    <w:rPr>
                      <w:rFonts w:hint="default" w:ascii="Times New Roman" w:hAnsi="Times New Roman" w:eastAsia="宋体" w:cs="Times New Roman"/>
                      <w:b w:val="0"/>
                      <w:bCs/>
                      <w:color w:val="auto"/>
                      <w:sz w:val="21"/>
                      <w:szCs w:val="21"/>
                      <w:highlight w:val="none"/>
                    </w:rPr>
                    <w:t>挖掘机</w:t>
                  </w:r>
                </w:p>
              </w:tc>
              <w:tc>
                <w:tcPr>
                  <w:tcW w:w="475" w:type="pct"/>
                  <w:tcBorders>
                    <w:tl2br w:val="nil"/>
                    <w:tr2bl w:val="nil"/>
                  </w:tcBorders>
                  <w:noWrap w:val="0"/>
                  <w:vAlign w:val="center"/>
                </w:tcPr>
                <w:p w14:paraId="518B4F6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kern w:val="2"/>
                      <w:sz w:val="21"/>
                      <w:szCs w:val="21"/>
                      <w:lang w:val="en-US" w:eastAsia="zh-CN" w:bidi="ar-SA"/>
                    </w:rPr>
                  </w:pPr>
                  <w:r>
                    <w:rPr>
                      <w:rFonts w:hint="eastAsia" w:ascii="Times New Roman" w:hAnsi="Times New Roman" w:eastAsia="宋体"/>
                      <w:sz w:val="21"/>
                      <w:szCs w:val="21"/>
                    </w:rPr>
                    <w:t>86</w:t>
                  </w:r>
                </w:p>
              </w:tc>
              <w:tc>
                <w:tcPr>
                  <w:tcW w:w="475" w:type="pct"/>
                  <w:tcBorders>
                    <w:tl2br w:val="nil"/>
                    <w:tr2bl w:val="nil"/>
                  </w:tcBorders>
                  <w:noWrap w:val="0"/>
                  <w:vAlign w:val="center"/>
                </w:tcPr>
                <w:p w14:paraId="7A4B747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72</w:t>
                  </w:r>
                </w:p>
              </w:tc>
              <w:tc>
                <w:tcPr>
                  <w:tcW w:w="475" w:type="pct"/>
                  <w:tcBorders>
                    <w:tl2br w:val="nil"/>
                    <w:tr2bl w:val="nil"/>
                  </w:tcBorders>
                  <w:noWrap w:val="0"/>
                  <w:vAlign w:val="center"/>
                </w:tcPr>
                <w:p w14:paraId="4E49879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66</w:t>
                  </w:r>
                </w:p>
              </w:tc>
              <w:tc>
                <w:tcPr>
                  <w:tcW w:w="475" w:type="pct"/>
                  <w:tcBorders>
                    <w:tl2br w:val="nil"/>
                    <w:tr2bl w:val="nil"/>
                  </w:tcBorders>
                  <w:noWrap w:val="0"/>
                  <w:vAlign w:val="center"/>
                </w:tcPr>
                <w:p w14:paraId="68DD2C6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59.98</w:t>
                  </w:r>
                </w:p>
              </w:tc>
              <w:tc>
                <w:tcPr>
                  <w:tcW w:w="475" w:type="pct"/>
                  <w:tcBorders>
                    <w:tl2br w:val="nil"/>
                    <w:tr2bl w:val="nil"/>
                  </w:tcBorders>
                  <w:noWrap w:val="0"/>
                  <w:vAlign w:val="center"/>
                </w:tcPr>
                <w:p w14:paraId="5BA76DB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56.46</w:t>
                  </w:r>
                </w:p>
              </w:tc>
              <w:tc>
                <w:tcPr>
                  <w:tcW w:w="475" w:type="pct"/>
                  <w:tcBorders>
                    <w:tl2br w:val="nil"/>
                    <w:tr2bl w:val="nil"/>
                  </w:tcBorders>
                  <w:noWrap w:val="0"/>
                  <w:vAlign w:val="center"/>
                </w:tcPr>
                <w:p w14:paraId="0AEC555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52.02</w:t>
                  </w:r>
                </w:p>
              </w:tc>
              <w:tc>
                <w:tcPr>
                  <w:tcW w:w="475" w:type="pct"/>
                  <w:tcBorders>
                    <w:tl2br w:val="nil"/>
                    <w:tr2bl w:val="nil"/>
                  </w:tcBorders>
                  <w:noWrap w:val="0"/>
                  <w:vAlign w:val="center"/>
                </w:tcPr>
                <w:p w14:paraId="2854F6F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46</w:t>
                  </w:r>
                </w:p>
              </w:tc>
              <w:tc>
                <w:tcPr>
                  <w:tcW w:w="475" w:type="pct"/>
                  <w:tcBorders>
                    <w:tl2br w:val="nil"/>
                    <w:tr2bl w:val="nil"/>
                  </w:tcBorders>
                  <w:noWrap w:val="0"/>
                  <w:vAlign w:val="center"/>
                </w:tcPr>
                <w:p w14:paraId="31395CE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47.03</w:t>
                  </w:r>
                </w:p>
              </w:tc>
            </w:tr>
            <w:tr w14:paraId="6DB758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continue"/>
                  <w:tcBorders>
                    <w:tl2br w:val="nil"/>
                    <w:tr2bl w:val="nil"/>
                  </w:tcBorders>
                  <w:noWrap w:val="0"/>
                  <w:vAlign w:val="center"/>
                </w:tcPr>
                <w:p w14:paraId="697C395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p>
              </w:tc>
              <w:tc>
                <w:tcPr>
                  <w:tcW w:w="783" w:type="pct"/>
                  <w:tcBorders>
                    <w:tl2br w:val="nil"/>
                    <w:tr2bl w:val="nil"/>
                  </w:tcBorders>
                  <w:noWrap w:val="0"/>
                  <w:vAlign w:val="center"/>
                </w:tcPr>
                <w:p w14:paraId="38697F1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液压</w:t>
                  </w:r>
                </w:p>
                <w:p w14:paraId="5AF57D2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ascii="Times New Roman" w:hAnsi="Times New Roman" w:eastAsia="宋体"/>
                      <w:color w:val="000000"/>
                      <w:sz w:val="21"/>
                      <w:szCs w:val="21"/>
                    </w:rPr>
                  </w:pPr>
                  <w:r>
                    <w:rPr>
                      <w:rFonts w:hint="default" w:ascii="Times New Roman" w:hAnsi="Times New Roman" w:eastAsia="宋体" w:cs="Times New Roman"/>
                      <w:b w:val="0"/>
                      <w:bCs/>
                      <w:color w:val="auto"/>
                      <w:sz w:val="21"/>
                      <w:szCs w:val="21"/>
                      <w:highlight w:val="none"/>
                    </w:rPr>
                    <w:t>破碎锤</w:t>
                  </w:r>
                </w:p>
              </w:tc>
              <w:tc>
                <w:tcPr>
                  <w:tcW w:w="475" w:type="pct"/>
                  <w:tcBorders>
                    <w:tl2br w:val="nil"/>
                    <w:tr2bl w:val="nil"/>
                  </w:tcBorders>
                  <w:noWrap w:val="0"/>
                  <w:vAlign w:val="center"/>
                </w:tcPr>
                <w:p w14:paraId="37CA1E5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kern w:val="2"/>
                      <w:sz w:val="21"/>
                      <w:szCs w:val="21"/>
                      <w:lang w:val="en-US" w:eastAsia="zh-CN" w:bidi="ar-SA"/>
                    </w:rPr>
                  </w:pPr>
                  <w:r>
                    <w:rPr>
                      <w:rFonts w:hint="eastAsia" w:ascii="Times New Roman" w:hAnsi="Times New Roman" w:eastAsia="宋体"/>
                      <w:sz w:val="21"/>
                      <w:szCs w:val="21"/>
                    </w:rPr>
                    <w:t>90</w:t>
                  </w:r>
                </w:p>
              </w:tc>
              <w:tc>
                <w:tcPr>
                  <w:tcW w:w="475" w:type="pct"/>
                  <w:tcBorders>
                    <w:tl2br w:val="nil"/>
                    <w:tr2bl w:val="nil"/>
                  </w:tcBorders>
                  <w:noWrap w:val="0"/>
                  <w:vAlign w:val="center"/>
                </w:tcPr>
                <w:p w14:paraId="6FE66FB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76</w:t>
                  </w:r>
                </w:p>
              </w:tc>
              <w:tc>
                <w:tcPr>
                  <w:tcW w:w="475" w:type="pct"/>
                  <w:tcBorders>
                    <w:tl2br w:val="nil"/>
                    <w:tr2bl w:val="nil"/>
                  </w:tcBorders>
                  <w:noWrap w:val="0"/>
                  <w:vAlign w:val="center"/>
                </w:tcPr>
                <w:p w14:paraId="3A5A415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70</w:t>
                  </w:r>
                </w:p>
              </w:tc>
              <w:tc>
                <w:tcPr>
                  <w:tcW w:w="475" w:type="pct"/>
                  <w:tcBorders>
                    <w:tl2br w:val="nil"/>
                    <w:tr2bl w:val="nil"/>
                  </w:tcBorders>
                  <w:noWrap w:val="0"/>
                  <w:vAlign w:val="center"/>
                </w:tcPr>
                <w:p w14:paraId="6605CAC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63.98</w:t>
                  </w:r>
                </w:p>
              </w:tc>
              <w:tc>
                <w:tcPr>
                  <w:tcW w:w="475" w:type="pct"/>
                  <w:tcBorders>
                    <w:tl2br w:val="nil"/>
                    <w:tr2bl w:val="nil"/>
                  </w:tcBorders>
                  <w:noWrap w:val="0"/>
                  <w:vAlign w:val="center"/>
                </w:tcPr>
                <w:p w14:paraId="3D24C7C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60.46</w:t>
                  </w:r>
                </w:p>
              </w:tc>
              <w:tc>
                <w:tcPr>
                  <w:tcW w:w="475" w:type="pct"/>
                  <w:tcBorders>
                    <w:tl2br w:val="nil"/>
                    <w:tr2bl w:val="nil"/>
                  </w:tcBorders>
                  <w:noWrap w:val="0"/>
                  <w:vAlign w:val="center"/>
                </w:tcPr>
                <w:p w14:paraId="7DB006B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56.02</w:t>
                  </w:r>
                </w:p>
              </w:tc>
              <w:tc>
                <w:tcPr>
                  <w:tcW w:w="475" w:type="pct"/>
                  <w:tcBorders>
                    <w:tl2br w:val="nil"/>
                    <w:tr2bl w:val="nil"/>
                  </w:tcBorders>
                  <w:noWrap w:val="0"/>
                  <w:vAlign w:val="center"/>
                </w:tcPr>
                <w:p w14:paraId="1FC8244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50</w:t>
                  </w:r>
                </w:p>
              </w:tc>
              <w:tc>
                <w:tcPr>
                  <w:tcW w:w="475" w:type="pct"/>
                  <w:tcBorders>
                    <w:tl2br w:val="nil"/>
                    <w:tr2bl w:val="nil"/>
                  </w:tcBorders>
                  <w:noWrap w:val="0"/>
                  <w:vAlign w:val="center"/>
                </w:tcPr>
                <w:p w14:paraId="273E9C5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51.03</w:t>
                  </w:r>
                </w:p>
              </w:tc>
            </w:tr>
            <w:tr w14:paraId="60F650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continue"/>
                  <w:tcBorders>
                    <w:tl2br w:val="nil"/>
                    <w:tr2bl w:val="nil"/>
                  </w:tcBorders>
                  <w:noWrap w:val="0"/>
                  <w:vAlign w:val="center"/>
                </w:tcPr>
                <w:p w14:paraId="3AACBAB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p>
              </w:tc>
              <w:tc>
                <w:tcPr>
                  <w:tcW w:w="783" w:type="pct"/>
                  <w:tcBorders>
                    <w:tl2br w:val="nil"/>
                    <w:tr2bl w:val="nil"/>
                  </w:tcBorders>
                  <w:noWrap w:val="0"/>
                  <w:vAlign w:val="center"/>
                </w:tcPr>
                <w:p w14:paraId="4737B64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color w:val="000000"/>
                      <w:sz w:val="21"/>
                      <w:szCs w:val="21"/>
                    </w:rPr>
                  </w:pPr>
                  <w:r>
                    <w:rPr>
                      <w:rFonts w:hint="eastAsia" w:ascii="Times New Roman" w:hAnsi="Times New Roman" w:eastAsia="宋体"/>
                      <w:sz w:val="21"/>
                      <w:szCs w:val="21"/>
                    </w:rPr>
                    <w:t>自卸汽车</w:t>
                  </w:r>
                </w:p>
              </w:tc>
              <w:tc>
                <w:tcPr>
                  <w:tcW w:w="475" w:type="pct"/>
                  <w:tcBorders>
                    <w:tl2br w:val="nil"/>
                    <w:tr2bl w:val="nil"/>
                  </w:tcBorders>
                  <w:noWrap w:val="0"/>
                  <w:vAlign w:val="center"/>
                </w:tcPr>
                <w:p w14:paraId="5B94E8C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kern w:val="2"/>
                      <w:sz w:val="21"/>
                      <w:szCs w:val="21"/>
                      <w:lang w:val="en-US" w:eastAsia="zh-CN" w:bidi="ar-SA"/>
                    </w:rPr>
                  </w:pPr>
                  <w:r>
                    <w:rPr>
                      <w:rFonts w:hint="eastAsia" w:ascii="Times New Roman" w:hAnsi="Times New Roman" w:eastAsia="宋体"/>
                      <w:sz w:val="21"/>
                      <w:szCs w:val="21"/>
                    </w:rPr>
                    <w:t>82</w:t>
                  </w:r>
                </w:p>
              </w:tc>
              <w:tc>
                <w:tcPr>
                  <w:tcW w:w="475" w:type="pct"/>
                  <w:tcBorders>
                    <w:tl2br w:val="nil"/>
                    <w:tr2bl w:val="nil"/>
                  </w:tcBorders>
                  <w:noWrap w:val="0"/>
                  <w:vAlign w:val="center"/>
                </w:tcPr>
                <w:p w14:paraId="3D50CA4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68</w:t>
                  </w:r>
                </w:p>
              </w:tc>
              <w:tc>
                <w:tcPr>
                  <w:tcW w:w="475" w:type="pct"/>
                  <w:tcBorders>
                    <w:tl2br w:val="nil"/>
                    <w:tr2bl w:val="nil"/>
                  </w:tcBorders>
                  <w:noWrap w:val="0"/>
                  <w:vAlign w:val="center"/>
                </w:tcPr>
                <w:p w14:paraId="4C13763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62</w:t>
                  </w:r>
                </w:p>
              </w:tc>
              <w:tc>
                <w:tcPr>
                  <w:tcW w:w="475" w:type="pct"/>
                  <w:tcBorders>
                    <w:tl2br w:val="nil"/>
                    <w:tr2bl w:val="nil"/>
                  </w:tcBorders>
                  <w:noWrap w:val="0"/>
                  <w:vAlign w:val="center"/>
                </w:tcPr>
                <w:p w14:paraId="10E0372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55.98</w:t>
                  </w:r>
                </w:p>
              </w:tc>
              <w:tc>
                <w:tcPr>
                  <w:tcW w:w="475" w:type="pct"/>
                  <w:tcBorders>
                    <w:tl2br w:val="nil"/>
                    <w:tr2bl w:val="nil"/>
                  </w:tcBorders>
                  <w:noWrap w:val="0"/>
                  <w:vAlign w:val="center"/>
                </w:tcPr>
                <w:p w14:paraId="50AFAE8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52.46</w:t>
                  </w:r>
                </w:p>
              </w:tc>
              <w:tc>
                <w:tcPr>
                  <w:tcW w:w="475" w:type="pct"/>
                  <w:tcBorders>
                    <w:tl2br w:val="nil"/>
                    <w:tr2bl w:val="nil"/>
                  </w:tcBorders>
                  <w:noWrap w:val="0"/>
                  <w:vAlign w:val="center"/>
                </w:tcPr>
                <w:p w14:paraId="64903EC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48.02</w:t>
                  </w:r>
                </w:p>
              </w:tc>
              <w:tc>
                <w:tcPr>
                  <w:tcW w:w="475" w:type="pct"/>
                  <w:tcBorders>
                    <w:tl2br w:val="nil"/>
                    <w:tr2bl w:val="nil"/>
                  </w:tcBorders>
                  <w:noWrap w:val="0"/>
                  <w:vAlign w:val="center"/>
                </w:tcPr>
                <w:p w14:paraId="269DA4E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42</w:t>
                  </w:r>
                </w:p>
              </w:tc>
              <w:tc>
                <w:tcPr>
                  <w:tcW w:w="475" w:type="pct"/>
                  <w:tcBorders>
                    <w:tl2br w:val="nil"/>
                    <w:tr2bl w:val="nil"/>
                  </w:tcBorders>
                  <w:noWrap w:val="0"/>
                  <w:vAlign w:val="center"/>
                </w:tcPr>
                <w:p w14:paraId="52DD218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43.03</w:t>
                  </w:r>
                </w:p>
              </w:tc>
            </w:tr>
            <w:tr w14:paraId="73B619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restart"/>
                  <w:tcBorders>
                    <w:tl2br w:val="nil"/>
                    <w:tr2bl w:val="nil"/>
                  </w:tcBorders>
                  <w:noWrap w:val="0"/>
                  <w:vAlign w:val="center"/>
                </w:tcPr>
                <w:p w14:paraId="60D5389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sz w:val="21"/>
                      <w:szCs w:val="21"/>
                    </w:rPr>
                    <w:t>加工生产线设备</w:t>
                  </w:r>
                </w:p>
              </w:tc>
              <w:tc>
                <w:tcPr>
                  <w:tcW w:w="783" w:type="pct"/>
                  <w:tcBorders>
                    <w:tl2br w:val="nil"/>
                    <w:tr2bl w:val="nil"/>
                  </w:tcBorders>
                  <w:noWrap w:val="0"/>
                  <w:vAlign w:val="center"/>
                </w:tcPr>
                <w:p w14:paraId="2385306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颚式</w:t>
                  </w:r>
                </w:p>
                <w:p w14:paraId="4FA16F5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破碎机</w:t>
                  </w:r>
                </w:p>
              </w:tc>
              <w:tc>
                <w:tcPr>
                  <w:tcW w:w="475" w:type="pct"/>
                  <w:tcBorders>
                    <w:tl2br w:val="nil"/>
                    <w:tr2bl w:val="nil"/>
                  </w:tcBorders>
                  <w:noWrap w:val="0"/>
                  <w:vAlign w:val="center"/>
                </w:tcPr>
                <w:p w14:paraId="2936FE3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color w:val="000000"/>
                      <w:kern w:val="2"/>
                      <w:sz w:val="21"/>
                      <w:szCs w:val="21"/>
                      <w:lang w:val="en-US" w:eastAsia="zh-CN" w:bidi="ar-SA"/>
                    </w:rPr>
                  </w:pPr>
                  <w:r>
                    <w:rPr>
                      <w:rFonts w:hint="eastAsia" w:ascii="Times New Roman" w:hAnsi="Times New Roman" w:eastAsia="宋体"/>
                      <w:color w:val="000000"/>
                      <w:sz w:val="21"/>
                      <w:szCs w:val="21"/>
                      <w:lang w:val="en-US" w:eastAsia="zh-CN"/>
                    </w:rPr>
                    <w:t>90</w:t>
                  </w:r>
                </w:p>
              </w:tc>
              <w:tc>
                <w:tcPr>
                  <w:tcW w:w="475" w:type="pct"/>
                  <w:tcBorders>
                    <w:tl2br w:val="nil"/>
                    <w:tr2bl w:val="nil"/>
                  </w:tcBorders>
                  <w:noWrap w:val="0"/>
                  <w:vAlign w:val="center"/>
                </w:tcPr>
                <w:p w14:paraId="02A0535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76</w:t>
                  </w:r>
                </w:p>
              </w:tc>
              <w:tc>
                <w:tcPr>
                  <w:tcW w:w="475" w:type="pct"/>
                  <w:tcBorders>
                    <w:tl2br w:val="nil"/>
                    <w:tr2bl w:val="nil"/>
                  </w:tcBorders>
                  <w:noWrap w:val="0"/>
                  <w:vAlign w:val="center"/>
                </w:tcPr>
                <w:p w14:paraId="1ED2B90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70</w:t>
                  </w:r>
                </w:p>
              </w:tc>
              <w:tc>
                <w:tcPr>
                  <w:tcW w:w="475" w:type="pct"/>
                  <w:tcBorders>
                    <w:tl2br w:val="nil"/>
                    <w:tr2bl w:val="nil"/>
                  </w:tcBorders>
                  <w:noWrap w:val="0"/>
                  <w:vAlign w:val="center"/>
                </w:tcPr>
                <w:p w14:paraId="062D82E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63.98</w:t>
                  </w:r>
                </w:p>
              </w:tc>
              <w:tc>
                <w:tcPr>
                  <w:tcW w:w="475" w:type="pct"/>
                  <w:tcBorders>
                    <w:tl2br w:val="nil"/>
                    <w:tr2bl w:val="nil"/>
                  </w:tcBorders>
                  <w:noWrap w:val="0"/>
                  <w:vAlign w:val="center"/>
                </w:tcPr>
                <w:p w14:paraId="1FDA202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60.46</w:t>
                  </w:r>
                </w:p>
              </w:tc>
              <w:tc>
                <w:tcPr>
                  <w:tcW w:w="475" w:type="pct"/>
                  <w:tcBorders>
                    <w:tl2br w:val="nil"/>
                    <w:tr2bl w:val="nil"/>
                  </w:tcBorders>
                  <w:noWrap w:val="0"/>
                  <w:vAlign w:val="center"/>
                </w:tcPr>
                <w:p w14:paraId="7D181E3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56.02</w:t>
                  </w:r>
                </w:p>
              </w:tc>
              <w:tc>
                <w:tcPr>
                  <w:tcW w:w="475" w:type="pct"/>
                  <w:tcBorders>
                    <w:tl2br w:val="nil"/>
                    <w:tr2bl w:val="nil"/>
                  </w:tcBorders>
                  <w:noWrap w:val="0"/>
                  <w:vAlign w:val="center"/>
                </w:tcPr>
                <w:p w14:paraId="2314454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50</w:t>
                  </w:r>
                </w:p>
              </w:tc>
              <w:tc>
                <w:tcPr>
                  <w:tcW w:w="475" w:type="pct"/>
                  <w:tcBorders>
                    <w:tl2br w:val="nil"/>
                    <w:tr2bl w:val="nil"/>
                  </w:tcBorders>
                  <w:noWrap w:val="0"/>
                  <w:vAlign w:val="center"/>
                </w:tcPr>
                <w:p w14:paraId="634EBED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51.03</w:t>
                  </w:r>
                </w:p>
              </w:tc>
            </w:tr>
            <w:tr w14:paraId="330675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continue"/>
                  <w:tcBorders>
                    <w:tl2br w:val="nil"/>
                    <w:tr2bl w:val="nil"/>
                  </w:tcBorders>
                  <w:noWrap w:val="0"/>
                  <w:vAlign w:val="center"/>
                </w:tcPr>
                <w:p w14:paraId="36E7C97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p>
              </w:tc>
              <w:tc>
                <w:tcPr>
                  <w:tcW w:w="783" w:type="pct"/>
                  <w:tcBorders>
                    <w:tl2br w:val="nil"/>
                    <w:tr2bl w:val="nil"/>
                  </w:tcBorders>
                  <w:noWrap w:val="0"/>
                  <w:vAlign w:val="center"/>
                </w:tcPr>
                <w:p w14:paraId="4BD0C4C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反击式</w:t>
                  </w:r>
                </w:p>
                <w:p w14:paraId="646D9FF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破碎机</w:t>
                  </w:r>
                </w:p>
              </w:tc>
              <w:tc>
                <w:tcPr>
                  <w:tcW w:w="475" w:type="pct"/>
                  <w:tcBorders>
                    <w:tl2br w:val="nil"/>
                    <w:tr2bl w:val="nil"/>
                  </w:tcBorders>
                  <w:noWrap w:val="0"/>
                  <w:vAlign w:val="center"/>
                </w:tcPr>
                <w:p w14:paraId="5C47019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kern w:val="2"/>
                      <w:sz w:val="21"/>
                      <w:szCs w:val="21"/>
                      <w:lang w:val="en-US" w:eastAsia="zh-CN" w:bidi="ar-SA"/>
                    </w:rPr>
                  </w:pPr>
                  <w:r>
                    <w:rPr>
                      <w:rFonts w:hint="eastAsia" w:ascii="Times New Roman" w:hAnsi="Times New Roman" w:eastAsia="宋体"/>
                      <w:sz w:val="21"/>
                      <w:szCs w:val="21"/>
                      <w:lang w:val="en-US" w:eastAsia="zh-CN"/>
                    </w:rPr>
                    <w:t>90</w:t>
                  </w:r>
                </w:p>
              </w:tc>
              <w:tc>
                <w:tcPr>
                  <w:tcW w:w="475" w:type="pct"/>
                  <w:tcBorders>
                    <w:tl2br w:val="nil"/>
                    <w:tr2bl w:val="nil"/>
                  </w:tcBorders>
                  <w:noWrap w:val="0"/>
                  <w:vAlign w:val="center"/>
                </w:tcPr>
                <w:p w14:paraId="7CE9AAC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76</w:t>
                  </w:r>
                </w:p>
              </w:tc>
              <w:tc>
                <w:tcPr>
                  <w:tcW w:w="475" w:type="pct"/>
                  <w:tcBorders>
                    <w:tl2br w:val="nil"/>
                    <w:tr2bl w:val="nil"/>
                  </w:tcBorders>
                  <w:noWrap w:val="0"/>
                  <w:vAlign w:val="center"/>
                </w:tcPr>
                <w:p w14:paraId="30934F8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70</w:t>
                  </w:r>
                </w:p>
              </w:tc>
              <w:tc>
                <w:tcPr>
                  <w:tcW w:w="475" w:type="pct"/>
                  <w:tcBorders>
                    <w:tl2br w:val="nil"/>
                    <w:tr2bl w:val="nil"/>
                  </w:tcBorders>
                  <w:noWrap w:val="0"/>
                  <w:vAlign w:val="center"/>
                </w:tcPr>
                <w:p w14:paraId="6321067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63.98</w:t>
                  </w:r>
                </w:p>
              </w:tc>
              <w:tc>
                <w:tcPr>
                  <w:tcW w:w="475" w:type="pct"/>
                  <w:tcBorders>
                    <w:tl2br w:val="nil"/>
                    <w:tr2bl w:val="nil"/>
                  </w:tcBorders>
                  <w:noWrap w:val="0"/>
                  <w:vAlign w:val="center"/>
                </w:tcPr>
                <w:p w14:paraId="054E2FF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60.46</w:t>
                  </w:r>
                </w:p>
              </w:tc>
              <w:tc>
                <w:tcPr>
                  <w:tcW w:w="475" w:type="pct"/>
                  <w:tcBorders>
                    <w:tl2br w:val="nil"/>
                    <w:tr2bl w:val="nil"/>
                  </w:tcBorders>
                  <w:noWrap w:val="0"/>
                  <w:vAlign w:val="center"/>
                </w:tcPr>
                <w:p w14:paraId="3E8BEF7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56.02</w:t>
                  </w:r>
                </w:p>
              </w:tc>
              <w:tc>
                <w:tcPr>
                  <w:tcW w:w="475" w:type="pct"/>
                  <w:tcBorders>
                    <w:tl2br w:val="nil"/>
                    <w:tr2bl w:val="nil"/>
                  </w:tcBorders>
                  <w:noWrap w:val="0"/>
                  <w:vAlign w:val="center"/>
                </w:tcPr>
                <w:p w14:paraId="627EE92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50</w:t>
                  </w:r>
                </w:p>
              </w:tc>
              <w:tc>
                <w:tcPr>
                  <w:tcW w:w="475" w:type="pct"/>
                  <w:tcBorders>
                    <w:tl2br w:val="nil"/>
                    <w:tr2bl w:val="nil"/>
                  </w:tcBorders>
                  <w:noWrap w:val="0"/>
                  <w:vAlign w:val="center"/>
                </w:tcPr>
                <w:p w14:paraId="49D9A03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51.03</w:t>
                  </w:r>
                </w:p>
              </w:tc>
            </w:tr>
            <w:tr w14:paraId="1BE74C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continue"/>
                  <w:tcBorders>
                    <w:tl2br w:val="nil"/>
                    <w:tr2bl w:val="nil"/>
                  </w:tcBorders>
                  <w:noWrap w:val="0"/>
                  <w:vAlign w:val="center"/>
                </w:tcPr>
                <w:p w14:paraId="1DB177F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p>
              </w:tc>
              <w:tc>
                <w:tcPr>
                  <w:tcW w:w="783" w:type="pct"/>
                  <w:tcBorders>
                    <w:tl2br w:val="nil"/>
                    <w:tr2bl w:val="nil"/>
                  </w:tcBorders>
                  <w:noWrap w:val="0"/>
                  <w:vAlign w:val="center"/>
                </w:tcPr>
                <w:p w14:paraId="78E09FD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振动筛</w:t>
                  </w:r>
                </w:p>
              </w:tc>
              <w:tc>
                <w:tcPr>
                  <w:tcW w:w="475" w:type="pct"/>
                  <w:tcBorders>
                    <w:tl2br w:val="nil"/>
                    <w:tr2bl w:val="nil"/>
                  </w:tcBorders>
                  <w:noWrap w:val="0"/>
                  <w:vAlign w:val="center"/>
                </w:tcPr>
                <w:p w14:paraId="54F36AF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kern w:val="2"/>
                      <w:sz w:val="21"/>
                      <w:szCs w:val="21"/>
                      <w:lang w:val="en-US" w:eastAsia="zh-CN" w:bidi="ar-SA"/>
                    </w:rPr>
                  </w:pPr>
                  <w:r>
                    <w:rPr>
                      <w:rFonts w:hint="eastAsia" w:ascii="Times New Roman" w:hAnsi="Times New Roman" w:eastAsia="宋体"/>
                      <w:sz w:val="21"/>
                      <w:szCs w:val="21"/>
                      <w:lang w:val="en-US" w:eastAsia="zh-CN"/>
                    </w:rPr>
                    <w:t>85</w:t>
                  </w:r>
                </w:p>
              </w:tc>
              <w:tc>
                <w:tcPr>
                  <w:tcW w:w="475" w:type="pct"/>
                  <w:tcBorders>
                    <w:tl2br w:val="nil"/>
                    <w:tr2bl w:val="nil"/>
                  </w:tcBorders>
                  <w:noWrap w:val="0"/>
                  <w:vAlign w:val="center"/>
                </w:tcPr>
                <w:p w14:paraId="06D6B72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71</w:t>
                  </w:r>
                </w:p>
              </w:tc>
              <w:tc>
                <w:tcPr>
                  <w:tcW w:w="475" w:type="pct"/>
                  <w:tcBorders>
                    <w:tl2br w:val="nil"/>
                    <w:tr2bl w:val="nil"/>
                  </w:tcBorders>
                  <w:noWrap w:val="0"/>
                  <w:vAlign w:val="center"/>
                </w:tcPr>
                <w:p w14:paraId="60C6462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65</w:t>
                  </w:r>
                </w:p>
              </w:tc>
              <w:tc>
                <w:tcPr>
                  <w:tcW w:w="475" w:type="pct"/>
                  <w:tcBorders>
                    <w:tl2br w:val="nil"/>
                    <w:tr2bl w:val="nil"/>
                  </w:tcBorders>
                  <w:noWrap w:val="0"/>
                  <w:vAlign w:val="center"/>
                </w:tcPr>
                <w:p w14:paraId="4759041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58.98</w:t>
                  </w:r>
                </w:p>
              </w:tc>
              <w:tc>
                <w:tcPr>
                  <w:tcW w:w="475" w:type="pct"/>
                  <w:tcBorders>
                    <w:tl2br w:val="nil"/>
                    <w:tr2bl w:val="nil"/>
                  </w:tcBorders>
                  <w:noWrap w:val="0"/>
                  <w:vAlign w:val="center"/>
                </w:tcPr>
                <w:p w14:paraId="5E5986F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55.46</w:t>
                  </w:r>
                </w:p>
              </w:tc>
              <w:tc>
                <w:tcPr>
                  <w:tcW w:w="475" w:type="pct"/>
                  <w:tcBorders>
                    <w:tl2br w:val="nil"/>
                    <w:tr2bl w:val="nil"/>
                  </w:tcBorders>
                  <w:noWrap w:val="0"/>
                  <w:vAlign w:val="center"/>
                </w:tcPr>
                <w:p w14:paraId="28F8B66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51.02</w:t>
                  </w:r>
                </w:p>
              </w:tc>
              <w:tc>
                <w:tcPr>
                  <w:tcW w:w="475" w:type="pct"/>
                  <w:tcBorders>
                    <w:tl2br w:val="nil"/>
                    <w:tr2bl w:val="nil"/>
                  </w:tcBorders>
                  <w:noWrap w:val="0"/>
                  <w:vAlign w:val="center"/>
                </w:tcPr>
                <w:p w14:paraId="2C2E8D8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45</w:t>
                  </w:r>
                </w:p>
              </w:tc>
              <w:tc>
                <w:tcPr>
                  <w:tcW w:w="475" w:type="pct"/>
                  <w:tcBorders>
                    <w:tl2br w:val="nil"/>
                    <w:tr2bl w:val="nil"/>
                  </w:tcBorders>
                  <w:noWrap w:val="0"/>
                  <w:vAlign w:val="center"/>
                </w:tcPr>
                <w:p w14:paraId="7186ABC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39.98</w:t>
                  </w:r>
                </w:p>
              </w:tc>
            </w:tr>
            <w:tr w14:paraId="371D2F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continue"/>
                  <w:tcBorders>
                    <w:tl2br w:val="nil"/>
                    <w:tr2bl w:val="nil"/>
                  </w:tcBorders>
                  <w:noWrap w:val="0"/>
                  <w:vAlign w:val="center"/>
                </w:tcPr>
                <w:p w14:paraId="7F8D31A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p>
              </w:tc>
              <w:tc>
                <w:tcPr>
                  <w:tcW w:w="783" w:type="pct"/>
                  <w:tcBorders>
                    <w:tl2br w:val="nil"/>
                    <w:tr2bl w:val="nil"/>
                  </w:tcBorders>
                  <w:noWrap w:val="0"/>
                  <w:vAlign w:val="center"/>
                </w:tcPr>
                <w:p w14:paraId="4506693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皮带</w:t>
                  </w:r>
                </w:p>
                <w:p w14:paraId="5DBCB68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输送机</w:t>
                  </w:r>
                </w:p>
              </w:tc>
              <w:tc>
                <w:tcPr>
                  <w:tcW w:w="475" w:type="pct"/>
                  <w:tcBorders>
                    <w:tl2br w:val="nil"/>
                    <w:tr2bl w:val="nil"/>
                  </w:tcBorders>
                  <w:noWrap w:val="0"/>
                  <w:vAlign w:val="center"/>
                </w:tcPr>
                <w:p w14:paraId="49A7D42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kern w:val="2"/>
                      <w:sz w:val="21"/>
                      <w:szCs w:val="21"/>
                      <w:lang w:val="en-US" w:eastAsia="zh-CN" w:bidi="ar-SA"/>
                    </w:rPr>
                  </w:pPr>
                  <w:r>
                    <w:rPr>
                      <w:rFonts w:hint="eastAsia" w:ascii="Times New Roman" w:hAnsi="Times New Roman" w:eastAsia="宋体"/>
                      <w:sz w:val="21"/>
                      <w:szCs w:val="21"/>
                      <w:lang w:val="en-US" w:eastAsia="zh-CN"/>
                    </w:rPr>
                    <w:t>75</w:t>
                  </w:r>
                </w:p>
              </w:tc>
              <w:tc>
                <w:tcPr>
                  <w:tcW w:w="475" w:type="pct"/>
                  <w:tcBorders>
                    <w:tl2br w:val="nil"/>
                    <w:tr2bl w:val="nil"/>
                  </w:tcBorders>
                  <w:noWrap w:val="0"/>
                  <w:vAlign w:val="center"/>
                </w:tcPr>
                <w:p w14:paraId="0C47C15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61</w:t>
                  </w:r>
                </w:p>
              </w:tc>
              <w:tc>
                <w:tcPr>
                  <w:tcW w:w="475" w:type="pct"/>
                  <w:tcBorders>
                    <w:tl2br w:val="nil"/>
                    <w:tr2bl w:val="nil"/>
                  </w:tcBorders>
                  <w:noWrap w:val="0"/>
                  <w:vAlign w:val="center"/>
                </w:tcPr>
                <w:p w14:paraId="7DD1720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55</w:t>
                  </w:r>
                </w:p>
              </w:tc>
              <w:tc>
                <w:tcPr>
                  <w:tcW w:w="475" w:type="pct"/>
                  <w:tcBorders>
                    <w:tl2br w:val="nil"/>
                    <w:tr2bl w:val="nil"/>
                  </w:tcBorders>
                  <w:noWrap w:val="0"/>
                  <w:vAlign w:val="center"/>
                </w:tcPr>
                <w:p w14:paraId="6E44CAC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48.98</w:t>
                  </w:r>
                </w:p>
              </w:tc>
              <w:tc>
                <w:tcPr>
                  <w:tcW w:w="475" w:type="pct"/>
                  <w:tcBorders>
                    <w:tl2br w:val="nil"/>
                    <w:tr2bl w:val="nil"/>
                  </w:tcBorders>
                  <w:noWrap w:val="0"/>
                  <w:vAlign w:val="center"/>
                </w:tcPr>
                <w:p w14:paraId="586CFE5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45.46</w:t>
                  </w:r>
                </w:p>
              </w:tc>
              <w:tc>
                <w:tcPr>
                  <w:tcW w:w="475" w:type="pct"/>
                  <w:tcBorders>
                    <w:tl2br w:val="nil"/>
                    <w:tr2bl w:val="nil"/>
                  </w:tcBorders>
                  <w:noWrap w:val="0"/>
                  <w:vAlign w:val="center"/>
                </w:tcPr>
                <w:p w14:paraId="02B6EA3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41.02</w:t>
                  </w:r>
                </w:p>
              </w:tc>
              <w:tc>
                <w:tcPr>
                  <w:tcW w:w="475" w:type="pct"/>
                  <w:tcBorders>
                    <w:tl2br w:val="nil"/>
                    <w:tr2bl w:val="nil"/>
                  </w:tcBorders>
                  <w:noWrap w:val="0"/>
                  <w:vAlign w:val="center"/>
                </w:tcPr>
                <w:p w14:paraId="77260F5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35</w:t>
                  </w:r>
                </w:p>
              </w:tc>
              <w:tc>
                <w:tcPr>
                  <w:tcW w:w="475" w:type="pct"/>
                  <w:tcBorders>
                    <w:tl2br w:val="nil"/>
                    <w:tr2bl w:val="nil"/>
                  </w:tcBorders>
                  <w:noWrap w:val="0"/>
                  <w:vAlign w:val="center"/>
                </w:tcPr>
                <w:p w14:paraId="75F4F7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36.03</w:t>
                  </w:r>
                </w:p>
              </w:tc>
            </w:tr>
            <w:tr w14:paraId="200C40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14" w:type="pct"/>
                  <w:vMerge w:val="continue"/>
                  <w:tcBorders>
                    <w:tl2br w:val="nil"/>
                    <w:tr2bl w:val="nil"/>
                  </w:tcBorders>
                  <w:noWrap w:val="0"/>
                  <w:vAlign w:val="center"/>
                </w:tcPr>
                <w:p w14:paraId="2CA9E3C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p>
              </w:tc>
              <w:tc>
                <w:tcPr>
                  <w:tcW w:w="783" w:type="pct"/>
                  <w:tcBorders>
                    <w:tl2br w:val="nil"/>
                    <w:tr2bl w:val="nil"/>
                  </w:tcBorders>
                  <w:noWrap w:val="0"/>
                  <w:vAlign w:val="center"/>
                </w:tcPr>
                <w:p w14:paraId="173A0AE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振动</w:t>
                  </w:r>
                </w:p>
                <w:p w14:paraId="4C8C6E0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给料机</w:t>
                  </w:r>
                </w:p>
              </w:tc>
              <w:tc>
                <w:tcPr>
                  <w:tcW w:w="475" w:type="pct"/>
                  <w:tcBorders>
                    <w:tl2br w:val="nil"/>
                    <w:tr2bl w:val="nil"/>
                  </w:tcBorders>
                  <w:noWrap w:val="0"/>
                  <w:vAlign w:val="center"/>
                </w:tcPr>
                <w:p w14:paraId="6FC6A1F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kern w:val="2"/>
                      <w:sz w:val="21"/>
                      <w:szCs w:val="21"/>
                      <w:lang w:val="en-US" w:eastAsia="zh-CN" w:bidi="ar-SA"/>
                    </w:rPr>
                  </w:pPr>
                  <w:r>
                    <w:rPr>
                      <w:rFonts w:hint="eastAsia" w:ascii="Times New Roman" w:hAnsi="Times New Roman" w:eastAsia="宋体"/>
                      <w:sz w:val="21"/>
                      <w:szCs w:val="21"/>
                      <w:lang w:val="en-US" w:eastAsia="zh-CN"/>
                    </w:rPr>
                    <w:t>75</w:t>
                  </w:r>
                </w:p>
              </w:tc>
              <w:tc>
                <w:tcPr>
                  <w:tcW w:w="475" w:type="pct"/>
                  <w:tcBorders>
                    <w:tl2br w:val="nil"/>
                    <w:tr2bl w:val="nil"/>
                  </w:tcBorders>
                  <w:noWrap w:val="0"/>
                  <w:vAlign w:val="center"/>
                </w:tcPr>
                <w:p w14:paraId="3DD9DE2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61</w:t>
                  </w:r>
                </w:p>
              </w:tc>
              <w:tc>
                <w:tcPr>
                  <w:tcW w:w="475" w:type="pct"/>
                  <w:tcBorders>
                    <w:tl2br w:val="nil"/>
                    <w:tr2bl w:val="nil"/>
                  </w:tcBorders>
                  <w:noWrap w:val="0"/>
                  <w:vAlign w:val="center"/>
                </w:tcPr>
                <w:p w14:paraId="6650834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55</w:t>
                  </w:r>
                </w:p>
              </w:tc>
              <w:tc>
                <w:tcPr>
                  <w:tcW w:w="475" w:type="pct"/>
                  <w:tcBorders>
                    <w:tl2br w:val="nil"/>
                    <w:tr2bl w:val="nil"/>
                  </w:tcBorders>
                  <w:noWrap w:val="0"/>
                  <w:vAlign w:val="center"/>
                </w:tcPr>
                <w:p w14:paraId="4181FDA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48.98</w:t>
                  </w:r>
                </w:p>
              </w:tc>
              <w:tc>
                <w:tcPr>
                  <w:tcW w:w="475" w:type="pct"/>
                  <w:tcBorders>
                    <w:tl2br w:val="nil"/>
                    <w:tr2bl w:val="nil"/>
                  </w:tcBorders>
                  <w:noWrap w:val="0"/>
                  <w:vAlign w:val="center"/>
                </w:tcPr>
                <w:p w14:paraId="7D34071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45.46</w:t>
                  </w:r>
                </w:p>
              </w:tc>
              <w:tc>
                <w:tcPr>
                  <w:tcW w:w="475" w:type="pct"/>
                  <w:tcBorders>
                    <w:tl2br w:val="nil"/>
                    <w:tr2bl w:val="nil"/>
                  </w:tcBorders>
                  <w:noWrap w:val="0"/>
                  <w:vAlign w:val="center"/>
                </w:tcPr>
                <w:p w14:paraId="21C1A59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41.02</w:t>
                  </w:r>
                </w:p>
              </w:tc>
              <w:tc>
                <w:tcPr>
                  <w:tcW w:w="475" w:type="pct"/>
                  <w:tcBorders>
                    <w:tl2br w:val="nil"/>
                    <w:tr2bl w:val="nil"/>
                  </w:tcBorders>
                  <w:noWrap w:val="0"/>
                  <w:vAlign w:val="center"/>
                </w:tcPr>
                <w:p w14:paraId="2D76E66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35</w:t>
                  </w:r>
                </w:p>
              </w:tc>
              <w:tc>
                <w:tcPr>
                  <w:tcW w:w="475" w:type="pct"/>
                  <w:tcBorders>
                    <w:tl2br w:val="nil"/>
                    <w:tr2bl w:val="nil"/>
                  </w:tcBorders>
                  <w:noWrap w:val="0"/>
                  <w:vAlign w:val="center"/>
                </w:tcPr>
                <w:p w14:paraId="545BEB3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36.03</w:t>
                  </w:r>
                </w:p>
              </w:tc>
            </w:tr>
          </w:tbl>
          <w:p w14:paraId="67E615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000000"/>
                <w:sz w:val="24"/>
                <w:szCs w:val="24"/>
                <w:lang w:val="en-US" w:eastAsia="zh-CN"/>
              </w:rPr>
              <w:t>由上表中的预测结果可知，运营期机械噪声在无遮挡情况下，各机械设备噪声值叠加后，50m范围处满足《工业企业厂界环境噪声排放标准》（GB12348-2008）中</w:t>
            </w:r>
            <w:r>
              <w:rPr>
                <w:rFonts w:hint="eastAsia" w:cs="Times New Roman"/>
                <w:color w:val="000000"/>
                <w:sz w:val="24"/>
                <w:szCs w:val="24"/>
                <w:lang w:val="en-US" w:eastAsia="zh-CN"/>
              </w:rPr>
              <w:t>2</w:t>
            </w:r>
            <w:r>
              <w:rPr>
                <w:rFonts w:hint="eastAsia" w:ascii="Times New Roman" w:hAnsi="Times New Roman" w:eastAsia="宋体" w:cs="Times New Roman"/>
                <w:color w:val="000000"/>
                <w:sz w:val="24"/>
                <w:szCs w:val="24"/>
                <w:lang w:val="en-US" w:eastAsia="zh-CN"/>
              </w:rPr>
              <w:t>类标准的要求</w:t>
            </w:r>
            <w:r>
              <w:rPr>
                <w:rFonts w:hint="eastAsia" w:cs="Times New Roman"/>
                <w:color w:val="auto"/>
                <w:sz w:val="24"/>
                <w:szCs w:val="24"/>
                <w:lang w:val="en-US" w:eastAsia="zh-CN"/>
              </w:rPr>
              <w:t>，加工区生产设备距离西侧厂界约80m，距东侧厂界约120m，采矿设备因采矿点的变化而变化，距北侧厂界50m及以上</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因此本项目</w:t>
            </w:r>
            <w:r>
              <w:rPr>
                <w:rFonts w:hint="eastAsia" w:ascii="Times New Roman" w:hAnsi="Times New Roman" w:eastAsia="宋体" w:cs="Times New Roman"/>
                <w:color w:val="auto"/>
                <w:sz w:val="24"/>
                <w:szCs w:val="24"/>
                <w:lang w:val="en-US" w:eastAsia="zh-CN"/>
              </w:rPr>
              <w:t>满足《工业企业厂界环境噪声排放标准》（GB12348-2008）中</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类标准的要求项目</w:t>
            </w:r>
            <w:r>
              <w:rPr>
                <w:rFonts w:hint="eastAsia" w:cs="Times New Roman"/>
                <w:color w:val="auto"/>
                <w:sz w:val="24"/>
                <w:szCs w:val="24"/>
                <w:lang w:val="en-US" w:eastAsia="zh-CN"/>
              </w:rPr>
              <w:t>。</w:t>
            </w:r>
          </w:p>
          <w:p w14:paraId="5EA4D2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本次提出如下措施：</w:t>
            </w:r>
          </w:p>
          <w:p w14:paraId="0702A049">
            <w:pPr>
              <w:keepNext/>
              <w:keepLines/>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b w:val="0"/>
                <w:bCs w:val="0"/>
                <w:color w:val="000000"/>
                <w:sz w:val="24"/>
                <w:szCs w:val="24"/>
              </w:rPr>
            </w:pPr>
            <w:bookmarkStart w:id="19" w:name="_Toc530008346"/>
            <w:bookmarkStart w:id="20" w:name="_Toc530009102"/>
            <w:bookmarkStart w:id="21" w:name="_Toc530010279"/>
            <w:r>
              <w:rPr>
                <w:rFonts w:hint="default" w:ascii="Times New Roman" w:hAnsi="Times New Roman" w:eastAsia="宋体" w:cs="Times New Roman"/>
                <w:b w:val="0"/>
                <w:bCs w:val="0"/>
                <w:color w:val="000000"/>
                <w:sz w:val="24"/>
                <w:szCs w:val="24"/>
              </w:rPr>
              <w:t>尽量选用低噪声、低振动机械设备，或带有消声、隔音等附属设备的机械；</w:t>
            </w:r>
          </w:p>
          <w:p w14:paraId="79F9A764">
            <w:pPr>
              <w:keepNext/>
              <w:keepLines/>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eastAsia"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lang w:eastAsia="zh-CN"/>
              </w:rPr>
              <w:t>（</w:t>
            </w:r>
            <w:r>
              <w:rPr>
                <w:rFonts w:hint="eastAsia"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rPr>
              <w:t>加强设备维护保养，确保其高效运行，适时添加润滑油防止机械磨损；</w:t>
            </w:r>
          </w:p>
          <w:p w14:paraId="3EDFB66E">
            <w:pPr>
              <w:keepNext/>
              <w:keepLines/>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eastAsia"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w:t>
            </w:r>
            <w:r>
              <w:rPr>
                <w:rFonts w:hint="eastAsia" w:ascii="Times New Roman" w:hAnsi="Times New Roman" w:eastAsia="宋体" w:cs="Times New Roman"/>
                <w:b w:val="0"/>
                <w:bCs w:val="0"/>
                <w:color w:val="000000"/>
                <w:sz w:val="24"/>
                <w:szCs w:val="24"/>
                <w:lang w:val="en-US" w:eastAsia="zh-CN"/>
              </w:rPr>
              <w:t>3</w:t>
            </w:r>
            <w:r>
              <w:rPr>
                <w:rFonts w:hint="default" w:ascii="Times New Roman" w:hAnsi="Times New Roman" w:eastAsia="宋体" w:cs="Times New Roman"/>
                <w:b w:val="0"/>
                <w:bCs w:val="0"/>
                <w:color w:val="000000"/>
                <w:sz w:val="24"/>
                <w:szCs w:val="24"/>
              </w:rPr>
              <w:t>）运输车辆少鸣笛或不鸣笛，减少对运输道路两侧野生动物的惊扰。</w:t>
            </w:r>
          </w:p>
          <w:p w14:paraId="7E418BF1">
            <w:pPr>
              <w:keepNext/>
              <w:keepLines/>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rPr>
              <w:t>（</w:t>
            </w:r>
            <w:r>
              <w:rPr>
                <w:rFonts w:hint="eastAsia" w:ascii="Times New Roman" w:hAnsi="Times New Roman" w:eastAsia="宋体" w:cs="Times New Roman"/>
                <w:b w:val="0"/>
                <w:bCs w:val="0"/>
                <w:color w:val="000000"/>
                <w:sz w:val="24"/>
                <w:szCs w:val="24"/>
                <w:lang w:val="en-US" w:eastAsia="zh-CN"/>
              </w:rPr>
              <w:t>4</w:t>
            </w:r>
            <w:r>
              <w:rPr>
                <w:rFonts w:hint="default" w:ascii="Times New Roman" w:hAnsi="Times New Roman" w:eastAsia="宋体" w:cs="Times New Roman"/>
                <w:b w:val="0"/>
                <w:bCs w:val="0"/>
                <w:color w:val="000000"/>
                <w:sz w:val="24"/>
                <w:szCs w:val="24"/>
              </w:rPr>
              <w:t>）项目区运营加强管理，合理安排工作时间</w:t>
            </w:r>
            <w:bookmarkEnd w:id="19"/>
            <w:bookmarkEnd w:id="20"/>
            <w:bookmarkEnd w:id="21"/>
            <w:r>
              <w:rPr>
                <w:rFonts w:hint="default" w:ascii="Times New Roman" w:hAnsi="Times New Roman" w:eastAsia="宋体" w:cs="Times New Roman"/>
                <w:b w:val="0"/>
                <w:bCs w:val="0"/>
                <w:color w:val="000000"/>
                <w:sz w:val="24"/>
                <w:szCs w:val="24"/>
                <w:lang w:eastAsia="zh-CN"/>
              </w:rPr>
              <w:t>。</w:t>
            </w:r>
          </w:p>
          <w:p w14:paraId="10407D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ascii="Times New Roman" w:hAnsi="Times New Roman" w:eastAsia="宋体"/>
                <w:sz w:val="24"/>
                <w:szCs w:val="24"/>
              </w:rPr>
              <w:t>除采取以上防治措施后，建设单位还应充分重视操作人员的劳动保护，为其发放特制耳塞、耳罩，并设置操作人员值班室，避免操作人员长期处于高噪声环境中，从噪声受体保护方面减轻污染。</w:t>
            </w:r>
          </w:p>
          <w:p w14:paraId="5C17239B">
            <w:pPr>
              <w:pStyle w:val="59"/>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b/>
                <w:bCs/>
                <w:color w:val="auto"/>
                <w:sz w:val="24"/>
                <w:szCs w:val="24"/>
                <w:lang w:val="en-US" w:eastAsia="zh-CN"/>
              </w:rPr>
            </w:pPr>
            <w:r>
              <w:rPr>
                <w:rFonts w:hint="default" w:ascii="Times New Roman" w:hAnsi="Times New Roman" w:eastAsia="宋体" w:cs="Times New Roman"/>
                <w:sz w:val="24"/>
                <w:szCs w:val="24"/>
              </w:rPr>
              <w:t>综上，通过采取必要的环保措施，项目</w:t>
            </w:r>
            <w:r>
              <w:rPr>
                <w:rFonts w:hint="default" w:ascii="Times New Roman" w:hAnsi="Times New Roman" w:eastAsia="宋体" w:cs="Times New Roman"/>
                <w:sz w:val="24"/>
                <w:szCs w:val="24"/>
                <w:lang w:eastAsia="zh-CN"/>
              </w:rPr>
              <w:t>运营期厂界</w:t>
            </w:r>
            <w:r>
              <w:rPr>
                <w:rFonts w:hint="default" w:ascii="Times New Roman" w:hAnsi="Times New Roman" w:eastAsia="宋体" w:cs="Times New Roman"/>
                <w:sz w:val="24"/>
                <w:szCs w:val="24"/>
              </w:rPr>
              <w:t>噪声可满足《工业企业厂界环境噪声排放标准》（GB12348-2008）中的</w:t>
            </w:r>
            <w:r>
              <w:rPr>
                <w:rFonts w:hint="eastAsia" w:eastAsia="宋体" w:cs="Times New Roman"/>
                <w:sz w:val="24"/>
                <w:szCs w:val="24"/>
                <w:lang w:val="en-US" w:eastAsia="zh-CN"/>
              </w:rPr>
              <w:t>2</w:t>
            </w:r>
            <w:r>
              <w:rPr>
                <w:rFonts w:hint="default" w:ascii="Times New Roman" w:hAnsi="Times New Roman" w:eastAsia="宋体" w:cs="Times New Roman"/>
                <w:sz w:val="24"/>
                <w:szCs w:val="24"/>
              </w:rPr>
              <w:t xml:space="preserve">类标准限值，噪声污染防治措施有效可行。 </w:t>
            </w:r>
          </w:p>
          <w:p w14:paraId="5BFC2110">
            <w:pPr>
              <w:pStyle w:val="4"/>
              <w:bidi w:val="0"/>
              <w:rPr>
                <w:rFonts w:hint="default" w:eastAsia="宋体"/>
                <w:lang w:val="en-US" w:eastAsia="zh-CN"/>
              </w:rPr>
            </w:pPr>
            <w:r>
              <w:rPr>
                <w:rFonts w:hint="eastAsia"/>
                <w:lang w:val="en-US" w:eastAsia="zh-CN"/>
              </w:rPr>
              <w:t>5、</w:t>
            </w:r>
            <w:r>
              <w:t>固体废弃物</w:t>
            </w:r>
            <w:r>
              <w:rPr>
                <w:rFonts w:hint="eastAsia"/>
                <w:lang w:val="en-US" w:eastAsia="zh-CN"/>
              </w:rPr>
              <w:t>处置措施</w:t>
            </w:r>
          </w:p>
          <w:p w14:paraId="194BDD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sz w:val="24"/>
                <w:szCs w:val="24"/>
              </w:rPr>
            </w:pPr>
            <w:r>
              <w:rPr>
                <w:rFonts w:hint="eastAsia" w:ascii="Times New Roman" w:hAnsi="Times New Roman" w:eastAsia="宋体"/>
                <w:color w:val="000000"/>
                <w:sz w:val="24"/>
                <w:szCs w:val="24"/>
              </w:rPr>
              <w:t>本项目运营期间产生的固体废物主要为开采过程中产生的废石、废机油以及职工生活垃圾</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沉淀池底泥</w:t>
            </w:r>
            <w:r>
              <w:rPr>
                <w:rFonts w:hint="eastAsia" w:ascii="Times New Roman" w:hAnsi="Times New Roman" w:eastAsia="宋体"/>
                <w:color w:val="000000"/>
                <w:sz w:val="24"/>
                <w:szCs w:val="24"/>
              </w:rPr>
              <w:t>等。</w:t>
            </w:r>
          </w:p>
          <w:p w14:paraId="461234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highlight w:val="none"/>
              </w:rPr>
              <w:t>生活垃圾</w:t>
            </w:r>
          </w:p>
          <w:p w14:paraId="795F29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rPr>
              <w:t>运营期职工生活垃圾经厂区内垃圾桶集中收集后，</w:t>
            </w:r>
            <w:r>
              <w:rPr>
                <w:rFonts w:hint="eastAsia" w:ascii="Times New Roman" w:hAnsi="Times New Roman" w:eastAsia="宋体" w:cs="Times New Roman"/>
                <w:sz w:val="24"/>
                <w:szCs w:val="24"/>
                <w:highlight w:val="none"/>
                <w:lang w:val="en-US" w:eastAsia="zh-CN"/>
              </w:rPr>
              <w:t>由当地环卫部门统一清运处置。</w:t>
            </w:r>
          </w:p>
          <w:p w14:paraId="75624D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jc w:val="left"/>
              <w:textAlignment w:val="auto"/>
              <w:rPr>
                <w:rFonts w:hint="eastAsia" w:ascii="Times New Roman" w:hAnsi="Times New Roman" w:eastAsia="宋体"/>
                <w:b/>
                <w:bCs/>
                <w:sz w:val="24"/>
                <w:szCs w:val="24"/>
                <w:lang w:val="en-US" w:eastAsia="zh-CN"/>
              </w:rPr>
            </w:pPr>
            <w:r>
              <w:rPr>
                <w:rFonts w:hint="eastAsia" w:ascii="Times New Roman" w:hAnsi="Times New Roman" w:eastAsia="宋体" w:cs="Times New Roman"/>
                <w:b/>
                <w:bCs/>
                <w:sz w:val="24"/>
                <w:szCs w:val="24"/>
                <w:highlight w:val="none"/>
                <w:lang w:eastAsia="zh-CN"/>
              </w:rPr>
              <w:t>（</w:t>
            </w:r>
            <w:r>
              <w:rPr>
                <w:rFonts w:hint="eastAsia" w:ascii="Times New Roman" w:hAnsi="Times New Roman" w:eastAsia="宋体" w:cs="Times New Roman"/>
                <w:b/>
                <w:bCs/>
                <w:sz w:val="24"/>
                <w:szCs w:val="24"/>
                <w:highlight w:val="none"/>
                <w:lang w:val="en-US" w:eastAsia="zh-CN"/>
              </w:rPr>
              <w:t>2</w:t>
            </w:r>
            <w:r>
              <w:rPr>
                <w:rFonts w:hint="eastAsia"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rPr>
              <w:t>废石</w:t>
            </w:r>
            <w:r>
              <w:rPr>
                <w:rFonts w:hint="eastAsia" w:ascii="Times New Roman" w:hAnsi="Times New Roman" w:eastAsia="宋体"/>
                <w:b/>
                <w:bCs/>
                <w:sz w:val="24"/>
                <w:szCs w:val="24"/>
                <w:lang w:val="en-US" w:eastAsia="zh-CN"/>
              </w:rPr>
              <w:t>及剥离表土</w:t>
            </w:r>
          </w:p>
          <w:p w14:paraId="27C3B4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sz w:val="24"/>
                <w:szCs w:val="24"/>
                <w:lang w:val="en-US" w:eastAsia="zh-CN"/>
              </w:rPr>
            </w:pPr>
            <w:r>
              <w:rPr>
                <w:rFonts w:hint="default" w:ascii="Times New Roman" w:hAnsi="Times New Roman" w:eastAsia="宋体" w:cs="Times New Roman"/>
                <w:b w:val="0"/>
                <w:bCs/>
                <w:color w:val="000000"/>
                <w:sz w:val="24"/>
                <w:u w:val="none"/>
                <w:lang w:val="en-US" w:eastAsia="zh-CN"/>
              </w:rPr>
              <w:t>项目产生的弃土废石部分用于道路平整，其余堆放于</w:t>
            </w:r>
            <w:r>
              <w:rPr>
                <w:rFonts w:hint="eastAsia" w:cs="Times New Roman"/>
                <w:b w:val="0"/>
                <w:bCs/>
                <w:color w:val="000000"/>
                <w:sz w:val="24"/>
                <w:u w:val="none"/>
                <w:lang w:val="en-US" w:eastAsia="zh-CN"/>
              </w:rPr>
              <w:t>西侧</w:t>
            </w:r>
            <w:r>
              <w:rPr>
                <w:rFonts w:hint="default" w:ascii="Times New Roman" w:hAnsi="Times New Roman" w:eastAsia="宋体" w:cs="Times New Roman"/>
                <w:b w:val="0"/>
                <w:bCs/>
                <w:color w:val="000000"/>
                <w:sz w:val="24"/>
                <w:u w:val="none"/>
                <w:lang w:val="en-US" w:eastAsia="zh-CN"/>
              </w:rPr>
              <w:t>排土场，用密目网苫盖，定期洒水抑尘，用于后期植被恢复覆土</w:t>
            </w:r>
            <w:r>
              <w:rPr>
                <w:rFonts w:hint="eastAsia" w:cs="Times New Roman"/>
                <w:b w:val="0"/>
                <w:bCs/>
                <w:color w:val="000000"/>
                <w:sz w:val="24"/>
                <w:u w:val="none"/>
                <w:lang w:val="en-US" w:eastAsia="zh-CN"/>
              </w:rPr>
              <w:t>。</w:t>
            </w:r>
            <w:r>
              <w:rPr>
                <w:rFonts w:hint="eastAsia" w:ascii="Times New Roman" w:hAnsi="Times New Roman" w:eastAsia="宋体"/>
                <w:sz w:val="24"/>
                <w:szCs w:val="24"/>
                <w:lang w:val="en-US" w:eastAsia="zh-CN"/>
              </w:rPr>
              <w:t>矿山开采按照“边开采、边恢复”的原则，待一级台阶开采完毕后，</w:t>
            </w:r>
            <w:r>
              <w:rPr>
                <w:rFonts w:hint="eastAsia"/>
                <w:sz w:val="24"/>
                <w:szCs w:val="24"/>
                <w:lang w:val="en-US" w:eastAsia="zh-CN"/>
              </w:rPr>
              <w:t>下一台阶的剥离表土</w:t>
            </w:r>
            <w:r>
              <w:rPr>
                <w:rFonts w:hint="eastAsia" w:ascii="Times New Roman" w:hAnsi="Times New Roman" w:eastAsia="宋体"/>
                <w:sz w:val="24"/>
                <w:szCs w:val="24"/>
                <w:lang w:val="en-US" w:eastAsia="zh-CN"/>
              </w:rPr>
              <w:t>及时对开采终了平台进行生态恢复</w:t>
            </w:r>
            <w:r>
              <w:rPr>
                <w:rFonts w:hint="eastAsia"/>
                <w:sz w:val="24"/>
                <w:szCs w:val="24"/>
                <w:lang w:val="en-US" w:eastAsia="zh-CN"/>
              </w:rPr>
              <w:t>，剩余表土运至东侧排土场</w:t>
            </w:r>
            <w:r>
              <w:rPr>
                <w:rFonts w:hint="eastAsia" w:ascii="Times New Roman" w:hAnsi="Times New Roman" w:eastAsia="宋体"/>
                <w:sz w:val="24"/>
                <w:szCs w:val="24"/>
                <w:lang w:val="en-US" w:eastAsia="zh-CN"/>
              </w:rPr>
              <w:t>。废石</w:t>
            </w:r>
            <w:r>
              <w:rPr>
                <w:rFonts w:hint="eastAsia"/>
                <w:sz w:val="24"/>
                <w:szCs w:val="24"/>
                <w:lang w:val="en-US" w:eastAsia="zh-CN"/>
              </w:rPr>
              <w:t>和剥离表土</w:t>
            </w:r>
            <w:r>
              <w:rPr>
                <w:rFonts w:hint="eastAsia" w:ascii="Times New Roman" w:hAnsi="Times New Roman" w:eastAsia="宋体"/>
                <w:sz w:val="24"/>
                <w:szCs w:val="24"/>
                <w:lang w:val="en-US" w:eastAsia="zh-CN"/>
              </w:rPr>
              <w:t>运往排土场的，按照《一般工业固废贮存、处置场污染控制标准》（GB18599-2001）及其修改单的规定，设置截排水沟、给排水设施</w:t>
            </w:r>
            <w:r>
              <w:rPr>
                <w:rFonts w:hint="eastAsia"/>
                <w:sz w:val="24"/>
                <w:szCs w:val="24"/>
                <w:lang w:val="en-US" w:eastAsia="zh-CN"/>
              </w:rPr>
              <w:t>。</w:t>
            </w:r>
          </w:p>
          <w:p w14:paraId="579DB6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jc w:val="left"/>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（3）沉淀池底泥</w:t>
            </w:r>
          </w:p>
          <w:p w14:paraId="55326C9F">
            <w:pPr>
              <w:pStyle w:val="19"/>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360" w:lineRule="auto"/>
              <w:ind w:leftChars="0" w:firstLine="480" w:firstLineChars="200"/>
              <w:textAlignment w:val="auto"/>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项目冲洗平台产生的沉淀池底泥经收集后用于后续土地复垦回填利用。</w:t>
            </w:r>
          </w:p>
          <w:p w14:paraId="58F478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（4）废机油及废机油桶</w:t>
            </w:r>
          </w:p>
          <w:p w14:paraId="0E3947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本项目设备维护保养过程中产生的废机油属于危险废物，</w:t>
            </w:r>
            <w:r>
              <w:rPr>
                <w:rFonts w:hint="default" w:ascii="Times New Roman" w:hAnsi="Times New Roman" w:eastAsia="宋体" w:cs="Times New Roman"/>
                <w:sz w:val="24"/>
                <w:szCs w:val="24"/>
                <w:lang w:eastAsia="zh-CN"/>
              </w:rPr>
              <w:t>在办公生活区单独</w:t>
            </w:r>
            <w:r>
              <w:rPr>
                <w:rFonts w:hint="default" w:ascii="Times New Roman" w:hAnsi="Times New Roman" w:eastAsia="宋体" w:cs="Times New Roman"/>
                <w:sz w:val="24"/>
                <w:szCs w:val="24"/>
              </w:rPr>
              <w:t>设置</w:t>
            </w:r>
            <w:r>
              <w:rPr>
                <w:rFonts w:hint="eastAsia" w:ascii="Times New Roman" w:hAnsi="Times New Roman" w:eastAsia="宋体" w:cs="Times New Roman"/>
                <w:sz w:val="24"/>
                <w:szCs w:val="24"/>
                <w:lang w:eastAsia="zh-CN"/>
              </w:rPr>
              <w:t>危险废物贮存库</w:t>
            </w:r>
            <w:r>
              <w:rPr>
                <w:rFonts w:hint="default" w:ascii="Times New Roman" w:hAnsi="Times New Roman" w:eastAsia="宋体" w:cs="Times New Roman"/>
                <w:sz w:val="24"/>
                <w:szCs w:val="24"/>
              </w:rPr>
              <w:t>一间，</w:t>
            </w:r>
            <w:r>
              <w:rPr>
                <w:rFonts w:hint="default" w:ascii="Times New Roman" w:hAnsi="Times New Roman" w:eastAsia="宋体" w:cs="Times New Roman"/>
                <w:sz w:val="24"/>
                <w:szCs w:val="24"/>
                <w:lang w:eastAsia="zh-CN"/>
              </w:rPr>
              <w:t>面积约</w:t>
            </w:r>
            <w:r>
              <w:rPr>
                <w:rFonts w:hint="default" w:ascii="Times New Roman" w:hAnsi="Times New Roman" w:eastAsia="宋体" w:cs="Times New Roman"/>
                <w:sz w:val="24"/>
                <w:szCs w:val="24"/>
                <w:lang w:val="en-US" w:eastAsia="zh-CN"/>
              </w:rPr>
              <w:t>10m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vertAlign w:val="baseline"/>
                <w:lang w:val="en-US" w:eastAsia="zh-CN"/>
              </w:rPr>
              <w:t>，</w:t>
            </w:r>
            <w:r>
              <w:rPr>
                <w:rFonts w:hint="default" w:ascii="Times New Roman" w:hAnsi="Times New Roman" w:eastAsia="宋体" w:cs="Times New Roman"/>
                <w:color w:val="000000"/>
                <w:sz w:val="24"/>
                <w:szCs w:val="24"/>
              </w:rPr>
              <w:t>危险废物</w:t>
            </w:r>
            <w:r>
              <w:rPr>
                <w:rFonts w:hint="eastAsia" w:ascii="Times New Roman" w:hAnsi="Times New Roman" w:eastAsia="宋体" w:cs="Times New Roman"/>
                <w:color w:val="000000"/>
                <w:sz w:val="24"/>
                <w:szCs w:val="24"/>
                <w:lang w:val="en-US" w:eastAsia="zh-CN"/>
              </w:rPr>
              <w:t>经收集后暂存于危险废物贮存库，定期委托有资质的单位进行处置。</w:t>
            </w:r>
            <w:r>
              <w:rPr>
                <w:rFonts w:hint="default" w:ascii="Times New Roman" w:hAnsi="Times New Roman" w:eastAsia="宋体" w:cs="Times New Roman"/>
                <w:color w:val="000000"/>
                <w:sz w:val="24"/>
                <w:szCs w:val="24"/>
              </w:rPr>
              <w:t>贮</w:t>
            </w:r>
            <w:r>
              <w:rPr>
                <w:rFonts w:hint="default" w:ascii="Times New Roman" w:hAnsi="Times New Roman" w:eastAsia="宋体" w:cs="Times New Roman"/>
                <w:color w:val="000000"/>
                <w:sz w:val="24"/>
                <w:szCs w:val="24"/>
                <w:lang w:val="en-US" w:eastAsia="zh-CN"/>
              </w:rPr>
              <w:t>存应符合《危险废物贮存污染控制标准》（GB18597-2023）</w:t>
            </w:r>
            <w:r>
              <w:rPr>
                <w:rFonts w:hint="default" w:ascii="Times New Roman" w:hAnsi="Times New Roman" w:eastAsia="宋体" w:cs="Times New Roman"/>
                <w:sz w:val="24"/>
                <w:szCs w:val="24"/>
                <w:lang w:eastAsia="zh-CN"/>
              </w:rPr>
              <w:t>，本次评价要求</w:t>
            </w:r>
            <w:r>
              <w:rPr>
                <w:rFonts w:hint="eastAsia" w:ascii="Times New Roman" w:hAnsi="Times New Roman" w:eastAsia="宋体" w:cs="Times New Roman"/>
                <w:sz w:val="24"/>
                <w:szCs w:val="24"/>
                <w:lang w:eastAsia="zh-CN"/>
              </w:rPr>
              <w:t>危险废物贮存库</w:t>
            </w:r>
            <w:r>
              <w:rPr>
                <w:rFonts w:hint="default" w:ascii="Times New Roman" w:hAnsi="Times New Roman" w:eastAsia="宋体" w:cs="Times New Roman"/>
                <w:sz w:val="24"/>
                <w:szCs w:val="24"/>
                <w:lang w:eastAsia="zh-CN"/>
              </w:rPr>
              <w:t>按以下要求建设。</w:t>
            </w:r>
          </w:p>
          <w:p w14:paraId="46F76B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1 \* GB3 \* MERGEFORMAT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①</w:t>
            </w:r>
            <w:r>
              <w:rPr>
                <w:rFonts w:hint="default" w:ascii="Times New Roman" w:hAnsi="Times New Roman" w:eastAsia="宋体" w:cs="Times New Roman"/>
                <w:color w:val="000000"/>
                <w:sz w:val="24"/>
                <w:szCs w:val="24"/>
              </w:rPr>
              <w:fldChar w:fldCharType="end"/>
            </w:r>
            <w:r>
              <w:rPr>
                <w:rFonts w:hint="eastAsia" w:ascii="Times New Roman" w:hAnsi="Times New Roman" w:eastAsia="宋体" w:cs="Times New Roman"/>
                <w:sz w:val="24"/>
                <w:szCs w:val="24"/>
                <w:lang w:val="en-US" w:eastAsia="zh-CN"/>
              </w:rPr>
              <w:t>贮存库内不同贮存分区之间应采取隔离措施。隔离措施可根据危险废物特性采用过道、隔板或隔墙等方式。</w:t>
            </w:r>
          </w:p>
          <w:p w14:paraId="0D909D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2 \* GB3 \* MERGEFORMAT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②</w:t>
            </w:r>
            <w:r>
              <w:rPr>
                <w:rFonts w:hint="default" w:ascii="Times New Roman" w:hAnsi="Times New Roman" w:eastAsia="宋体" w:cs="Times New Roman"/>
                <w:color w:val="000000"/>
                <w:sz w:val="24"/>
                <w:szCs w:val="24"/>
              </w:rPr>
              <w:fldChar w:fldCharType="end"/>
            </w:r>
            <w:r>
              <w:rPr>
                <w:rFonts w:hint="eastAsia" w:ascii="Times New Roman" w:hAnsi="Times New Roman" w:eastAsia="宋体" w:cs="Times New Roman"/>
                <w:color w:val="000000"/>
                <w:sz w:val="24"/>
                <w:szCs w:val="24"/>
                <w:lang w:val="en-US" w:eastAsia="zh-CN"/>
              </w:rPr>
              <w:t>在贮存库内或通过贮存分区方式贮存液态危险废物的，应具有液体泄漏堵截设施，堵截设施最小容积不应低于对应贮存区域最大液态废物容器容积或液态废物总储量</w:t>
            </w:r>
            <w:r>
              <w:rPr>
                <w:rFonts w:hint="default" w:ascii="Times New Roman" w:hAnsi="Times New Roman" w:eastAsia="宋体" w:cs="Times New Roman"/>
                <w:color w:val="000000"/>
                <w:sz w:val="24"/>
                <w:szCs w:val="24"/>
                <w:lang w:val="en-US" w:eastAsia="zh-CN"/>
              </w:rPr>
              <w:t>1/10</w:t>
            </w:r>
            <w:r>
              <w:rPr>
                <w:rFonts w:hint="eastAsia" w:ascii="Times New Roman" w:hAnsi="Times New Roman" w:eastAsia="宋体" w:cs="Times New Roman"/>
                <w:color w:val="000000"/>
                <w:sz w:val="24"/>
                <w:szCs w:val="24"/>
                <w:lang w:val="en-US" w:eastAsia="zh-CN"/>
              </w:rPr>
              <w:t xml:space="preserve">（二者取较大者）；用于贮存可能产生渗滤液的危险废物的贮存库或贮存分区应设计渗滤液收集设施，收集设施容积应满足渗滤液的收集要求。 </w:t>
            </w:r>
          </w:p>
          <w:p w14:paraId="34D697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fldChar w:fldCharType="begin"/>
            </w:r>
            <w:r>
              <w:rPr>
                <w:rFonts w:hint="default" w:ascii="Times New Roman" w:hAnsi="Times New Roman" w:eastAsia="宋体" w:cs="Times New Roman"/>
                <w:color w:val="000000"/>
                <w:sz w:val="24"/>
                <w:szCs w:val="24"/>
                <w:lang w:eastAsia="zh-CN"/>
              </w:rPr>
              <w:instrText xml:space="preserve"> = 3 \* GB3 \* MERGEFORMAT </w:instrText>
            </w:r>
            <w:r>
              <w:rPr>
                <w:rFonts w:hint="default" w:ascii="Times New Roman" w:hAnsi="Times New Roman" w:eastAsia="宋体" w:cs="Times New Roman"/>
                <w:color w:val="000000"/>
                <w:sz w:val="24"/>
                <w:szCs w:val="24"/>
                <w:lang w:eastAsia="zh-CN"/>
              </w:rPr>
              <w:fldChar w:fldCharType="separate"/>
            </w:r>
            <w:r>
              <w:rPr>
                <w:rFonts w:hint="default" w:ascii="Times New Roman" w:hAnsi="Times New Roman" w:eastAsia="宋体" w:cs="Times New Roman"/>
                <w:color w:val="000000"/>
                <w:sz w:val="24"/>
                <w:szCs w:val="24"/>
              </w:rPr>
              <w:t>③</w:t>
            </w:r>
            <w:r>
              <w:rPr>
                <w:rFonts w:hint="default" w:ascii="Times New Roman" w:hAnsi="Times New Roman" w:eastAsia="宋体" w:cs="Times New Roman"/>
                <w:color w:val="000000"/>
                <w:sz w:val="24"/>
                <w:szCs w:val="24"/>
                <w:lang w:eastAsia="zh-CN"/>
              </w:rPr>
              <w:fldChar w:fldCharType="end"/>
            </w:r>
            <w:r>
              <w:rPr>
                <w:rFonts w:hint="eastAsia" w:ascii="Times New Roman" w:hAnsi="Times New Roman" w:eastAsia="宋体" w:cs="Times New Roman"/>
                <w:color w:val="000000"/>
                <w:sz w:val="24"/>
                <w:szCs w:val="24"/>
                <w:lang w:val="en-US" w:eastAsia="zh-CN"/>
              </w:rPr>
              <w:t>贮存设施或贮存分区内地面、墙面裙脚、堵截泄漏的围堰、接触危险废物的隔板和墙体等应采用坚固的材料建造，表面无裂缝。</w:t>
            </w:r>
          </w:p>
          <w:p w14:paraId="04BD03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fldChar w:fldCharType="begin"/>
            </w:r>
            <w:r>
              <w:rPr>
                <w:rFonts w:hint="default" w:ascii="Times New Roman" w:hAnsi="Times New Roman" w:eastAsia="宋体" w:cs="Times New Roman"/>
                <w:color w:val="000000"/>
                <w:sz w:val="24"/>
                <w:szCs w:val="24"/>
                <w:lang w:eastAsia="zh-CN"/>
              </w:rPr>
              <w:instrText xml:space="preserve"> = 4 \* GB3 \* MERGEFORMAT </w:instrText>
            </w:r>
            <w:r>
              <w:rPr>
                <w:rFonts w:hint="default" w:ascii="Times New Roman" w:hAnsi="Times New Roman" w:eastAsia="宋体" w:cs="Times New Roman"/>
                <w:color w:val="000000"/>
                <w:sz w:val="24"/>
                <w:szCs w:val="24"/>
                <w:lang w:eastAsia="zh-CN"/>
              </w:rPr>
              <w:fldChar w:fldCharType="separate"/>
            </w:r>
            <w:r>
              <w:rPr>
                <w:rFonts w:hint="default" w:ascii="Times New Roman" w:hAnsi="Times New Roman" w:eastAsia="宋体" w:cs="Times New Roman"/>
                <w:color w:val="000000"/>
                <w:sz w:val="24"/>
                <w:szCs w:val="24"/>
              </w:rPr>
              <w:t>④</w:t>
            </w:r>
            <w:r>
              <w:rPr>
                <w:rFonts w:hint="default" w:ascii="Times New Roman" w:hAnsi="Times New Roman" w:eastAsia="宋体" w:cs="Times New Roman"/>
                <w:color w:val="000000"/>
                <w:sz w:val="24"/>
                <w:szCs w:val="24"/>
                <w:lang w:eastAsia="zh-CN"/>
              </w:rPr>
              <w:fldChar w:fldCharType="end"/>
            </w:r>
            <w:r>
              <w:rPr>
                <w:rFonts w:hint="eastAsia" w:ascii="Times New Roman" w:hAnsi="Times New Roman" w:eastAsia="宋体" w:cs="Times New Roman"/>
                <w:color w:val="000000"/>
                <w:sz w:val="24"/>
                <w:szCs w:val="24"/>
                <w:lang w:val="en-US"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ascii="Times New Roman" w:hAnsi="Times New Roman" w:eastAsia="宋体" w:cs="Times New Roman"/>
                <w:color w:val="000000"/>
                <w:sz w:val="24"/>
                <w:szCs w:val="24"/>
                <w:lang w:val="en-US" w:eastAsia="zh-CN"/>
              </w:rPr>
              <w:t>1m</w:t>
            </w:r>
            <w:r>
              <w:rPr>
                <w:rFonts w:hint="eastAsia" w:ascii="Times New Roman" w:hAnsi="Times New Roman" w:eastAsia="宋体" w:cs="Times New Roman"/>
                <w:color w:val="000000"/>
                <w:sz w:val="24"/>
                <w:szCs w:val="24"/>
                <w:lang w:val="en-US" w:eastAsia="zh-CN"/>
              </w:rPr>
              <w:t>厚黏土层（渗透系数不大于</w:t>
            </w:r>
            <w:r>
              <w:rPr>
                <w:rFonts w:hint="default"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vertAlign w:val="superscript"/>
                <w:lang w:val="en-US" w:eastAsia="zh-CN"/>
              </w:rPr>
              <w:t>-7</w:t>
            </w:r>
            <w:r>
              <w:rPr>
                <w:rFonts w:hint="default" w:ascii="Times New Roman" w:hAnsi="Times New Roman" w:eastAsia="宋体" w:cs="Times New Roman"/>
                <w:color w:val="000000"/>
                <w:sz w:val="24"/>
                <w:szCs w:val="24"/>
                <w:lang w:val="en-US" w:eastAsia="zh-CN"/>
              </w:rPr>
              <w:t>cm/s</w:t>
            </w:r>
            <w:r>
              <w:rPr>
                <w:rFonts w:hint="eastAsia" w:ascii="Times New Roman" w:hAnsi="Times New Roman" w:eastAsia="宋体" w:cs="Times New Roman"/>
                <w:color w:val="000000"/>
                <w:sz w:val="24"/>
                <w:szCs w:val="24"/>
                <w:lang w:val="en-US" w:eastAsia="zh-CN"/>
              </w:rPr>
              <w:t>），或至少</w:t>
            </w:r>
            <w:r>
              <w:rPr>
                <w:rFonts w:hint="default" w:ascii="Times New Roman" w:hAnsi="Times New Roman" w:eastAsia="宋体" w:cs="Times New Roman"/>
                <w:color w:val="000000"/>
                <w:sz w:val="24"/>
                <w:szCs w:val="24"/>
                <w:lang w:val="en-US" w:eastAsia="zh-CN"/>
              </w:rPr>
              <w:t>2mm</w:t>
            </w:r>
            <w:r>
              <w:rPr>
                <w:rFonts w:hint="eastAsia" w:ascii="Times New Roman" w:hAnsi="Times New Roman" w:eastAsia="宋体" w:cs="Times New Roman"/>
                <w:color w:val="000000"/>
                <w:sz w:val="24"/>
                <w:szCs w:val="24"/>
                <w:lang w:val="en-US" w:eastAsia="zh-CN"/>
              </w:rPr>
              <w:t>厚高密度聚乙烯膜等人工防渗材料（渗透系数不大于</w:t>
            </w:r>
            <w:r>
              <w:rPr>
                <w:rFonts w:hint="default"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vertAlign w:val="superscript"/>
                <w:lang w:val="en-US" w:eastAsia="zh-CN"/>
              </w:rPr>
              <w:t>-10</w:t>
            </w:r>
            <w:r>
              <w:rPr>
                <w:rFonts w:hint="default" w:ascii="Times New Roman" w:hAnsi="Times New Roman" w:eastAsia="宋体" w:cs="Times New Roman"/>
                <w:color w:val="000000"/>
                <w:sz w:val="24"/>
                <w:szCs w:val="24"/>
                <w:lang w:val="en-US" w:eastAsia="zh-CN"/>
              </w:rPr>
              <w:t>cm/s</w:t>
            </w:r>
            <w:r>
              <w:rPr>
                <w:rFonts w:hint="eastAsia" w:ascii="Times New Roman" w:hAnsi="Times New Roman" w:eastAsia="宋体" w:cs="Times New Roman"/>
                <w:color w:val="000000"/>
                <w:sz w:val="24"/>
                <w:szCs w:val="24"/>
                <w:lang w:val="en-US" w:eastAsia="zh-CN"/>
              </w:rPr>
              <w:t>），或其他防渗性能等效的材料。</w:t>
            </w:r>
          </w:p>
          <w:p w14:paraId="3B5583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⑤</w:t>
            </w:r>
            <w:r>
              <w:rPr>
                <w:rFonts w:hint="eastAsia" w:ascii="Times New Roman" w:hAnsi="Times New Roman" w:eastAsia="宋体" w:cs="Times New Roman"/>
                <w:color w:val="000000"/>
                <w:sz w:val="24"/>
                <w:szCs w:val="24"/>
                <w:lang w:val="en-US" w:eastAsia="zh-CN"/>
              </w:rPr>
              <w:t>贮存罐区罐体应设置在围堰内，贮存罐区围堰容积应至少满足其内部最大贮存罐发生意外泄漏时所需要的危险废物收集容积要求。</w:t>
            </w:r>
          </w:p>
          <w:p w14:paraId="277A6F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⑥</w:t>
            </w:r>
            <w:r>
              <w:rPr>
                <w:rFonts w:hint="eastAsia" w:ascii="Times New Roman" w:hAnsi="Times New Roman" w:eastAsia="宋体" w:cs="Times New Roman"/>
                <w:color w:val="000000"/>
                <w:sz w:val="24"/>
                <w:szCs w:val="24"/>
                <w:lang w:val="en-US" w:eastAsia="zh-CN"/>
              </w:rPr>
              <w:t>贮存设施运行期间，应按国家有关标准和规定建立危险废物管理台账并保存。</w:t>
            </w:r>
            <w:r>
              <w:rPr>
                <w:rFonts w:hint="eastAsia" w:cs="Times New Roman"/>
                <w:color w:val="000000"/>
                <w:sz w:val="24"/>
                <w:szCs w:val="24"/>
                <w:lang w:val="en-US" w:eastAsia="zh-CN"/>
              </w:rPr>
              <w:t>应根据</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eastAsia="zh-CN"/>
              </w:rPr>
              <w:t>危险废物管理计划和管理台账制定技术导则</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HJ1259—2022</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eastAsia="zh-CN"/>
              </w:rPr>
              <w:t>做好危险废物情况的记录，记录上须注明危险废物的名称、来源、数量、特性和包装容器的类别、入库日期、存放库位、废物出库日期及接收单位名称。</w:t>
            </w:r>
          </w:p>
          <w:p w14:paraId="2D5EE4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⑦</w:t>
            </w:r>
            <w:r>
              <w:rPr>
                <w:rFonts w:hint="eastAsia" w:ascii="Times New Roman" w:hAnsi="Times New Roman" w:eastAsia="宋体" w:cs="Times New Roman"/>
                <w:color w:val="000000"/>
                <w:sz w:val="24"/>
                <w:szCs w:val="24"/>
                <w:lang w:val="en-US" w:eastAsia="zh-CN"/>
              </w:rPr>
              <w:t>贮存设施所有者或运营者应建立贮存设施环境管理制度、管理人员岗位职责制度、设施运行操作制度、人员岗位培训制度等。</w:t>
            </w:r>
          </w:p>
          <w:p w14:paraId="0BB86B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rPr>
              <w:t>⑧</w:t>
            </w:r>
            <w:r>
              <w:rPr>
                <w:rFonts w:hint="eastAsia" w:ascii="Times New Roman" w:hAnsi="Times New Roman" w:eastAsia="宋体" w:cs="Times New Roman"/>
                <w:color w:val="000000"/>
                <w:sz w:val="24"/>
                <w:szCs w:val="24"/>
                <w:lang w:val="en-US" w:eastAsia="zh-CN"/>
              </w:rPr>
              <w:t>应</w:t>
            </w:r>
            <w:r>
              <w:rPr>
                <w:rFonts w:hint="eastAsia" w:cs="Times New Roman"/>
                <w:color w:val="000000"/>
                <w:sz w:val="24"/>
                <w:szCs w:val="24"/>
                <w:lang w:val="en-US" w:eastAsia="zh-CN"/>
              </w:rPr>
              <w:t>根据</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rPr>
              <w:t>危险废物识别标志设置技术规范</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HJ1276—2022</w:t>
            </w:r>
            <w:r>
              <w:rPr>
                <w:rFonts w:hint="eastAsia" w:ascii="Times New Roman" w:hAnsi="Times New Roman" w:eastAsia="宋体" w:cs="Times New Roman"/>
                <w:color w:val="000000"/>
                <w:sz w:val="24"/>
                <w:szCs w:val="24"/>
                <w:lang w:val="en-US" w:eastAsia="zh-CN"/>
              </w:rPr>
              <w:t>），对危险废物的容器和包装物，以及收集、贮存危险废物的设施、场所使用的环境保护识别标志的进行规范性设置。</w:t>
            </w:r>
          </w:p>
          <w:p w14:paraId="2F1E96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危险废物的转移严格按照《危险废物转移管理办法》（部令 第23号）执行，移出人应承担相应义务。危险废物转移联单应当根据危险废物管理计划中填报的危险废物转移等备案信息填写、运行。</w:t>
            </w:r>
          </w:p>
          <w:p w14:paraId="642D86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移出人每转移一车次同类危险废物，应当填写、运行一份危险废物转移联单；每车一次转移多类危险废物的，可以填写、运行一份危险废物转移联单，也可以每一类危险废物填写、运行一份危险废物转移联单。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等。</w:t>
            </w:r>
          </w:p>
          <w:p w14:paraId="3AD43B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sz w:val="24"/>
                <w:szCs w:val="24"/>
              </w:rPr>
            </w:pPr>
            <w:r>
              <w:rPr>
                <w:rFonts w:hint="eastAsia" w:ascii="Times New Roman" w:hAnsi="Times New Roman" w:eastAsia="宋体"/>
                <w:color w:val="000000"/>
                <w:sz w:val="24"/>
                <w:szCs w:val="24"/>
              </w:rPr>
              <w:t>本项目运营期固体废物产排情况详见</w:t>
            </w:r>
            <w:r>
              <w:rPr>
                <w:rFonts w:hint="eastAsia" w:ascii="Times New Roman" w:hAnsi="Times New Roman" w:eastAsia="宋体"/>
                <w:color w:val="000000"/>
                <w:sz w:val="24"/>
                <w:szCs w:val="24"/>
                <w:lang w:val="en-US" w:eastAsia="zh-CN"/>
              </w:rPr>
              <w:t>下</w:t>
            </w:r>
            <w:r>
              <w:rPr>
                <w:rFonts w:hint="eastAsia" w:ascii="Times New Roman" w:hAnsi="Times New Roman" w:eastAsia="宋体"/>
                <w:color w:val="000000"/>
                <w:sz w:val="24"/>
                <w:szCs w:val="24"/>
              </w:rPr>
              <w:t>表。</w:t>
            </w:r>
          </w:p>
          <w:p w14:paraId="0817D7BE">
            <w:pPr>
              <w:pStyle w:val="5"/>
              <w:bidi w:val="0"/>
            </w:pPr>
            <w:r>
              <w:rPr>
                <w:rFonts w:hint="eastAsia"/>
              </w:rPr>
              <w:t>表</w:t>
            </w:r>
            <w:r>
              <w:rPr>
                <w:rFonts w:hint="eastAsia"/>
                <w:lang w:val="en-US" w:eastAsia="zh-CN"/>
              </w:rPr>
              <w:t xml:space="preserve">5-3 </w:t>
            </w:r>
            <w:r>
              <w:rPr>
                <w:rFonts w:hint="eastAsia"/>
              </w:rPr>
              <w:t xml:space="preserve"> 固体废物产生情况一览表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4"/>
              <w:gridCol w:w="1739"/>
              <w:gridCol w:w="1263"/>
              <w:gridCol w:w="4363"/>
            </w:tblGrid>
            <w:tr w14:paraId="65742D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3" w:hRule="atLeast"/>
                <w:jc w:val="center"/>
              </w:trPr>
              <w:tc>
                <w:tcPr>
                  <w:tcW w:w="1522" w:type="pct"/>
                  <w:gridSpan w:val="2"/>
                  <w:tcBorders>
                    <w:tl2br w:val="nil"/>
                    <w:tr2bl w:val="nil"/>
                  </w:tcBorders>
                  <w:noWrap w:val="0"/>
                  <w:vAlign w:val="center"/>
                </w:tcPr>
                <w:p w14:paraId="463D9D9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ascii="Times New Roman" w:hAnsi="Times New Roman" w:eastAsia="宋体"/>
                      <w:b/>
                      <w:color w:val="000000"/>
                      <w:sz w:val="21"/>
                      <w:szCs w:val="21"/>
                    </w:rPr>
                    <w:t>污染物</w:t>
                  </w:r>
                </w:p>
              </w:tc>
              <w:tc>
                <w:tcPr>
                  <w:tcW w:w="780" w:type="pct"/>
                  <w:tcBorders>
                    <w:tl2br w:val="nil"/>
                    <w:tr2bl w:val="nil"/>
                  </w:tcBorders>
                  <w:noWrap w:val="0"/>
                  <w:vAlign w:val="center"/>
                </w:tcPr>
                <w:p w14:paraId="31F665B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hint="eastAsia" w:ascii="Times New Roman" w:hAnsi="Times New Roman" w:eastAsia="宋体"/>
                      <w:b/>
                      <w:color w:val="000000"/>
                      <w:sz w:val="21"/>
                      <w:szCs w:val="21"/>
                    </w:rPr>
                    <w:t>属性</w:t>
                  </w:r>
                </w:p>
              </w:tc>
              <w:tc>
                <w:tcPr>
                  <w:tcW w:w="2696" w:type="pct"/>
                  <w:tcBorders>
                    <w:tl2br w:val="nil"/>
                    <w:tr2bl w:val="nil"/>
                  </w:tcBorders>
                  <w:noWrap w:val="0"/>
                  <w:vAlign w:val="center"/>
                </w:tcPr>
                <w:p w14:paraId="1D758CA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color w:val="000000"/>
                      <w:sz w:val="21"/>
                      <w:szCs w:val="21"/>
                    </w:rPr>
                  </w:pPr>
                  <w:r>
                    <w:rPr>
                      <w:rFonts w:ascii="Times New Roman" w:hAnsi="Times New Roman" w:eastAsia="宋体"/>
                      <w:b/>
                      <w:color w:val="000000"/>
                      <w:sz w:val="21"/>
                      <w:szCs w:val="21"/>
                    </w:rPr>
                    <w:t>备注</w:t>
                  </w:r>
                </w:p>
              </w:tc>
            </w:tr>
            <w:tr w14:paraId="16B931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7" w:hRule="atLeast"/>
                <w:jc w:val="center"/>
              </w:trPr>
              <w:tc>
                <w:tcPr>
                  <w:tcW w:w="447" w:type="pct"/>
                  <w:vMerge w:val="restart"/>
                  <w:tcBorders>
                    <w:tl2br w:val="nil"/>
                    <w:tr2bl w:val="nil"/>
                  </w:tcBorders>
                  <w:noWrap w:val="0"/>
                  <w:vAlign w:val="center"/>
                </w:tcPr>
                <w:p w14:paraId="024CB5A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rPr>
                    <w:t>固体废物</w:t>
                  </w:r>
                </w:p>
              </w:tc>
              <w:tc>
                <w:tcPr>
                  <w:tcW w:w="1074" w:type="pct"/>
                  <w:tcBorders>
                    <w:tl2br w:val="nil"/>
                    <w:tr2bl w:val="nil"/>
                  </w:tcBorders>
                  <w:noWrap w:val="0"/>
                  <w:vAlign w:val="center"/>
                </w:tcPr>
                <w:p w14:paraId="1F31782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表土、废石料、沉淀池底泥</w:t>
                  </w:r>
                </w:p>
              </w:tc>
              <w:tc>
                <w:tcPr>
                  <w:tcW w:w="780" w:type="pct"/>
                  <w:tcBorders>
                    <w:tl2br w:val="nil"/>
                    <w:tr2bl w:val="nil"/>
                  </w:tcBorders>
                  <w:noWrap w:val="0"/>
                  <w:vAlign w:val="center"/>
                </w:tcPr>
                <w:p w14:paraId="5AA9AD3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rPr>
                    <w:t>一般固废</w:t>
                  </w:r>
                </w:p>
              </w:tc>
              <w:tc>
                <w:tcPr>
                  <w:tcW w:w="2696" w:type="pct"/>
                  <w:tcBorders>
                    <w:tl2br w:val="nil"/>
                    <w:tr2bl w:val="nil"/>
                  </w:tcBorders>
                  <w:noWrap w:val="0"/>
                  <w:vAlign w:val="center"/>
                </w:tcPr>
                <w:p w14:paraId="070D6FE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color w:val="000000"/>
                      <w:sz w:val="21"/>
                      <w:szCs w:val="21"/>
                      <w:lang w:val="en-US" w:eastAsia="zh-CN"/>
                    </w:rPr>
                    <w:t>边恢复边开采，剩余</w:t>
                  </w:r>
                  <w:r>
                    <w:rPr>
                      <w:rFonts w:hint="eastAsia" w:ascii="Times New Roman" w:hAnsi="Times New Roman" w:eastAsia="宋体"/>
                      <w:color w:val="000000"/>
                      <w:sz w:val="21"/>
                      <w:szCs w:val="21"/>
                      <w:lang w:val="en-US" w:eastAsia="zh-CN"/>
                    </w:rPr>
                    <w:t>排土场</w:t>
                  </w:r>
                  <w:r>
                    <w:rPr>
                      <w:rFonts w:hint="eastAsia" w:ascii="Times New Roman" w:hAnsi="Times New Roman" w:eastAsia="宋体"/>
                      <w:color w:val="000000"/>
                      <w:sz w:val="21"/>
                      <w:szCs w:val="21"/>
                      <w:lang w:eastAsia="zh-CN"/>
                    </w:rPr>
                    <w:t>堆存，</w:t>
                  </w:r>
                  <w:r>
                    <w:rPr>
                      <w:rFonts w:hint="eastAsia" w:ascii="Times New Roman" w:hAnsi="Times New Roman" w:eastAsia="宋体"/>
                      <w:color w:val="000000"/>
                      <w:sz w:val="21"/>
                      <w:szCs w:val="21"/>
                    </w:rPr>
                    <w:t>用于采空区回填</w:t>
                  </w:r>
                </w:p>
              </w:tc>
            </w:tr>
            <w:tr w14:paraId="256055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4" w:hRule="atLeast"/>
                <w:jc w:val="center"/>
              </w:trPr>
              <w:tc>
                <w:tcPr>
                  <w:tcW w:w="447" w:type="pct"/>
                  <w:vMerge w:val="continue"/>
                  <w:tcBorders>
                    <w:tl2br w:val="nil"/>
                    <w:tr2bl w:val="nil"/>
                  </w:tcBorders>
                  <w:noWrap w:val="0"/>
                  <w:vAlign w:val="center"/>
                </w:tcPr>
                <w:p w14:paraId="1A17B83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p>
              </w:tc>
              <w:tc>
                <w:tcPr>
                  <w:tcW w:w="1074" w:type="pct"/>
                  <w:tcBorders>
                    <w:tl2br w:val="nil"/>
                    <w:tr2bl w:val="nil"/>
                  </w:tcBorders>
                  <w:noWrap w:val="0"/>
                  <w:vAlign w:val="center"/>
                </w:tcPr>
                <w:p w14:paraId="71AE9DB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生活垃圾</w:t>
                  </w:r>
                </w:p>
              </w:tc>
              <w:tc>
                <w:tcPr>
                  <w:tcW w:w="780" w:type="pct"/>
                  <w:tcBorders>
                    <w:tl2br w:val="nil"/>
                    <w:tr2bl w:val="nil"/>
                  </w:tcBorders>
                  <w:noWrap w:val="0"/>
                  <w:vAlign w:val="center"/>
                </w:tcPr>
                <w:p w14:paraId="454022D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生活垃圾</w:t>
                  </w:r>
                </w:p>
              </w:tc>
              <w:tc>
                <w:tcPr>
                  <w:tcW w:w="2696" w:type="pct"/>
                  <w:tcBorders>
                    <w:tl2br w:val="nil"/>
                    <w:tr2bl w:val="nil"/>
                  </w:tcBorders>
                  <w:noWrap w:val="0"/>
                  <w:vAlign w:val="center"/>
                </w:tcPr>
                <w:p w14:paraId="4B6F1DC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暂存于生活垃圾箱，定期交由当地环卫部门清运处置</w:t>
                  </w:r>
                </w:p>
              </w:tc>
            </w:tr>
            <w:tr w14:paraId="19E548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7" w:hRule="atLeast"/>
                <w:jc w:val="center"/>
              </w:trPr>
              <w:tc>
                <w:tcPr>
                  <w:tcW w:w="447" w:type="pct"/>
                  <w:vMerge w:val="continue"/>
                  <w:tcBorders>
                    <w:tl2br w:val="nil"/>
                    <w:tr2bl w:val="nil"/>
                  </w:tcBorders>
                  <w:noWrap w:val="0"/>
                  <w:vAlign w:val="center"/>
                </w:tcPr>
                <w:p w14:paraId="7C347B7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p>
              </w:tc>
              <w:tc>
                <w:tcPr>
                  <w:tcW w:w="1074" w:type="pct"/>
                  <w:tcBorders>
                    <w:tl2br w:val="nil"/>
                    <w:tr2bl w:val="nil"/>
                  </w:tcBorders>
                  <w:noWrap w:val="0"/>
                  <w:vAlign w:val="center"/>
                </w:tcPr>
                <w:p w14:paraId="45F47A2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废机油</w:t>
                  </w:r>
                  <w:r>
                    <w:rPr>
                      <w:rFonts w:hint="eastAsia" w:ascii="Times New Roman" w:hAnsi="Times New Roman" w:eastAsia="宋体"/>
                      <w:color w:val="000000"/>
                      <w:sz w:val="21"/>
                      <w:szCs w:val="21"/>
                      <w:lang w:val="en-US" w:eastAsia="zh-CN"/>
                    </w:rPr>
                    <w:t>及废机油桶</w:t>
                  </w:r>
                </w:p>
              </w:tc>
              <w:tc>
                <w:tcPr>
                  <w:tcW w:w="780" w:type="pct"/>
                  <w:tcBorders>
                    <w:tl2br w:val="nil"/>
                    <w:tr2bl w:val="nil"/>
                  </w:tcBorders>
                  <w:noWrap w:val="0"/>
                  <w:vAlign w:val="center"/>
                </w:tcPr>
                <w:p w14:paraId="4CB04B9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rPr>
                    <w:t>危险废物</w:t>
                  </w:r>
                </w:p>
              </w:tc>
              <w:tc>
                <w:tcPr>
                  <w:tcW w:w="2696" w:type="pct"/>
                  <w:tcBorders>
                    <w:tl2br w:val="nil"/>
                    <w:tr2bl w:val="nil"/>
                  </w:tcBorders>
                  <w:noWrap w:val="0"/>
                  <w:vAlign w:val="center"/>
                </w:tcPr>
                <w:p w14:paraId="2969C06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color w:val="000000"/>
                      <w:sz w:val="21"/>
                      <w:szCs w:val="21"/>
                    </w:rPr>
                  </w:pPr>
                  <w:r>
                    <w:rPr>
                      <w:rFonts w:hint="eastAsia" w:ascii="Times New Roman" w:hAnsi="Times New Roman" w:eastAsia="宋体" w:cs="Times New Roman"/>
                      <w:b w:val="0"/>
                      <w:bCs/>
                      <w:color w:val="auto"/>
                      <w:kern w:val="2"/>
                      <w:sz w:val="21"/>
                      <w:szCs w:val="21"/>
                      <w:lang w:val="en-US" w:eastAsia="zh-CN" w:bidi="ar-SA"/>
                    </w:rPr>
                    <w:t>废物代码为900-214-08和</w:t>
                  </w:r>
                  <w:r>
                    <w:rPr>
                      <w:rFonts w:hint="default" w:ascii="Times New Roman" w:hAnsi="Times New Roman" w:eastAsia="宋体" w:cs="Times New Roman"/>
                      <w:b w:val="0"/>
                      <w:bCs/>
                      <w:color w:val="auto"/>
                      <w:kern w:val="2"/>
                      <w:sz w:val="21"/>
                      <w:szCs w:val="21"/>
                      <w:lang w:val="en-US" w:eastAsia="zh-CN" w:bidi="ar-SA"/>
                    </w:rPr>
                    <w:t>900-249-08</w:t>
                  </w:r>
                  <w:r>
                    <w:rPr>
                      <w:rFonts w:hint="eastAsia" w:ascii="Times New Roman" w:hAnsi="Times New Roman" w:eastAsia="宋体" w:cs="Times New Roman"/>
                      <w:b w:val="0"/>
                      <w:bCs/>
                      <w:color w:val="auto"/>
                      <w:kern w:val="2"/>
                      <w:sz w:val="21"/>
                      <w:szCs w:val="21"/>
                      <w:lang w:val="en-US" w:eastAsia="zh-CN" w:bidi="ar-SA"/>
                    </w:rPr>
                    <w:t>，收集后暂存于危险废物贮存库，定期</w:t>
                  </w:r>
                  <w:r>
                    <w:rPr>
                      <w:rFonts w:hint="eastAsia" w:ascii="Times New Roman" w:hAnsi="Times New Roman" w:eastAsia="宋体"/>
                      <w:color w:val="000000"/>
                      <w:sz w:val="21"/>
                      <w:szCs w:val="21"/>
                    </w:rPr>
                    <w:t>交由</w:t>
                  </w:r>
                  <w:r>
                    <w:rPr>
                      <w:rFonts w:hint="eastAsia" w:ascii="Times New Roman" w:hAnsi="Times New Roman" w:eastAsia="宋体"/>
                      <w:color w:val="000000"/>
                      <w:sz w:val="21"/>
                      <w:szCs w:val="21"/>
                      <w:lang w:val="en-US" w:eastAsia="zh-CN"/>
                    </w:rPr>
                    <w:t>有</w:t>
                  </w:r>
                  <w:r>
                    <w:rPr>
                      <w:rFonts w:hint="eastAsia" w:ascii="Times New Roman" w:hAnsi="Times New Roman" w:eastAsia="宋体"/>
                      <w:color w:val="000000"/>
                      <w:sz w:val="21"/>
                      <w:szCs w:val="21"/>
                    </w:rPr>
                    <w:t>危废资质单位处置</w:t>
                  </w:r>
                </w:p>
              </w:tc>
            </w:tr>
          </w:tbl>
          <w:p w14:paraId="4866395F">
            <w:pPr>
              <w:pStyle w:val="4"/>
              <w:bidi w:val="0"/>
              <w:rPr>
                <w:rFonts w:hint="eastAsia" w:ascii="Times New Roman" w:hAnsi="Times New Roman" w:eastAsia="宋体" w:cs="Times New Roman"/>
                <w:lang w:val="en-US" w:eastAsia="zh-CN"/>
              </w:rPr>
            </w:pPr>
            <w:r>
              <w:rPr>
                <w:rFonts w:hint="eastAsia" w:ascii="Times New Roman" w:hAnsi="Times New Roman" w:eastAsia="宋体" w:cs="Times New Roman"/>
                <w:color w:val="FF0000"/>
                <w:lang w:val="en-US" w:eastAsia="zh-CN"/>
              </w:rPr>
              <w:t>6、运营期环境风险防范措施</w:t>
            </w:r>
          </w:p>
          <w:p w14:paraId="2227E0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FF0000"/>
                <w:sz w:val="24"/>
                <w:szCs w:val="24"/>
                <w:lang w:val="en-US" w:eastAsia="zh-CN"/>
              </w:rPr>
            </w:pPr>
            <w:r>
              <w:rPr>
                <w:rFonts w:hint="eastAsia" w:ascii="Times New Roman" w:hAnsi="Times New Roman" w:eastAsia="宋体" w:cs="Times New Roman"/>
                <w:b/>
                <w:bCs/>
                <w:color w:val="FF0000"/>
                <w:sz w:val="24"/>
                <w:szCs w:val="24"/>
                <w:lang w:val="en-US" w:eastAsia="zh-CN"/>
              </w:rPr>
              <w:t>（1）危险废物贮存库</w:t>
            </w:r>
          </w:p>
          <w:p w14:paraId="79F9E5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根据《危险废物贮存污染控制标准》</w:t>
            </w:r>
            <w:r>
              <w:rPr>
                <w:rFonts w:hint="eastAsia" w:cs="Times New Roman"/>
                <w:color w:val="FF0000"/>
                <w:sz w:val="24"/>
                <w:szCs w:val="24"/>
                <w:lang w:val="en-US" w:eastAsia="zh-CN"/>
              </w:rPr>
              <w:t>（</w:t>
            </w:r>
            <w:r>
              <w:rPr>
                <w:rFonts w:hint="eastAsia" w:ascii="Times New Roman" w:hAnsi="Times New Roman" w:eastAsia="宋体" w:cs="Times New Roman"/>
                <w:color w:val="FF0000"/>
                <w:sz w:val="24"/>
                <w:szCs w:val="24"/>
                <w:lang w:val="en-US" w:eastAsia="zh-CN"/>
              </w:rPr>
              <w:t>GB18597-2023）要求，并结合本项目实际情况危险废物贮存库建设应符合如下要求：</w:t>
            </w:r>
          </w:p>
          <w:p w14:paraId="08A7C9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1）贮存设施一般规定</w:t>
            </w:r>
          </w:p>
          <w:p w14:paraId="2D1A19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①贮存设施应根据危险废物的形态、物理化学性质、包装形式和污染物迁移途径，采取必要的防风、防晒、防雨、防漏、防渗、防腐以及其他环境污染防治措施，不应露天堆放危险废物；</w:t>
            </w:r>
          </w:p>
          <w:p w14:paraId="730EC8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②贮存设施应根据危险废物的类别、数量、形态、物理化学性质和污染防治等要求设置必要的贮存分区，避免不相容的危险废物接触、混合；</w:t>
            </w:r>
          </w:p>
          <w:p w14:paraId="1AE382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③贮存设施或贮存分区内地面、墙面裙脚、堵截泄漏的围堰、接触危险废物的隔板和墙体等应采用坚固的材料建造，表面无裂缝；</w:t>
            </w:r>
          </w:p>
          <w:p w14:paraId="2F3147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至少2mm厚高密度聚乙烯膜等人工防渗材料（渗透系数不大于10-10cm/s），或其他防渗性能等效的材料；</w:t>
            </w:r>
          </w:p>
          <w:p w14:paraId="1BC3BD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⑤贮存设施应采取技术和管理措施防止无关人员进入。</w:t>
            </w:r>
          </w:p>
          <w:p w14:paraId="410AC735">
            <w:pPr>
              <w:widowControl/>
              <w:adjustRightInd w:val="0"/>
              <w:snapToGrid w:val="0"/>
              <w:ind w:firstLine="480"/>
              <w:rPr>
                <w:rFonts w:hint="default" w:ascii="Times New Roman" w:hAnsi="Times New Roman" w:cs="Times New Roman"/>
                <w:color w:val="FF0000"/>
                <w:szCs w:val="24"/>
              </w:rPr>
            </w:pPr>
            <w:r>
              <w:rPr>
                <w:rFonts w:hint="default" w:ascii="Times New Roman" w:hAnsi="Times New Roman" w:cs="Times New Roman"/>
                <w:color w:val="FF0000"/>
                <w:szCs w:val="24"/>
              </w:rPr>
              <w:t>根据</w:t>
            </w:r>
            <w:r>
              <w:rPr>
                <w:rFonts w:hint="eastAsia" w:ascii="Times New Roman" w:hAnsi="Times New Roman" w:cs="Times New Roman"/>
                <w:color w:val="FF0000"/>
                <w:szCs w:val="24"/>
                <w:lang w:eastAsia="zh-CN"/>
              </w:rPr>
              <w:t>区域地质及工程特点分析，本项目污染控制难易程度为易，天然包气带防污性能为弱，根据地下水导则</w:t>
            </w:r>
            <w:r>
              <w:rPr>
                <w:rFonts w:hint="default" w:ascii="Times New Roman" w:hAnsi="Times New Roman" w:cs="Times New Roman"/>
                <w:color w:val="FF0000"/>
                <w:szCs w:val="24"/>
              </w:rPr>
              <w:t>将整个厂区划分为重点污染防治区</w:t>
            </w:r>
            <w:r>
              <w:rPr>
                <w:rFonts w:hint="eastAsia" w:ascii="Times New Roman" w:hAnsi="Times New Roman" w:cs="Times New Roman"/>
                <w:color w:val="FF0000"/>
                <w:szCs w:val="24"/>
                <w:lang w:eastAsia="zh-CN"/>
              </w:rPr>
              <w:t>、一般防渗区</w:t>
            </w:r>
            <w:r>
              <w:rPr>
                <w:rFonts w:hint="default" w:ascii="Times New Roman" w:hAnsi="Times New Roman" w:cs="Times New Roman"/>
                <w:color w:val="FF0000"/>
                <w:szCs w:val="24"/>
              </w:rPr>
              <w:t>和简单防渗区。</w:t>
            </w:r>
            <w:bookmarkStart w:id="22" w:name="_Hlk81410771"/>
          </w:p>
          <w:bookmarkEnd w:id="22"/>
          <w:p w14:paraId="2132491F">
            <w:pPr>
              <w:pStyle w:val="5"/>
              <w:bidi w:val="0"/>
              <w:rPr>
                <w:rFonts w:hint="default"/>
              </w:rPr>
            </w:pPr>
            <w:r>
              <w:rPr>
                <w:rFonts w:hint="default"/>
                <w:color w:val="FF0000"/>
              </w:rPr>
              <w:t>表</w:t>
            </w:r>
            <w:r>
              <w:rPr>
                <w:rFonts w:hint="eastAsia"/>
                <w:color w:val="FF0000"/>
                <w:lang w:val="en-US" w:eastAsia="zh-CN"/>
              </w:rPr>
              <w:t xml:space="preserve">5-4 </w:t>
            </w:r>
            <w:r>
              <w:rPr>
                <w:rFonts w:hint="default"/>
                <w:color w:val="FF0000"/>
              </w:rPr>
              <w:t xml:space="preserve"> 项目防渗分区及要求</w:t>
            </w:r>
          </w:p>
          <w:tbl>
            <w:tblPr>
              <w:tblStyle w:val="23"/>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75"/>
              <w:gridCol w:w="1101"/>
              <w:gridCol w:w="2402"/>
              <w:gridCol w:w="4014"/>
            </w:tblGrid>
            <w:tr w14:paraId="7C1437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355" w:type="pct"/>
                  <w:noWrap w:val="0"/>
                  <w:vAlign w:val="center"/>
                </w:tcPr>
                <w:p w14:paraId="28E567EF">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b/>
                      <w:bCs/>
                      <w:color w:val="FF0000"/>
                      <w:sz w:val="21"/>
                      <w:szCs w:val="21"/>
                    </w:rPr>
                  </w:pPr>
                  <w:bookmarkStart w:id="23" w:name="_Hlk81410785"/>
                  <w:r>
                    <w:rPr>
                      <w:rFonts w:hint="default" w:ascii="Times New Roman" w:hAnsi="Times New Roman" w:cs="Times New Roman"/>
                      <w:b/>
                      <w:bCs/>
                      <w:color w:val="FF0000"/>
                      <w:sz w:val="21"/>
                      <w:szCs w:val="21"/>
                    </w:rPr>
                    <w:t>序号</w:t>
                  </w:r>
                </w:p>
              </w:tc>
              <w:tc>
                <w:tcPr>
                  <w:tcW w:w="680" w:type="pct"/>
                  <w:noWrap w:val="0"/>
                  <w:vAlign w:val="center"/>
                </w:tcPr>
                <w:p w14:paraId="757B93FB">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防渗分区</w:t>
                  </w:r>
                </w:p>
              </w:tc>
              <w:tc>
                <w:tcPr>
                  <w:tcW w:w="1484" w:type="pct"/>
                  <w:noWrap w:val="0"/>
                  <w:vAlign w:val="center"/>
                </w:tcPr>
                <w:p w14:paraId="6C393D4C">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具体范围</w:t>
                  </w:r>
                </w:p>
              </w:tc>
              <w:tc>
                <w:tcPr>
                  <w:tcW w:w="2480" w:type="pct"/>
                  <w:noWrap w:val="0"/>
                  <w:vAlign w:val="center"/>
                </w:tcPr>
                <w:p w14:paraId="2783822D">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防渗技术要求</w:t>
                  </w:r>
                </w:p>
              </w:tc>
            </w:tr>
            <w:tr w14:paraId="66FEC5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2" w:hRule="atLeast"/>
              </w:trPr>
              <w:tc>
                <w:tcPr>
                  <w:tcW w:w="355" w:type="pct"/>
                  <w:noWrap w:val="0"/>
                  <w:vAlign w:val="center"/>
                </w:tcPr>
                <w:p w14:paraId="4A105163">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1</w:t>
                  </w:r>
                </w:p>
              </w:tc>
              <w:tc>
                <w:tcPr>
                  <w:tcW w:w="680" w:type="pct"/>
                  <w:noWrap w:val="0"/>
                  <w:vAlign w:val="center"/>
                </w:tcPr>
                <w:p w14:paraId="749B503A">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重点防渗区</w:t>
                  </w:r>
                </w:p>
              </w:tc>
              <w:tc>
                <w:tcPr>
                  <w:tcW w:w="1484" w:type="pct"/>
                  <w:noWrap w:val="0"/>
                  <w:vAlign w:val="center"/>
                </w:tcPr>
                <w:p w14:paraId="0F1FEE43">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Times New Roman" w:hAnsi="Times New Roman" w:eastAsia="宋体" w:cs="Times New Roman"/>
                      <w:color w:val="FF0000"/>
                      <w:sz w:val="21"/>
                      <w:szCs w:val="21"/>
                      <w:lang w:eastAsia="zh-CN"/>
                    </w:rPr>
                  </w:pPr>
                  <w:r>
                    <w:rPr>
                      <w:rFonts w:hint="eastAsia" w:ascii="Times New Roman" w:hAnsi="Times New Roman" w:cs="Times New Roman"/>
                      <w:color w:val="FF0000"/>
                      <w:sz w:val="21"/>
                      <w:szCs w:val="21"/>
                      <w:lang w:eastAsia="zh-CN"/>
                    </w:rPr>
                    <w:t>危废</w:t>
                  </w:r>
                  <w:r>
                    <w:rPr>
                      <w:rFonts w:hint="eastAsia" w:ascii="Times New Roman" w:hAnsi="Times New Roman" w:cs="Times New Roman"/>
                      <w:color w:val="FF0000"/>
                      <w:sz w:val="21"/>
                      <w:szCs w:val="21"/>
                      <w:lang w:val="en-US" w:eastAsia="zh-CN"/>
                    </w:rPr>
                    <w:t>贮存库</w:t>
                  </w:r>
                </w:p>
              </w:tc>
              <w:tc>
                <w:tcPr>
                  <w:tcW w:w="2480" w:type="pct"/>
                  <w:noWrap w:val="0"/>
                  <w:vAlign w:val="center"/>
                </w:tcPr>
                <w:p w14:paraId="0D731093">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r>
                    <w:rPr>
                      <w:rFonts w:hint="eastAsia" w:ascii="Times New Roman" w:hAnsi="Times New Roman" w:cs="Times New Roman"/>
                      <w:color w:val="FF0000"/>
                      <w:sz w:val="21"/>
                      <w:szCs w:val="21"/>
                      <w:lang w:eastAsia="zh-CN"/>
                    </w:rPr>
                    <w:t>综合考虑，</w:t>
                  </w:r>
                  <w:r>
                    <w:rPr>
                      <w:rFonts w:hint="default" w:ascii="Times New Roman" w:hAnsi="Times New Roman" w:cs="Times New Roman"/>
                      <w:color w:val="FF0000"/>
                      <w:sz w:val="21"/>
                      <w:szCs w:val="21"/>
                    </w:rPr>
                    <w:t>渗透系数不大于 1.0×10</w:t>
                  </w:r>
                  <w:r>
                    <w:rPr>
                      <w:rFonts w:hint="eastAsia" w:cs="Times New Roman"/>
                      <w:color w:val="FF0000"/>
                      <w:sz w:val="21"/>
                      <w:szCs w:val="21"/>
                      <w:vertAlign w:val="superscript"/>
                      <w:lang w:val="en-US" w:eastAsia="zh-CN"/>
                    </w:rPr>
                    <w:t>-10</w:t>
                  </w:r>
                  <w:r>
                    <w:rPr>
                      <w:rFonts w:hint="default" w:ascii="Times New Roman" w:hAnsi="Times New Roman" w:cs="Times New Roman"/>
                      <w:color w:val="FF0000"/>
                      <w:sz w:val="21"/>
                      <w:szCs w:val="21"/>
                    </w:rPr>
                    <w:t>cm/s</w:t>
                  </w:r>
                </w:p>
              </w:tc>
            </w:tr>
            <w:tr w14:paraId="0BBF13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355" w:type="pct"/>
                  <w:vMerge w:val="restart"/>
                  <w:noWrap w:val="0"/>
                  <w:vAlign w:val="center"/>
                </w:tcPr>
                <w:p w14:paraId="6ADD65BA">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2</w:t>
                  </w:r>
                </w:p>
              </w:tc>
              <w:tc>
                <w:tcPr>
                  <w:tcW w:w="680" w:type="pct"/>
                  <w:vMerge w:val="restart"/>
                  <w:noWrap w:val="0"/>
                  <w:vAlign w:val="center"/>
                </w:tcPr>
                <w:p w14:paraId="380D5CA6">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一般防渗区</w:t>
                  </w:r>
                </w:p>
              </w:tc>
              <w:tc>
                <w:tcPr>
                  <w:tcW w:w="1484" w:type="pct"/>
                  <w:noWrap w:val="0"/>
                  <w:vAlign w:val="center"/>
                </w:tcPr>
                <w:p w14:paraId="2239C546">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冲洗</w:t>
                  </w:r>
                  <w:r>
                    <w:rPr>
                      <w:rFonts w:hint="eastAsia" w:cs="Times New Roman"/>
                      <w:color w:val="FF0000"/>
                      <w:sz w:val="21"/>
                      <w:szCs w:val="21"/>
                      <w:lang w:val="en-US" w:eastAsia="zh-CN"/>
                    </w:rPr>
                    <w:t>平台</w:t>
                  </w:r>
                  <w:r>
                    <w:rPr>
                      <w:rFonts w:hint="eastAsia" w:ascii="Times New Roman" w:hAnsi="Times New Roman" w:eastAsia="宋体" w:cs="Times New Roman"/>
                      <w:color w:val="FF0000"/>
                      <w:sz w:val="21"/>
                      <w:szCs w:val="21"/>
                      <w:lang w:eastAsia="zh-CN"/>
                    </w:rPr>
                    <w:t>二级沉淀池</w:t>
                  </w:r>
                </w:p>
              </w:tc>
              <w:tc>
                <w:tcPr>
                  <w:tcW w:w="2480" w:type="pct"/>
                  <w:noWrap w:val="0"/>
                  <w:vAlign w:val="center"/>
                </w:tcPr>
                <w:p w14:paraId="7D60EB87">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渗透系数不大于1.0×10</w:t>
                  </w:r>
                  <w:r>
                    <w:rPr>
                      <w:rFonts w:hint="eastAsia" w:cs="Times New Roman"/>
                      <w:color w:val="FF0000"/>
                      <w:sz w:val="21"/>
                      <w:szCs w:val="21"/>
                      <w:vertAlign w:val="superscript"/>
                      <w:lang w:val="en-US" w:eastAsia="zh-CN"/>
                    </w:rPr>
                    <w:t>-</w:t>
                  </w:r>
                  <w:r>
                    <w:rPr>
                      <w:rFonts w:hint="default" w:ascii="Times New Roman" w:hAnsi="Times New Roman" w:cs="Times New Roman"/>
                      <w:color w:val="FF0000"/>
                      <w:sz w:val="21"/>
                      <w:szCs w:val="21"/>
                      <w:vertAlign w:val="superscript"/>
                    </w:rPr>
                    <w:t>7</w:t>
                  </w:r>
                  <w:r>
                    <w:rPr>
                      <w:rFonts w:hint="default" w:ascii="Times New Roman" w:hAnsi="Times New Roman" w:cs="Times New Roman"/>
                      <w:color w:val="FF0000"/>
                      <w:sz w:val="21"/>
                      <w:szCs w:val="21"/>
                    </w:rPr>
                    <w:t>cm/s</w:t>
                  </w:r>
                </w:p>
              </w:tc>
            </w:tr>
            <w:tr w14:paraId="1060E5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355" w:type="pct"/>
                  <w:vMerge w:val="continue"/>
                  <w:noWrap w:val="0"/>
                  <w:vAlign w:val="center"/>
                </w:tcPr>
                <w:p w14:paraId="4AFD0FA2">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p>
              </w:tc>
              <w:tc>
                <w:tcPr>
                  <w:tcW w:w="680" w:type="pct"/>
                  <w:vMerge w:val="continue"/>
                  <w:noWrap w:val="0"/>
                  <w:vAlign w:val="center"/>
                </w:tcPr>
                <w:p w14:paraId="3CDD4A99">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p>
              </w:tc>
              <w:tc>
                <w:tcPr>
                  <w:tcW w:w="1484" w:type="pct"/>
                  <w:noWrap w:val="0"/>
                  <w:vAlign w:val="center"/>
                </w:tcPr>
                <w:p w14:paraId="4FF5C67C">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eastAsia="宋体" w:cs="Times New Roman"/>
                      <w:color w:val="0000FC"/>
                      <w:sz w:val="21"/>
                      <w:szCs w:val="21"/>
                      <w:lang w:val="en-US" w:eastAsia="zh-CN"/>
                    </w:rPr>
                  </w:pPr>
                  <w:r>
                    <w:rPr>
                      <w:rFonts w:hint="eastAsia" w:cs="Times New Roman"/>
                      <w:color w:val="0000FC"/>
                      <w:sz w:val="21"/>
                      <w:szCs w:val="21"/>
                      <w:lang w:val="en-US" w:eastAsia="zh-CN"/>
                    </w:rPr>
                    <w:t>化粪池</w:t>
                  </w:r>
                </w:p>
              </w:tc>
              <w:tc>
                <w:tcPr>
                  <w:tcW w:w="2480" w:type="pct"/>
                  <w:noWrap w:val="0"/>
                  <w:vAlign w:val="center"/>
                </w:tcPr>
                <w:p w14:paraId="3B79287E">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0000FC"/>
                      <w:sz w:val="21"/>
                      <w:szCs w:val="21"/>
                    </w:rPr>
                  </w:pPr>
                  <w:r>
                    <w:rPr>
                      <w:rFonts w:hint="default" w:ascii="Times New Roman" w:hAnsi="Times New Roman" w:cs="Times New Roman"/>
                      <w:color w:val="0000FC"/>
                      <w:sz w:val="21"/>
                      <w:szCs w:val="21"/>
                    </w:rPr>
                    <w:t>渗透系数不大于1.0×10</w:t>
                  </w:r>
                  <w:r>
                    <w:rPr>
                      <w:rFonts w:hint="eastAsia" w:cs="Times New Roman"/>
                      <w:color w:val="0000FC"/>
                      <w:sz w:val="21"/>
                      <w:szCs w:val="21"/>
                      <w:vertAlign w:val="superscript"/>
                      <w:lang w:val="en-US" w:eastAsia="zh-CN"/>
                    </w:rPr>
                    <w:t>-</w:t>
                  </w:r>
                  <w:r>
                    <w:rPr>
                      <w:rFonts w:hint="default" w:ascii="Times New Roman" w:hAnsi="Times New Roman" w:cs="Times New Roman"/>
                      <w:color w:val="0000FC"/>
                      <w:sz w:val="21"/>
                      <w:szCs w:val="21"/>
                      <w:vertAlign w:val="superscript"/>
                    </w:rPr>
                    <w:t>7</w:t>
                  </w:r>
                  <w:r>
                    <w:rPr>
                      <w:rFonts w:hint="default" w:ascii="Times New Roman" w:hAnsi="Times New Roman" w:cs="Times New Roman"/>
                      <w:color w:val="0000FC"/>
                      <w:sz w:val="21"/>
                      <w:szCs w:val="21"/>
                    </w:rPr>
                    <w:t>cm/s</w:t>
                  </w:r>
                </w:p>
              </w:tc>
            </w:tr>
            <w:tr w14:paraId="3D91557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355" w:type="pct"/>
                  <w:noWrap w:val="0"/>
                  <w:vAlign w:val="center"/>
                </w:tcPr>
                <w:p w14:paraId="3A19C7A8">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3</w:t>
                  </w:r>
                </w:p>
              </w:tc>
              <w:tc>
                <w:tcPr>
                  <w:tcW w:w="680" w:type="pct"/>
                  <w:noWrap w:val="0"/>
                  <w:vAlign w:val="center"/>
                </w:tcPr>
                <w:p w14:paraId="3A6BCD09">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简单防渗区</w:t>
                  </w:r>
                </w:p>
              </w:tc>
              <w:tc>
                <w:tcPr>
                  <w:tcW w:w="1484" w:type="pct"/>
                  <w:noWrap w:val="0"/>
                  <w:vAlign w:val="center"/>
                </w:tcPr>
                <w:p w14:paraId="7C7865FE">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Times New Roman" w:hAnsi="Times New Roman" w:eastAsia="宋体" w:cs="Times New Roman"/>
                      <w:color w:val="FF0000"/>
                      <w:sz w:val="21"/>
                      <w:szCs w:val="21"/>
                      <w:lang w:eastAsia="zh-CN"/>
                    </w:rPr>
                  </w:pPr>
                  <w:r>
                    <w:rPr>
                      <w:rFonts w:hint="eastAsia" w:ascii="Times New Roman" w:hAnsi="Times New Roman" w:cs="Times New Roman"/>
                      <w:color w:val="FF0000"/>
                      <w:sz w:val="21"/>
                      <w:szCs w:val="21"/>
                      <w:lang w:val="en-US" w:eastAsia="zh-CN"/>
                    </w:rPr>
                    <w:t>办公生活区</w:t>
                  </w:r>
                  <w:r>
                    <w:rPr>
                      <w:rFonts w:hint="eastAsia" w:ascii="Times New Roman" w:hAnsi="Times New Roman" w:cs="Times New Roman"/>
                      <w:color w:val="FF0000"/>
                      <w:sz w:val="21"/>
                      <w:szCs w:val="21"/>
                      <w:lang w:eastAsia="zh-CN"/>
                    </w:rPr>
                    <w:t>等</w:t>
                  </w:r>
                </w:p>
              </w:tc>
              <w:tc>
                <w:tcPr>
                  <w:tcW w:w="2480" w:type="pct"/>
                  <w:noWrap w:val="0"/>
                  <w:vAlign w:val="center"/>
                </w:tcPr>
                <w:p w14:paraId="6E44E8E0">
                  <w:pPr>
                    <w:pStyle w:val="56"/>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一般地面硬化</w:t>
                  </w:r>
                </w:p>
              </w:tc>
            </w:tr>
            <w:bookmarkEnd w:id="23"/>
          </w:tbl>
          <w:p w14:paraId="4B6EC4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2）容器和包装物污染控制要求</w:t>
            </w:r>
          </w:p>
          <w:p w14:paraId="7939AA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①使用容器盛装液态、半固态危险废物时，容器内部应留有适当的空间，以适应因温度变化等可能引发的收缩和膨胀，防止导致容器渗漏或永久变形；</w:t>
            </w:r>
          </w:p>
          <w:p w14:paraId="76436C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②容器和包装物外表面应保持清洁。</w:t>
            </w:r>
          </w:p>
          <w:p w14:paraId="2E735E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3）贮存点环境管理要求</w:t>
            </w:r>
          </w:p>
          <w:p w14:paraId="0DD0E1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①贮存点应具有固定的区域边界，并应采取与其他区域进行隔离的措施；</w:t>
            </w:r>
          </w:p>
          <w:p w14:paraId="297FEC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②贮存点应采取防风、防雨、防晒和防止危险废物流失、扬散等措施；</w:t>
            </w:r>
          </w:p>
          <w:p w14:paraId="30B18E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③贮存点贮存的危险废物应置于容器或包装物中，不应直接散堆；</w:t>
            </w:r>
          </w:p>
          <w:p w14:paraId="360C57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④贮存点应根据危险废物的形态、物理化学性质、包装形式等，采取防渗、防漏等污染防治措施或采用具有相应功能的装置；</w:t>
            </w:r>
          </w:p>
          <w:p w14:paraId="750BB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⑤贮存点应及时清运贮存的危险废物，实时贮存量不应超过3吨。</w:t>
            </w:r>
          </w:p>
          <w:p w14:paraId="762F34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4）危险废物贮存库标志标识</w:t>
            </w:r>
          </w:p>
          <w:p w14:paraId="3998EC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应根据《危险废物识别标志设置技术规范》</w:t>
            </w:r>
            <w:r>
              <w:rPr>
                <w:rFonts w:hint="eastAsia" w:cs="Times New Roman"/>
                <w:color w:val="FF0000"/>
                <w:sz w:val="24"/>
                <w:szCs w:val="24"/>
                <w:lang w:val="en-US" w:eastAsia="zh-CN"/>
              </w:rPr>
              <w:t>（</w:t>
            </w:r>
            <w:r>
              <w:rPr>
                <w:rFonts w:hint="eastAsia" w:ascii="Times New Roman" w:hAnsi="Times New Roman" w:eastAsia="宋体" w:cs="Times New Roman"/>
                <w:color w:val="FF0000"/>
                <w:sz w:val="24"/>
                <w:szCs w:val="24"/>
                <w:lang w:val="en-US" w:eastAsia="zh-CN"/>
              </w:rPr>
              <w:t>HJ 1276-2022）及要求设置危险废物贮存库标志标识，包括危险废物标签，危险废物贮存分区标志，危险废物贮存设施标志。</w:t>
            </w:r>
          </w:p>
          <w:p w14:paraId="35F7EC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b/>
                <w:bCs/>
                <w:color w:val="0000FC"/>
                <w:sz w:val="24"/>
                <w:szCs w:val="24"/>
                <w:lang w:val="en-US" w:eastAsia="zh-CN"/>
              </w:rPr>
            </w:pPr>
            <w:r>
              <w:rPr>
                <w:rFonts w:hint="eastAsia" w:ascii="Times New Roman" w:hAnsi="Times New Roman" w:eastAsia="宋体" w:cs="Times New Roman"/>
                <w:b/>
                <w:bCs/>
                <w:color w:val="0000FC"/>
                <w:sz w:val="24"/>
                <w:szCs w:val="24"/>
                <w:lang w:val="en-US" w:eastAsia="zh-CN"/>
              </w:rPr>
              <w:t>（2）柴油罐车进场环境风险</w:t>
            </w:r>
          </w:p>
          <w:p w14:paraId="25FB42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color w:val="0000FC"/>
                <w:kern w:val="0"/>
                <w:sz w:val="24"/>
              </w:rPr>
            </w:pPr>
            <w:r>
              <w:rPr>
                <w:rFonts w:hint="eastAsia" w:ascii="Times New Roman" w:hAnsi="Times New Roman" w:eastAsia="宋体"/>
                <w:color w:val="0000FC"/>
                <w:sz w:val="24"/>
                <w:szCs w:val="24"/>
                <w:highlight w:val="none"/>
              </w:rPr>
              <w:t>机械用油采用</w:t>
            </w:r>
            <w:r>
              <w:rPr>
                <w:rFonts w:hint="eastAsia"/>
                <w:color w:val="0000FC"/>
                <w:sz w:val="24"/>
                <w:szCs w:val="24"/>
                <w:highlight w:val="none"/>
                <w:lang w:val="en-US" w:eastAsia="zh-CN"/>
              </w:rPr>
              <w:t>油罐车</w:t>
            </w:r>
            <w:r>
              <w:rPr>
                <w:rFonts w:hint="eastAsia" w:ascii="Times New Roman" w:hAnsi="Times New Roman" w:eastAsia="宋体"/>
                <w:color w:val="0000FC"/>
                <w:sz w:val="24"/>
                <w:szCs w:val="24"/>
                <w:highlight w:val="none"/>
              </w:rPr>
              <w:t>拉运，厂区内无</w:t>
            </w:r>
            <w:r>
              <w:rPr>
                <w:rFonts w:ascii="Times New Roman" w:hAnsi="Times New Roman" w:eastAsia="宋体"/>
                <w:color w:val="0000FC"/>
                <w:sz w:val="24"/>
                <w:szCs w:val="24"/>
                <w:highlight w:val="none"/>
              </w:rPr>
              <w:t>柴油的储存</w:t>
            </w:r>
            <w:r>
              <w:rPr>
                <w:rFonts w:hint="eastAsia"/>
                <w:color w:val="0000FC"/>
                <w:sz w:val="24"/>
                <w:szCs w:val="24"/>
                <w:highlight w:val="none"/>
                <w:lang w:val="en-US" w:eastAsia="zh-CN"/>
              </w:rPr>
              <w:t>库及储存桶，只配备2个200L的临时油桶，将油罐车拉运至厂区后，转接至临时油桶</w:t>
            </w:r>
            <w:r>
              <w:rPr>
                <w:rFonts w:hint="eastAsia"/>
                <w:color w:val="0000FC"/>
                <w:kern w:val="0"/>
                <w:sz w:val="24"/>
              </w:rPr>
              <w:t>用于矿山挖掘机、装载机等机械车辆的燃料使用</w:t>
            </w:r>
            <w:r>
              <w:rPr>
                <w:rFonts w:hint="eastAsia"/>
                <w:color w:val="0000FC"/>
                <w:kern w:val="0"/>
                <w:sz w:val="24"/>
                <w:lang w:eastAsia="zh-CN"/>
              </w:rPr>
              <w:t>，</w:t>
            </w:r>
            <w:r>
              <w:rPr>
                <w:rFonts w:hint="eastAsia"/>
                <w:color w:val="0000FC"/>
                <w:kern w:val="0"/>
                <w:sz w:val="24"/>
                <w:lang w:val="en-US" w:eastAsia="zh-CN"/>
              </w:rPr>
              <w:t>待车辆和机械加油后将空置的临时油桶暂存至机修间内</w:t>
            </w:r>
            <w:r>
              <w:rPr>
                <w:rFonts w:hint="eastAsia"/>
                <w:color w:val="0000FC"/>
                <w:kern w:val="0"/>
                <w:sz w:val="24"/>
              </w:rPr>
              <w:t>。</w:t>
            </w:r>
          </w:p>
          <w:p w14:paraId="4191F89F">
            <w:pPr>
              <w:keepNext w:val="0"/>
              <w:keepLines w:val="0"/>
              <w:pageBreakBefore w:val="0"/>
              <w:widowControl w:val="0"/>
              <w:kinsoku/>
              <w:topLinePunct w:val="0"/>
              <w:bidi w:val="0"/>
              <w:spacing w:line="360" w:lineRule="auto"/>
              <w:ind w:firstLine="480" w:firstLineChars="200"/>
              <w:rPr>
                <w:rFonts w:hint="eastAsia"/>
                <w:color w:val="0000FC"/>
                <w:kern w:val="0"/>
                <w:sz w:val="24"/>
              </w:rPr>
            </w:pPr>
            <w:r>
              <w:rPr>
                <w:rFonts w:hint="eastAsia"/>
                <w:color w:val="0000FC"/>
                <w:kern w:val="0"/>
                <w:sz w:val="24"/>
              </w:rPr>
              <w:t>矿山现场没有柴</w:t>
            </w:r>
            <w:r>
              <w:rPr>
                <w:rFonts w:hint="eastAsia"/>
                <w:color w:val="0000FC"/>
                <w:kern w:val="0"/>
                <w:sz w:val="24"/>
                <w:highlight w:val="none"/>
              </w:rPr>
              <w:t>油储罐</w:t>
            </w:r>
            <w:r>
              <w:rPr>
                <w:rFonts w:hint="eastAsia"/>
                <w:color w:val="0000FC"/>
                <w:kern w:val="0"/>
                <w:sz w:val="24"/>
              </w:rPr>
              <w:t>。</w:t>
            </w:r>
            <w:r>
              <w:rPr>
                <w:rFonts w:hint="eastAsia"/>
                <w:color w:val="0000FC"/>
                <w:kern w:val="0"/>
                <w:sz w:val="24"/>
                <w:lang w:val="en-US" w:eastAsia="zh-CN"/>
              </w:rPr>
              <w:t>柴油罐车发生泄漏或</w:t>
            </w:r>
            <w:r>
              <w:rPr>
                <w:rFonts w:hint="eastAsia" w:ascii="Times New Roman" w:hAnsi="Times New Roman" w:eastAsia="宋体" w:cs="Times New Roman"/>
                <w:color w:val="0000FC"/>
                <w:kern w:val="0"/>
                <w:sz w:val="24"/>
                <w:lang w:val="en-US" w:eastAsia="zh-CN"/>
              </w:rPr>
              <w:t>可能遇雷击或静电闪火引燃引起爆炸，火灾爆炸引发半生、次生的污染物排放。其风险防</w:t>
            </w:r>
            <w:r>
              <w:rPr>
                <w:rFonts w:hint="eastAsia"/>
                <w:color w:val="0000FC"/>
                <w:kern w:val="0"/>
                <w:sz w:val="24"/>
              </w:rPr>
              <w:t>范措施如下：</w:t>
            </w:r>
          </w:p>
          <w:p w14:paraId="70052CCD">
            <w:pPr>
              <w:keepNext w:val="0"/>
              <w:keepLines w:val="0"/>
              <w:pageBreakBefore w:val="0"/>
              <w:widowControl w:val="0"/>
              <w:kinsoku/>
              <w:topLinePunct w:val="0"/>
              <w:bidi w:val="0"/>
              <w:spacing w:line="360" w:lineRule="auto"/>
              <w:ind w:firstLine="480" w:firstLineChars="200"/>
              <w:rPr>
                <w:rFonts w:hint="eastAsia"/>
                <w:color w:val="0000FC"/>
                <w:kern w:val="0"/>
                <w:sz w:val="24"/>
              </w:rPr>
            </w:pPr>
            <w:r>
              <w:rPr>
                <w:rFonts w:hint="eastAsia"/>
                <w:color w:val="0000FC"/>
                <w:kern w:val="0"/>
                <w:sz w:val="24"/>
              </w:rPr>
              <w:t>①加强员工上岗前</w:t>
            </w:r>
            <w:r>
              <w:rPr>
                <w:rFonts w:hint="eastAsia"/>
                <w:color w:val="0000FC"/>
                <w:kern w:val="0"/>
                <w:sz w:val="24"/>
                <w:lang w:val="en-US" w:eastAsia="zh-CN"/>
              </w:rPr>
              <w:t>油类</w:t>
            </w:r>
            <w:r>
              <w:rPr>
                <w:rFonts w:hint="eastAsia"/>
                <w:color w:val="0000FC"/>
                <w:kern w:val="0"/>
                <w:sz w:val="24"/>
              </w:rPr>
              <w:t>安全知识和技能培训，建立了员工培训档案，定期开展员工培训。</w:t>
            </w:r>
          </w:p>
          <w:p w14:paraId="7204275F">
            <w:pPr>
              <w:keepNext w:val="0"/>
              <w:keepLines w:val="0"/>
              <w:pageBreakBefore w:val="0"/>
              <w:widowControl w:val="0"/>
              <w:kinsoku/>
              <w:topLinePunct w:val="0"/>
              <w:bidi w:val="0"/>
              <w:spacing w:line="360" w:lineRule="auto"/>
              <w:ind w:firstLine="480" w:firstLineChars="200"/>
              <w:rPr>
                <w:rFonts w:hint="eastAsia"/>
                <w:color w:val="0000FC"/>
                <w:kern w:val="0"/>
                <w:sz w:val="24"/>
              </w:rPr>
            </w:pPr>
            <w:r>
              <w:rPr>
                <w:rFonts w:hint="eastAsia"/>
                <w:color w:val="0000FC"/>
                <w:kern w:val="0"/>
                <w:sz w:val="24"/>
              </w:rPr>
              <w:t>②柴油</w:t>
            </w:r>
            <w:r>
              <w:rPr>
                <w:rFonts w:hint="eastAsia"/>
                <w:color w:val="0000FC"/>
                <w:kern w:val="0"/>
                <w:sz w:val="24"/>
                <w:lang w:val="en-US" w:eastAsia="zh-CN"/>
              </w:rPr>
              <w:t>运输</w:t>
            </w:r>
            <w:r>
              <w:rPr>
                <w:rFonts w:hint="eastAsia"/>
                <w:color w:val="0000FC"/>
                <w:kern w:val="0"/>
                <w:sz w:val="24"/>
              </w:rPr>
              <w:t>是风险防范的关键，对储运设施的日常保修和监管是防止建设项目火灾及引发的爆炸风险的关键的措施。柴油有专人负责管理</w:t>
            </w:r>
            <w:r>
              <w:rPr>
                <w:rFonts w:hint="eastAsia"/>
                <w:color w:val="0000FC"/>
                <w:kern w:val="0"/>
                <w:sz w:val="24"/>
                <w:lang w:val="en-US" w:eastAsia="zh-CN"/>
              </w:rPr>
              <w:t>对接</w:t>
            </w:r>
            <w:r>
              <w:rPr>
                <w:rFonts w:hint="eastAsia"/>
                <w:color w:val="0000FC"/>
                <w:kern w:val="0"/>
                <w:sz w:val="24"/>
              </w:rPr>
              <w:t>。</w:t>
            </w:r>
          </w:p>
          <w:p w14:paraId="0D834F73">
            <w:pPr>
              <w:keepNext w:val="0"/>
              <w:keepLines w:val="0"/>
              <w:pageBreakBefore w:val="0"/>
              <w:widowControl w:val="0"/>
              <w:kinsoku/>
              <w:topLinePunct w:val="0"/>
              <w:bidi w:val="0"/>
              <w:spacing w:line="360" w:lineRule="auto"/>
              <w:ind w:firstLine="480" w:firstLineChars="200"/>
              <w:rPr>
                <w:rFonts w:hint="eastAsia"/>
                <w:color w:val="0000FC"/>
                <w:kern w:val="0"/>
                <w:sz w:val="24"/>
              </w:rPr>
            </w:pPr>
            <w:r>
              <w:rPr>
                <w:rFonts w:hint="eastAsia"/>
                <w:color w:val="0000FC"/>
                <w:kern w:val="0"/>
                <w:sz w:val="24"/>
              </w:rPr>
              <w:t>③柴油</w:t>
            </w:r>
            <w:r>
              <w:rPr>
                <w:rFonts w:hint="eastAsia"/>
                <w:color w:val="0000FC"/>
                <w:kern w:val="0"/>
                <w:sz w:val="24"/>
                <w:lang w:val="en-US" w:eastAsia="zh-CN"/>
              </w:rPr>
              <w:t>罐车</w:t>
            </w:r>
            <w:r>
              <w:rPr>
                <w:rFonts w:hint="eastAsia"/>
                <w:color w:val="0000FC"/>
                <w:kern w:val="0"/>
                <w:sz w:val="24"/>
              </w:rPr>
              <w:t>严禁烟火，任何人</w:t>
            </w:r>
            <w:r>
              <w:rPr>
                <w:rFonts w:hint="eastAsia"/>
                <w:color w:val="0000FC"/>
                <w:kern w:val="0"/>
                <w:sz w:val="24"/>
                <w:lang w:val="en-US" w:eastAsia="zh-CN"/>
              </w:rPr>
              <w:t>靠近</w:t>
            </w:r>
            <w:r>
              <w:rPr>
                <w:rFonts w:hint="eastAsia"/>
                <w:color w:val="0000FC"/>
                <w:kern w:val="0"/>
                <w:sz w:val="24"/>
              </w:rPr>
              <w:t>抽烟、携带明火。</w:t>
            </w:r>
          </w:p>
          <w:p w14:paraId="47592775">
            <w:pPr>
              <w:keepNext w:val="0"/>
              <w:keepLines w:val="0"/>
              <w:pageBreakBefore w:val="0"/>
              <w:widowControl w:val="0"/>
              <w:kinsoku/>
              <w:topLinePunct w:val="0"/>
              <w:bidi w:val="0"/>
              <w:spacing w:line="360" w:lineRule="auto"/>
              <w:ind w:firstLine="480" w:firstLineChars="200"/>
              <w:rPr>
                <w:rFonts w:hint="eastAsia"/>
                <w:color w:val="0000FC"/>
                <w:kern w:val="0"/>
                <w:sz w:val="24"/>
              </w:rPr>
            </w:pPr>
            <w:r>
              <w:rPr>
                <w:rFonts w:hint="eastAsia"/>
                <w:color w:val="0000FC"/>
                <w:kern w:val="0"/>
                <w:sz w:val="24"/>
              </w:rPr>
              <w:t>④日常注意对</w:t>
            </w:r>
            <w:r>
              <w:rPr>
                <w:rFonts w:hint="eastAsia"/>
                <w:color w:val="0000FC"/>
                <w:kern w:val="0"/>
                <w:sz w:val="24"/>
                <w:lang w:val="en-US" w:eastAsia="zh-CN"/>
              </w:rPr>
              <w:t>机械</w:t>
            </w:r>
            <w:r>
              <w:rPr>
                <w:rFonts w:hint="eastAsia"/>
                <w:color w:val="0000FC"/>
                <w:kern w:val="0"/>
                <w:sz w:val="24"/>
              </w:rPr>
              <w:t>的检查维护，防止跑、冒、滴、漏现象发生。</w:t>
            </w:r>
          </w:p>
          <w:p w14:paraId="783C28DF">
            <w:pPr>
              <w:keepNext w:val="0"/>
              <w:keepLines w:val="0"/>
              <w:pageBreakBefore w:val="0"/>
              <w:widowControl w:val="0"/>
              <w:kinsoku/>
              <w:topLinePunct w:val="0"/>
              <w:bidi w:val="0"/>
              <w:spacing w:line="360" w:lineRule="auto"/>
              <w:ind w:firstLine="480" w:firstLineChars="200"/>
              <w:rPr>
                <w:rFonts w:hint="eastAsia"/>
                <w:color w:val="0000FC"/>
                <w:kern w:val="0"/>
                <w:sz w:val="24"/>
              </w:rPr>
            </w:pPr>
            <w:r>
              <w:rPr>
                <w:rFonts w:hint="eastAsia"/>
                <w:color w:val="0000FC"/>
                <w:kern w:val="0"/>
                <w:sz w:val="24"/>
              </w:rPr>
              <w:t>⑤配备一定的消防砂、灭火器等消防器材。</w:t>
            </w:r>
          </w:p>
          <w:p w14:paraId="49C260C3">
            <w:pPr>
              <w:keepNext w:val="0"/>
              <w:keepLines w:val="0"/>
              <w:pageBreakBefore w:val="0"/>
              <w:widowControl w:val="0"/>
              <w:kinsoku/>
              <w:topLinePunct w:val="0"/>
              <w:bidi w:val="0"/>
              <w:spacing w:line="360" w:lineRule="auto"/>
              <w:ind w:firstLine="480" w:firstLineChars="200"/>
              <w:rPr>
                <w:rFonts w:hint="eastAsia" w:cs="Times New Roman"/>
                <w:color w:val="0000FC"/>
                <w:sz w:val="24"/>
                <w:szCs w:val="24"/>
                <w:lang w:val="en-US" w:eastAsia="zh-CN"/>
              </w:rPr>
            </w:pPr>
            <w:r>
              <w:rPr>
                <w:rFonts w:hint="eastAsia" w:ascii="宋体" w:hAnsi="宋体" w:eastAsia="宋体" w:cs="宋体"/>
                <w:color w:val="0000FC"/>
                <w:sz w:val="24"/>
                <w:szCs w:val="24"/>
                <w:lang w:val="en-US" w:eastAsia="zh-CN"/>
              </w:rPr>
              <w:t>⑥</w:t>
            </w:r>
            <w:r>
              <w:rPr>
                <w:rFonts w:hint="eastAsia" w:cs="Times New Roman"/>
                <w:color w:val="0000FC"/>
                <w:sz w:val="24"/>
                <w:szCs w:val="24"/>
                <w:lang w:val="en-US" w:eastAsia="zh-CN"/>
              </w:rPr>
              <w:t>在柴油罐车进场后加强对罐车及柴油转运过程的管理和防护措施。</w:t>
            </w:r>
          </w:p>
          <w:p w14:paraId="1B502180">
            <w:pPr>
              <w:keepNext w:val="0"/>
              <w:keepLines w:val="0"/>
              <w:pageBreakBefore w:val="0"/>
              <w:widowControl w:val="0"/>
              <w:kinsoku/>
              <w:topLinePunct w:val="0"/>
              <w:bidi w:val="0"/>
              <w:spacing w:line="360" w:lineRule="auto"/>
              <w:ind w:firstLine="480" w:firstLineChars="200"/>
              <w:rPr>
                <w:rFonts w:hint="eastAsia" w:cs="Times New Roman"/>
                <w:color w:val="0000FC"/>
                <w:sz w:val="24"/>
                <w:szCs w:val="24"/>
                <w:lang w:val="en-US" w:eastAsia="zh-CN"/>
              </w:rPr>
            </w:pPr>
            <w:r>
              <w:rPr>
                <w:rFonts w:hint="eastAsia" w:ascii="宋体" w:hAnsi="宋体" w:eastAsia="宋体" w:cs="宋体"/>
                <w:color w:val="0000FC"/>
                <w:sz w:val="24"/>
                <w:szCs w:val="24"/>
                <w:lang w:val="en-US" w:eastAsia="zh-CN"/>
              </w:rPr>
              <w:t>⑦</w:t>
            </w:r>
            <w:r>
              <w:rPr>
                <w:rFonts w:hint="eastAsia" w:cs="Times New Roman"/>
                <w:color w:val="0000FC"/>
                <w:sz w:val="24"/>
                <w:szCs w:val="24"/>
                <w:lang w:val="en-US" w:eastAsia="zh-CN"/>
              </w:rPr>
              <w:t>待机械等加油后罐车及时退场，并将空临时油桶封存在机修间内，不得随意放在厂区。</w:t>
            </w:r>
          </w:p>
          <w:p w14:paraId="6C93CAB9">
            <w:pPr>
              <w:keepNext w:val="0"/>
              <w:keepLines w:val="0"/>
              <w:pageBreakBefore w:val="0"/>
              <w:widowControl w:val="0"/>
              <w:kinsoku/>
              <w:topLinePunct w:val="0"/>
              <w:bidi w:val="0"/>
              <w:spacing w:line="360" w:lineRule="auto"/>
              <w:ind w:firstLine="480" w:firstLineChars="200"/>
              <w:rPr>
                <w:rFonts w:hint="default" w:cs="Times New Roman"/>
                <w:color w:val="0000FC"/>
                <w:sz w:val="24"/>
                <w:szCs w:val="24"/>
                <w:lang w:val="en-US" w:eastAsia="zh-CN"/>
              </w:rPr>
            </w:pPr>
            <w:r>
              <w:rPr>
                <w:rFonts w:hint="eastAsia" w:ascii="宋体" w:hAnsi="宋体" w:eastAsia="宋体" w:cs="宋体"/>
                <w:color w:val="0000FC"/>
                <w:sz w:val="24"/>
                <w:szCs w:val="24"/>
                <w:lang w:val="en-US" w:eastAsia="zh-CN"/>
              </w:rPr>
              <w:t>⑧配备专门人员负责油罐车的对接，对空的临时油桶封存管理，以及油品使用台账记录等。</w:t>
            </w:r>
          </w:p>
          <w:p w14:paraId="2BCD39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FF0000"/>
                <w:sz w:val="24"/>
                <w:szCs w:val="24"/>
                <w:lang w:val="en-US" w:eastAsia="zh-CN"/>
              </w:rPr>
            </w:pPr>
            <w:r>
              <w:rPr>
                <w:rFonts w:hint="eastAsia" w:ascii="Times New Roman" w:hAnsi="Times New Roman" w:eastAsia="宋体" w:cs="Times New Roman"/>
                <w:b/>
                <w:bCs/>
                <w:color w:val="FF0000"/>
                <w:sz w:val="24"/>
                <w:szCs w:val="24"/>
                <w:lang w:val="en-US" w:eastAsia="zh-CN"/>
              </w:rPr>
              <w:t>（</w:t>
            </w:r>
            <w:r>
              <w:rPr>
                <w:rFonts w:hint="eastAsia" w:cs="Times New Roman"/>
                <w:b/>
                <w:bCs/>
                <w:color w:val="FF0000"/>
                <w:sz w:val="24"/>
                <w:szCs w:val="24"/>
                <w:lang w:val="en-US" w:eastAsia="zh-CN"/>
              </w:rPr>
              <w:t>3</w:t>
            </w:r>
            <w:r>
              <w:rPr>
                <w:rFonts w:hint="eastAsia" w:ascii="Times New Roman" w:hAnsi="Times New Roman" w:eastAsia="宋体" w:cs="Times New Roman"/>
                <w:b/>
                <w:bCs/>
                <w:color w:val="FF0000"/>
                <w:sz w:val="24"/>
                <w:szCs w:val="24"/>
                <w:lang w:val="en-US" w:eastAsia="zh-CN"/>
              </w:rPr>
              <w:t>）小结</w:t>
            </w:r>
          </w:p>
          <w:p w14:paraId="50FACC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运营过程中主要风险源为危险废物贮存库内存放的废机油、废机油容器</w:t>
            </w:r>
            <w:r>
              <w:rPr>
                <w:rFonts w:hint="eastAsia" w:cs="Times New Roman"/>
                <w:color w:val="FF0000"/>
                <w:sz w:val="24"/>
                <w:szCs w:val="24"/>
                <w:lang w:val="en-US" w:eastAsia="zh-CN"/>
              </w:rPr>
              <w:t>及柴油罐车进场</w:t>
            </w:r>
            <w:r>
              <w:rPr>
                <w:rFonts w:hint="eastAsia" w:ascii="Times New Roman" w:hAnsi="Times New Roman" w:eastAsia="宋体" w:cs="Times New Roman"/>
                <w:color w:val="FF0000"/>
                <w:sz w:val="24"/>
                <w:szCs w:val="24"/>
                <w:lang w:val="en-US" w:eastAsia="zh-CN"/>
              </w:rPr>
              <w:t>，主要影响途径为泄漏</w:t>
            </w:r>
            <w:r>
              <w:rPr>
                <w:rFonts w:hint="eastAsia" w:cs="Times New Roman"/>
                <w:color w:val="FF0000"/>
                <w:sz w:val="24"/>
                <w:szCs w:val="24"/>
                <w:lang w:val="en-US" w:eastAsia="zh-CN"/>
              </w:rPr>
              <w:t>或引发火灾爆炸等</w:t>
            </w:r>
            <w:r>
              <w:rPr>
                <w:rFonts w:hint="eastAsia" w:ascii="Times New Roman" w:hAnsi="Times New Roman" w:eastAsia="宋体" w:cs="Times New Roman"/>
                <w:color w:val="FF0000"/>
                <w:sz w:val="24"/>
                <w:szCs w:val="24"/>
                <w:lang w:val="en-US" w:eastAsia="zh-CN"/>
              </w:rPr>
              <w:t>。应在危险废物贮存库配备干粉灭火器、吸油毡或消防沙等消防器材；危险废物贮存库须满足《危险废物贮存污染控制标准》（GB18597-2023）的要求，尤其是贮存库内部地面除硬化外，应做好地面防渗处理，周围设置围堰，做到防风、防晒、防雨、防漏、防渗、防腐；及时办理转移手续，尽可能减少现场贮存量和缩短贮存周期；在油桶底部设置防渗托盘，托盘的有效容积应大于机油桶容积，用于机油泄漏事故情况下的收集处置，托盘能满足废油</w:t>
            </w:r>
            <w:r>
              <w:rPr>
                <w:rFonts w:hint="eastAsia" w:cs="Times New Roman"/>
                <w:color w:val="FF0000"/>
                <w:sz w:val="24"/>
                <w:szCs w:val="24"/>
                <w:lang w:val="en-US" w:eastAsia="zh-CN"/>
              </w:rPr>
              <w:t>泄漏</w:t>
            </w:r>
            <w:r>
              <w:rPr>
                <w:rFonts w:hint="eastAsia" w:ascii="Times New Roman" w:hAnsi="Times New Roman" w:eastAsia="宋体" w:cs="Times New Roman"/>
                <w:color w:val="FF0000"/>
                <w:sz w:val="24"/>
                <w:szCs w:val="24"/>
                <w:lang w:val="en-US" w:eastAsia="zh-CN"/>
              </w:rPr>
              <w:t>时的收集要求，因此不设置事故收集池。</w:t>
            </w:r>
          </w:p>
          <w:p w14:paraId="37D33E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对岗位职工进行</w:t>
            </w:r>
            <w:r>
              <w:rPr>
                <w:rFonts w:hint="eastAsia" w:cs="Times New Roman"/>
                <w:color w:val="FF0000"/>
                <w:sz w:val="24"/>
                <w:szCs w:val="24"/>
                <w:lang w:val="en-US" w:eastAsia="zh-CN"/>
              </w:rPr>
              <w:t>油品安全</w:t>
            </w:r>
            <w:r>
              <w:rPr>
                <w:rFonts w:hint="eastAsia" w:ascii="Times New Roman" w:hAnsi="Times New Roman" w:eastAsia="宋体" w:cs="Times New Roman"/>
                <w:color w:val="FF0000"/>
                <w:sz w:val="24"/>
                <w:szCs w:val="24"/>
                <w:lang w:val="en-US" w:eastAsia="zh-CN"/>
              </w:rPr>
              <w:t>岗前培训，禁止带入非防爆电器，提高职工对有毒有害、易燃易爆物质的安全意识和安全专业知识。同时，制定安全操作规程和安全管理规章制度，严格执行岗位责任制。</w:t>
            </w:r>
            <w:r>
              <w:rPr>
                <w:rFonts w:hint="eastAsia" w:cs="Times New Roman"/>
                <w:color w:val="FF0000"/>
                <w:sz w:val="24"/>
                <w:szCs w:val="24"/>
                <w:lang w:val="en-US" w:eastAsia="zh-CN"/>
              </w:rPr>
              <w:t>在柴油罐车进场后加强对罐车及柴油转运过程的管理和防护措施，待加油后罐车及时退场，并将空临时油桶封存在机修间内。</w:t>
            </w:r>
          </w:p>
          <w:p w14:paraId="4F7B03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FF0000"/>
                <w:sz w:val="24"/>
                <w:szCs w:val="24"/>
                <w:lang w:val="en-US" w:eastAsia="zh-CN"/>
              </w:rPr>
              <w:t>综上，严格按照上述危险废物贮存库相关建设，落实相关管理要求后其风险是可控的。</w:t>
            </w:r>
          </w:p>
          <w:p w14:paraId="6A0A8CDF">
            <w:pPr>
              <w:pStyle w:val="4"/>
              <w:bidi w:val="0"/>
              <w:rPr>
                <w:rFonts w:hint="eastAsia"/>
                <w:lang w:val="en-US" w:eastAsia="zh-CN"/>
              </w:rPr>
            </w:pPr>
            <w:r>
              <w:rPr>
                <w:rFonts w:hint="eastAsia"/>
                <w:lang w:val="en-US" w:eastAsia="zh-CN"/>
              </w:rPr>
              <w:t>7、矿区安全风险防范措施</w:t>
            </w:r>
          </w:p>
          <w:p w14:paraId="1D302C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ascii="Times New Roman" w:hAnsi="Times New Roman" w:eastAsia="宋体"/>
                <w:b/>
                <w:bCs/>
                <w:sz w:val="24"/>
                <w:szCs w:val="24"/>
              </w:rPr>
            </w:pPr>
            <w:r>
              <w:rPr>
                <w:rFonts w:hint="eastAsia" w:ascii="Times New Roman" w:hAnsi="Times New Roman" w:eastAsia="宋体" w:cs="Times New Roman"/>
                <w:b/>
                <w:sz w:val="24"/>
                <w:szCs w:val="24"/>
                <w:lang w:val="en-US" w:eastAsia="zh-CN"/>
              </w:rPr>
              <w:t>（1）</w:t>
            </w:r>
            <w:r>
              <w:rPr>
                <w:rFonts w:hint="eastAsia" w:ascii="Times New Roman" w:hAnsi="Times New Roman" w:eastAsia="宋体"/>
                <w:b/>
                <w:bCs/>
                <w:sz w:val="24"/>
                <w:szCs w:val="24"/>
              </w:rPr>
              <w:t>露天开采采区边坡的安全管理</w:t>
            </w:r>
          </w:p>
          <w:p w14:paraId="28B7D0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hint="eastAsia" w:ascii="Times New Roman" w:hAnsi="Times New Roman" w:eastAsia="宋体"/>
                <w:sz w:val="24"/>
                <w:szCs w:val="24"/>
              </w:rPr>
              <w:t>开采时，分台阶自上而下地进行，最终台阶坡面角控制在</w:t>
            </w:r>
            <w:r>
              <w:rPr>
                <w:rFonts w:hint="eastAsia" w:ascii="Times New Roman" w:hAnsi="Times New Roman" w:eastAsia="宋体"/>
                <w:sz w:val="24"/>
                <w:szCs w:val="24"/>
                <w:lang w:val="en-US" w:eastAsia="zh-CN"/>
              </w:rPr>
              <w:t>40</w:t>
            </w:r>
            <w:r>
              <w:rPr>
                <w:rFonts w:hint="eastAsia" w:ascii="Times New Roman" w:hAnsi="Times New Roman" w:eastAsia="宋体"/>
                <w:sz w:val="24"/>
                <w:szCs w:val="24"/>
              </w:rPr>
              <w:t>度，总体来说，开采区边坡是稳定的。但是在山顶开采时，应加强边坡安全的管理，确保边坡稳定。日常开采时，边坡安全的管理如下：</w:t>
            </w:r>
          </w:p>
          <w:p w14:paraId="792E21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hint="eastAsia" w:ascii="Times New Roman" w:hAnsi="Times New Roman" w:eastAsia="宋体"/>
                <w:sz w:val="24"/>
                <w:szCs w:val="24"/>
              </w:rPr>
              <w:fldChar w:fldCharType="begin"/>
            </w:r>
            <w:r>
              <w:rPr>
                <w:rFonts w:hint="eastAsia" w:ascii="Times New Roman" w:hAnsi="Times New Roman" w:eastAsia="宋体"/>
                <w:sz w:val="24"/>
                <w:szCs w:val="24"/>
              </w:rPr>
              <w:instrText xml:space="preserve"> = 1 \* GB3 \* MERGEFORMAT </w:instrText>
            </w:r>
            <w:r>
              <w:rPr>
                <w:rFonts w:hint="eastAsia" w:ascii="Times New Roman" w:hAnsi="Times New Roman" w:eastAsia="宋体"/>
                <w:sz w:val="24"/>
                <w:szCs w:val="24"/>
              </w:rPr>
              <w:fldChar w:fldCharType="separate"/>
            </w:r>
            <w:r>
              <w:rPr>
                <w:rFonts w:ascii="Times New Roman" w:hAnsi="Times New Roman" w:eastAsia="宋体"/>
                <w:sz w:val="24"/>
                <w:szCs w:val="24"/>
              </w:rPr>
              <w:t>①</w:t>
            </w:r>
            <w:r>
              <w:rPr>
                <w:rFonts w:hint="eastAsia" w:ascii="Times New Roman" w:hAnsi="Times New Roman" w:eastAsia="宋体"/>
                <w:sz w:val="24"/>
                <w:szCs w:val="24"/>
              </w:rPr>
              <w:fldChar w:fldCharType="end"/>
            </w:r>
            <w:r>
              <w:rPr>
                <w:rFonts w:hint="eastAsia" w:ascii="Times New Roman" w:hAnsi="Times New Roman" w:eastAsia="宋体"/>
                <w:sz w:val="24"/>
                <w:szCs w:val="24"/>
              </w:rPr>
              <w:t>开采作业前和作业中，应对开采斜坡面进行安全检查，发现斜坡面有裂痕，或有浮石、危石和伞檐体可能塌落时，相关人员应立即撤离至安全地点，然后采取可靠的安全措施；</w:t>
            </w:r>
          </w:p>
          <w:p w14:paraId="2F1365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hint="eastAsia" w:ascii="Times New Roman" w:hAnsi="Times New Roman" w:eastAsia="宋体"/>
                <w:sz w:val="24"/>
                <w:szCs w:val="24"/>
              </w:rPr>
              <w:fldChar w:fldCharType="begin"/>
            </w:r>
            <w:r>
              <w:rPr>
                <w:rFonts w:hint="eastAsia" w:ascii="Times New Roman" w:hAnsi="Times New Roman" w:eastAsia="宋体"/>
                <w:sz w:val="24"/>
                <w:szCs w:val="24"/>
              </w:rPr>
              <w:instrText xml:space="preserve"> = 2 \* GB3 \* MERGEFORMAT </w:instrText>
            </w:r>
            <w:r>
              <w:rPr>
                <w:rFonts w:hint="eastAsia" w:ascii="Times New Roman" w:hAnsi="Times New Roman" w:eastAsia="宋体"/>
                <w:sz w:val="24"/>
                <w:szCs w:val="24"/>
              </w:rPr>
              <w:fldChar w:fldCharType="separate"/>
            </w:r>
            <w:r>
              <w:rPr>
                <w:rFonts w:ascii="Times New Roman" w:hAnsi="Times New Roman" w:eastAsia="宋体"/>
                <w:sz w:val="24"/>
                <w:szCs w:val="24"/>
              </w:rPr>
              <w:t>②</w:t>
            </w:r>
            <w:r>
              <w:rPr>
                <w:rFonts w:hint="eastAsia" w:ascii="Times New Roman" w:hAnsi="Times New Roman" w:eastAsia="宋体"/>
                <w:sz w:val="24"/>
                <w:szCs w:val="24"/>
              </w:rPr>
              <w:fldChar w:fldCharType="end"/>
            </w:r>
            <w:r>
              <w:rPr>
                <w:rFonts w:hint="eastAsia" w:ascii="Times New Roman" w:hAnsi="Times New Roman" w:eastAsia="宋体"/>
                <w:sz w:val="24"/>
                <w:szCs w:val="24"/>
              </w:rPr>
              <w:t xml:space="preserve">在处理斜坡面浮石、危石时，应系好合格的安全带，防止人员坠落。在处理的全过程应有人对其指导监护； </w:t>
            </w:r>
          </w:p>
          <w:p w14:paraId="07B36C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sz w:val="24"/>
                <w:szCs w:val="24"/>
              </w:rPr>
            </w:pPr>
            <w:r>
              <w:rPr>
                <w:rFonts w:hint="eastAsia" w:ascii="Times New Roman" w:hAnsi="Times New Roman" w:eastAsia="宋体"/>
                <w:sz w:val="24"/>
                <w:szCs w:val="24"/>
              </w:rPr>
              <w:fldChar w:fldCharType="begin"/>
            </w:r>
            <w:r>
              <w:rPr>
                <w:rFonts w:hint="eastAsia" w:ascii="Times New Roman" w:hAnsi="Times New Roman" w:eastAsia="宋体"/>
                <w:sz w:val="24"/>
                <w:szCs w:val="24"/>
              </w:rPr>
              <w:instrText xml:space="preserve"> = 3 \* GB3 \* MERGEFORMAT </w:instrText>
            </w:r>
            <w:r>
              <w:rPr>
                <w:rFonts w:hint="eastAsia" w:ascii="Times New Roman" w:hAnsi="Times New Roman" w:eastAsia="宋体"/>
                <w:sz w:val="24"/>
                <w:szCs w:val="24"/>
              </w:rPr>
              <w:fldChar w:fldCharType="separate"/>
            </w:r>
            <w:r>
              <w:rPr>
                <w:rFonts w:ascii="Times New Roman" w:hAnsi="Times New Roman" w:eastAsia="宋体"/>
                <w:sz w:val="24"/>
                <w:szCs w:val="24"/>
              </w:rPr>
              <w:t>③</w:t>
            </w:r>
            <w:r>
              <w:rPr>
                <w:rFonts w:hint="eastAsia" w:ascii="Times New Roman" w:hAnsi="Times New Roman" w:eastAsia="宋体"/>
                <w:sz w:val="24"/>
                <w:szCs w:val="24"/>
              </w:rPr>
              <w:fldChar w:fldCharType="end"/>
            </w:r>
            <w:r>
              <w:rPr>
                <w:rFonts w:hint="eastAsia" w:ascii="Times New Roman" w:hAnsi="Times New Roman" w:eastAsia="宋体"/>
                <w:sz w:val="24"/>
                <w:szCs w:val="24"/>
              </w:rPr>
              <w:t>边坡安全平台应经常检查和清理，保证排水通畅。</w:t>
            </w:r>
          </w:p>
          <w:p w14:paraId="16C01F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ascii="Times New Roman" w:hAnsi="Times New Roman" w:eastAsia="宋体"/>
                <w:b/>
                <w:bCs/>
                <w:sz w:val="24"/>
                <w:szCs w:val="24"/>
              </w:rPr>
            </w:pPr>
            <w:r>
              <w:rPr>
                <w:rFonts w:hint="eastAsia" w:ascii="Times New Roman" w:hAnsi="Times New Roman" w:eastAsia="宋体"/>
                <w:b/>
                <w:bCs/>
                <w:sz w:val="24"/>
                <w:szCs w:val="24"/>
                <w:lang w:eastAsia="zh-CN"/>
              </w:rPr>
              <w:t>（</w:t>
            </w:r>
            <w:r>
              <w:rPr>
                <w:rFonts w:hint="eastAsia" w:ascii="Times New Roman" w:hAnsi="Times New Roman" w:eastAsia="宋体"/>
                <w:b/>
                <w:bCs/>
                <w:sz w:val="24"/>
                <w:szCs w:val="24"/>
                <w:lang w:val="en-US" w:eastAsia="zh-CN"/>
              </w:rPr>
              <w:t>2</w:t>
            </w:r>
            <w:r>
              <w:rPr>
                <w:rFonts w:hint="eastAsia" w:ascii="Times New Roman" w:hAnsi="Times New Roman" w:eastAsia="宋体"/>
                <w:b/>
                <w:bCs/>
                <w:sz w:val="24"/>
                <w:szCs w:val="24"/>
                <w:lang w:eastAsia="zh-CN"/>
              </w:rPr>
              <w:t>）</w:t>
            </w:r>
            <w:r>
              <w:rPr>
                <w:rFonts w:hint="eastAsia" w:ascii="Times New Roman" w:hAnsi="Times New Roman" w:eastAsia="宋体"/>
                <w:b/>
                <w:bCs/>
                <w:sz w:val="24"/>
                <w:szCs w:val="24"/>
              </w:rPr>
              <w:t>铲装作业的安全管理</w:t>
            </w:r>
          </w:p>
          <w:p w14:paraId="2C8F32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1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①</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铲装作业的停机平台，必须坚实平整，防止挖掘机侧翻或倾覆。挖掘机在装载时铲臂</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铲斗</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 xml:space="preserve">严禁从汽车驾驶室上部通过； </w:t>
            </w:r>
          </w:p>
          <w:p w14:paraId="35BCF9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2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②</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 xml:space="preserve">挖掘机装卸半径内严禁其他人员和设备进入； </w:t>
            </w:r>
          </w:p>
          <w:p w14:paraId="3DAD29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3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汽车在装载时，严禁驾驶员的头和手臂伸出驾驶室，也不准驾驶员对汽车</w:t>
            </w:r>
            <w:r>
              <w:rPr>
                <w:rFonts w:hint="eastAsia" w:cs="Times New Roman"/>
                <w:sz w:val="24"/>
                <w:szCs w:val="24"/>
                <w:lang w:eastAsia="zh-CN"/>
              </w:rPr>
              <w:t>做</w:t>
            </w:r>
            <w:r>
              <w:rPr>
                <w:rFonts w:hint="default" w:ascii="Times New Roman" w:hAnsi="Times New Roman" w:eastAsia="宋体" w:cs="Times New Roman"/>
                <w:sz w:val="24"/>
                <w:szCs w:val="24"/>
              </w:rPr>
              <w:t>任何检查修理；</w:t>
            </w:r>
          </w:p>
          <w:p w14:paraId="172DD4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4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挖掘机如在斜坡行走或铲装作业时，应有三角挡木阻塞行走束带后部，防挖掘机因操作不当或设备故障，造成自行顺坡滑行。作业时设备与边坡外缘须保持2m以上的安全距离。</w:t>
            </w:r>
          </w:p>
          <w:p w14:paraId="6BF22C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lang w:eastAsia="zh-CN"/>
              </w:rPr>
              <w:t xml:space="preserve">）排土场风险防范措施 </w:t>
            </w:r>
          </w:p>
          <w:p w14:paraId="7B6E62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根据本矿山开发利用方案及现场实际调查，项目拟设置</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处临时排土场，排土场应设置截排水沟、挡渣墙等装置</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防止造成水土流失和粉尘污染</w:t>
            </w:r>
            <w:r>
              <w:rPr>
                <w:rFonts w:hint="default" w:ascii="Times New Roman" w:hAnsi="Times New Roman" w:eastAsia="宋体" w:cs="Times New Roman"/>
                <w:sz w:val="24"/>
                <w:szCs w:val="24"/>
              </w:rPr>
              <w:t>。</w:t>
            </w:r>
          </w:p>
          <w:p w14:paraId="6C35B2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1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①</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重视排土规划设计，严格按照相关要求措施，对排土场采用基底处理、设置拦挡墙、截水措施、削坡减载压坡角等方法处理。</w:t>
            </w:r>
          </w:p>
          <w:p w14:paraId="13E9FB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2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②</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采用多台阶同时排土，下一台阶压上一台阶的坡角，并保持台阶坡面角小于自然安息角，并保持较小的总边坡角。</w:t>
            </w:r>
          </w:p>
          <w:p w14:paraId="2AF67D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3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 xml:space="preserve">修筑排土场截水沟，减少排土场汇水面积，对大气降水进行拦截。定期对修建的截水沟进行修缮和清理，以便雨水能畅通地排至排土场外围的低洼处。 </w:t>
            </w:r>
          </w:p>
          <w:p w14:paraId="61E53D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4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严格执行本环评提出的生态保护措施，露天开采结束后及时对临时排土场进行清理，堆存表土用于露天采坑的回填及恢复</w:t>
            </w:r>
            <w:r>
              <w:rPr>
                <w:rFonts w:hint="eastAsia" w:ascii="Times New Roman" w:hAnsi="Times New Roman" w:eastAsia="宋体" w:cs="Times New Roman"/>
                <w:sz w:val="24"/>
                <w:szCs w:val="24"/>
                <w:lang w:eastAsia="zh-CN"/>
              </w:rPr>
              <w:t>。</w:t>
            </w:r>
          </w:p>
          <w:p w14:paraId="19D2E7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lang w:eastAsia="zh-CN"/>
              </w:rPr>
              <w:t>）崩塌、滑坡灾害以及泥石流灾害事故防范措施</w:t>
            </w:r>
          </w:p>
          <w:p w14:paraId="2D1D26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b w:val="0"/>
                <w:bCs w:val="0"/>
                <w:sz w:val="24"/>
                <w:szCs w:val="24"/>
                <w:lang w:eastAsia="zh-CN"/>
              </w:rPr>
            </w:pPr>
            <w:r>
              <w:rPr>
                <w:rFonts w:hint="eastAsia" w:ascii="Times New Roman" w:hAnsi="Times New Roman" w:eastAsia="宋体"/>
                <w:b w:val="0"/>
                <w:bCs w:val="0"/>
                <w:sz w:val="24"/>
                <w:szCs w:val="24"/>
                <w:lang w:val="en-US" w:eastAsia="zh-CN"/>
              </w:rPr>
              <w:t>1）</w:t>
            </w:r>
            <w:r>
              <w:rPr>
                <w:rFonts w:hint="eastAsia" w:ascii="Times New Roman" w:hAnsi="Times New Roman" w:eastAsia="宋体"/>
                <w:b w:val="0"/>
                <w:bCs w:val="0"/>
                <w:sz w:val="24"/>
                <w:szCs w:val="24"/>
              </w:rPr>
              <w:t>地质灾害防范措施</w:t>
            </w:r>
          </w:p>
          <w:p w14:paraId="5FAE78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①</w:t>
            </w:r>
            <w:r>
              <w:rPr>
                <w:rFonts w:hint="eastAsia" w:ascii="Times New Roman" w:hAnsi="Times New Roman" w:eastAsia="宋体"/>
                <w:sz w:val="24"/>
                <w:szCs w:val="24"/>
              </w:rPr>
              <w:t>严格按照本项目开发利用方案中关于露天采场的相关技术参数和采矿方法组织生产，严格控制台阶高度和边坡角；</w:t>
            </w:r>
          </w:p>
          <w:p w14:paraId="50A197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②</w:t>
            </w:r>
            <w:r>
              <w:rPr>
                <w:rFonts w:hint="eastAsia" w:ascii="Times New Roman" w:hAnsi="Times New Roman" w:eastAsia="宋体"/>
                <w:sz w:val="24"/>
                <w:szCs w:val="24"/>
              </w:rPr>
              <w:t>作业时，应先对工作面进行安全检查，清除危石，并对不稳定边坡进行修整，必要时采取适当的加固处理，而后</w:t>
            </w:r>
            <w:r>
              <w:rPr>
                <w:rFonts w:hint="eastAsia"/>
                <w:sz w:val="24"/>
                <w:szCs w:val="24"/>
                <w:lang w:eastAsia="zh-CN"/>
              </w:rPr>
              <w:t>再</w:t>
            </w:r>
            <w:r>
              <w:rPr>
                <w:rFonts w:hint="eastAsia" w:ascii="Times New Roman" w:hAnsi="Times New Roman" w:eastAsia="宋体"/>
                <w:sz w:val="24"/>
                <w:szCs w:val="24"/>
              </w:rPr>
              <w:t>进行生产作业；</w:t>
            </w:r>
          </w:p>
          <w:p w14:paraId="79501E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③</w:t>
            </w:r>
            <w:r>
              <w:rPr>
                <w:rFonts w:hint="eastAsia" w:ascii="Times New Roman" w:hAnsi="Times New Roman" w:eastAsia="宋体"/>
                <w:sz w:val="24"/>
                <w:szCs w:val="24"/>
              </w:rPr>
              <w:t>露天采场必须指派专人负责</w:t>
            </w:r>
            <w:r>
              <w:rPr>
                <w:rFonts w:hint="eastAsia"/>
                <w:sz w:val="24"/>
                <w:szCs w:val="24"/>
                <w:lang w:eastAsia="zh-CN"/>
              </w:rPr>
              <w:t>边坡</w:t>
            </w:r>
            <w:r>
              <w:rPr>
                <w:rFonts w:hint="eastAsia" w:ascii="Times New Roman" w:hAnsi="Times New Roman" w:eastAsia="宋体"/>
                <w:sz w:val="24"/>
                <w:szCs w:val="24"/>
              </w:rPr>
              <w:t>管理，当发现边坡塌滑征兆时，应立即停止生产，撤出人员和设备，并迅速处理，处理得当后，才可进入采场作业；</w:t>
            </w:r>
          </w:p>
          <w:p w14:paraId="30BA6F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④</w:t>
            </w:r>
            <w:r>
              <w:rPr>
                <w:rFonts w:hint="eastAsia" w:ascii="Times New Roman" w:hAnsi="Times New Roman" w:eastAsia="宋体"/>
                <w:sz w:val="24"/>
                <w:szCs w:val="24"/>
              </w:rPr>
              <w:t>雨季时，应对矿区内不稳定区段定期检查，发现异常应及时处理；</w:t>
            </w:r>
          </w:p>
          <w:p w14:paraId="57B7B5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sz w:val="24"/>
                <w:szCs w:val="24"/>
              </w:rPr>
            </w:pPr>
            <w:r>
              <w:rPr>
                <w:rFonts w:ascii="Times New Roman" w:hAnsi="Times New Roman" w:eastAsia="宋体"/>
                <w:sz w:val="24"/>
                <w:szCs w:val="24"/>
              </w:rPr>
              <w:t>⑤</w:t>
            </w:r>
            <w:r>
              <w:rPr>
                <w:rFonts w:hint="eastAsia" w:ascii="Times New Roman" w:hAnsi="Times New Roman" w:eastAsia="宋体"/>
                <w:sz w:val="24"/>
                <w:szCs w:val="24"/>
              </w:rPr>
              <w:t>对采场矿区周边进行定期地质监测，并做好相应监测记录。</w:t>
            </w:r>
          </w:p>
          <w:p w14:paraId="7AD66D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b w:val="0"/>
                <w:bCs w:val="0"/>
                <w:sz w:val="24"/>
                <w:szCs w:val="24"/>
                <w:lang w:eastAsia="zh-CN"/>
              </w:rPr>
            </w:pPr>
            <w:r>
              <w:rPr>
                <w:rFonts w:hint="eastAsia" w:ascii="Times New Roman" w:hAnsi="Times New Roman" w:eastAsia="宋体"/>
                <w:b w:val="0"/>
                <w:bCs w:val="0"/>
                <w:sz w:val="24"/>
                <w:szCs w:val="24"/>
                <w:lang w:val="en-US" w:eastAsia="zh-CN"/>
              </w:rPr>
              <w:t>2）</w:t>
            </w:r>
            <w:r>
              <w:rPr>
                <w:rFonts w:hint="eastAsia" w:ascii="Times New Roman" w:hAnsi="Times New Roman" w:eastAsia="宋体"/>
                <w:b w:val="0"/>
                <w:bCs w:val="0"/>
                <w:sz w:val="24"/>
                <w:szCs w:val="24"/>
              </w:rPr>
              <w:t>排土场引发泥石流风险防范措施施</w:t>
            </w:r>
          </w:p>
          <w:p w14:paraId="5EB46E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①</w:t>
            </w:r>
            <w:r>
              <w:rPr>
                <w:rFonts w:hint="eastAsia" w:ascii="Times New Roman" w:hAnsi="Times New Roman" w:eastAsia="宋体"/>
                <w:sz w:val="24"/>
                <w:szCs w:val="24"/>
              </w:rPr>
              <w:t>临时排土场堆场设计、生产运行、关闭时应按照《金属非金属矿山排土场安全生产规则》的要求进行，以防止排土场事故发生；</w:t>
            </w:r>
          </w:p>
          <w:p w14:paraId="488547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②</w:t>
            </w:r>
            <w:r>
              <w:rPr>
                <w:rFonts w:hint="eastAsia" w:ascii="Times New Roman" w:hAnsi="Times New Roman" w:eastAsia="宋体"/>
                <w:sz w:val="24"/>
                <w:szCs w:val="24"/>
              </w:rPr>
              <w:t>排土场周围应修筑可靠的排水设施拦截山坡汇水，堆场内平台应实施2%～3%的反坡，并在排土场平台修筑排水沟拦截平台表面山坡汇水；</w:t>
            </w:r>
          </w:p>
          <w:p w14:paraId="3743F5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③</w:t>
            </w:r>
            <w:r>
              <w:rPr>
                <w:rFonts w:hint="eastAsia" w:ascii="Times New Roman" w:hAnsi="Times New Roman" w:eastAsia="宋体"/>
                <w:sz w:val="24"/>
                <w:szCs w:val="24"/>
              </w:rPr>
              <w:t>汛期应对排土场挡渣墙进行巡视，发现问题应及时修复，防止连续暴雨后发生泥石流事故；</w:t>
            </w:r>
          </w:p>
          <w:p w14:paraId="462B3B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④</w:t>
            </w:r>
            <w:r>
              <w:rPr>
                <w:rFonts w:hint="eastAsia" w:ascii="Times New Roman" w:hAnsi="Times New Roman" w:eastAsia="宋体"/>
                <w:sz w:val="24"/>
                <w:szCs w:val="24"/>
              </w:rPr>
              <w:t>洪水过后应对排土场和排洪构筑物进行全面认真</w:t>
            </w:r>
            <w:r>
              <w:rPr>
                <w:rFonts w:hint="eastAsia"/>
                <w:sz w:val="24"/>
                <w:szCs w:val="24"/>
                <w:lang w:eastAsia="zh-CN"/>
              </w:rPr>
              <w:t>地</w:t>
            </w:r>
            <w:r>
              <w:rPr>
                <w:rFonts w:hint="eastAsia" w:ascii="Times New Roman" w:hAnsi="Times New Roman" w:eastAsia="宋体"/>
                <w:sz w:val="24"/>
                <w:szCs w:val="24"/>
              </w:rPr>
              <w:t>检查与清理。发现问题应及时修复；</w:t>
            </w:r>
          </w:p>
          <w:p w14:paraId="1B5F5A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⑤</w:t>
            </w:r>
            <w:r>
              <w:rPr>
                <w:rFonts w:hint="eastAsia" w:ascii="Times New Roman" w:hAnsi="Times New Roman" w:eastAsia="宋体"/>
                <w:sz w:val="24"/>
                <w:szCs w:val="24"/>
              </w:rPr>
              <w:t>排土场应制订相应的防震和抗震的应急预案，地震后，必须对排土场进行巡查和检测，及时修复和加固破坏部分，确保排土场及其设施的运行安全；</w:t>
            </w:r>
          </w:p>
          <w:p w14:paraId="4ED3EF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⑥</w:t>
            </w:r>
            <w:r>
              <w:rPr>
                <w:rFonts w:hint="eastAsia" w:ascii="Times New Roman" w:hAnsi="Times New Roman" w:eastAsia="宋体"/>
                <w:sz w:val="24"/>
                <w:szCs w:val="24"/>
              </w:rPr>
              <w:t>定期进行排土场稳定性安全检查，检查堆场变形、裂缝情况，检查排土场地基是否隆起。若出现不均匀沉降、裂缝时，应查明沉降量，裂缝的长度、宽度、走向等，判断危害程度。出现隆起、裂缝时，应查明范围和隆起高度等，判断危害程度。根据不同的危害程度，采取相应的安全防护措施；</w:t>
            </w:r>
          </w:p>
          <w:p w14:paraId="35BF6F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⑦</w:t>
            </w:r>
            <w:r>
              <w:rPr>
                <w:rFonts w:hint="eastAsia" w:ascii="Times New Roman" w:hAnsi="Times New Roman" w:eastAsia="宋体"/>
                <w:sz w:val="24"/>
                <w:szCs w:val="24"/>
              </w:rPr>
              <w:t>不得在排土场坡脚外围滚石安全距离范围内从事任何活动；</w:t>
            </w:r>
          </w:p>
          <w:p w14:paraId="478457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⑧</w:t>
            </w:r>
            <w:r>
              <w:rPr>
                <w:rFonts w:hint="eastAsia" w:ascii="Times New Roman" w:hAnsi="Times New Roman" w:eastAsia="宋体"/>
                <w:sz w:val="24"/>
                <w:szCs w:val="24"/>
              </w:rPr>
              <w:t>检查排土场排水构筑物与防洪安全，即构筑物有无变形、移位、损毁、淤堵，排水能力是否满足要求等。检查截洪沟断面尺寸，沿线山坡滑坡、塌方，护砌变形、破损、断裂和磨蚀，沟内物淤堵等。</w:t>
            </w:r>
          </w:p>
          <w:p w14:paraId="77F32F79">
            <w:pPr>
              <w:pStyle w:val="4"/>
              <w:bidi w:val="0"/>
              <w:rPr>
                <w:rFonts w:hint="default" w:ascii="Times New Roman" w:hAnsi="Times New Roman" w:eastAsia="宋体"/>
                <w:b/>
                <w:bCs/>
                <w:szCs w:val="24"/>
                <w:lang w:val="en-US" w:eastAsia="zh-CN"/>
              </w:rPr>
            </w:pPr>
            <w:r>
              <w:rPr>
                <w:rFonts w:hint="eastAsia"/>
                <w:lang w:val="en-US" w:eastAsia="zh-CN"/>
              </w:rPr>
              <w:t>8、环境管理监测计划</w:t>
            </w:r>
          </w:p>
          <w:p w14:paraId="5EDA07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环境监测是环境保护的基础工作，是执行环境保护法规、判断环境质量现状、评价环保设施效果及环境管理的重要手段。</w:t>
            </w:r>
          </w:p>
          <w:p w14:paraId="61BD6A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环境监测有利于监督企业环保设施的运行情况及污染的治理情况，以便能够及时发现环保设施运行中存在的问题，及时检修及维护，确保“三废”达标排放以及减少或杜绝事故排放。基于项目的规模及生产特征，以及环境监测人员较强的专业性等的考虑，企业应委托有资质的环境监测单位每年定期对污染源进行监测。</w:t>
            </w:r>
          </w:p>
          <w:p w14:paraId="5F0D2F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根据《排污单位自行监测技术指南 总则》（HJ819-2017），本项目运营期监测方案见</w:t>
            </w:r>
            <w:r>
              <w:rPr>
                <w:rFonts w:hint="eastAsia" w:ascii="Times New Roman" w:hAnsi="Times New Roman" w:eastAsia="宋体" w:cs="Times New Roman"/>
                <w:sz w:val="24"/>
                <w:szCs w:val="24"/>
                <w:lang w:val="en-US" w:eastAsia="zh-CN"/>
              </w:rPr>
              <w:t>下</w:t>
            </w:r>
            <w:r>
              <w:rPr>
                <w:rFonts w:hint="eastAsia" w:ascii="Times New Roman" w:hAnsi="Times New Roman" w:eastAsia="宋体" w:cs="Times New Roman"/>
                <w:sz w:val="24"/>
                <w:szCs w:val="24"/>
              </w:rPr>
              <w:t>表。</w:t>
            </w:r>
          </w:p>
          <w:p w14:paraId="2C7A7DDA">
            <w:pPr>
              <w:pStyle w:val="5"/>
              <w:bidi w:val="0"/>
            </w:pPr>
            <w:r>
              <w:t>表</w:t>
            </w:r>
            <w:r>
              <w:rPr>
                <w:rFonts w:hint="eastAsia"/>
                <w:lang w:val="en-US" w:eastAsia="zh-CN"/>
              </w:rPr>
              <w:t>5-5</w:t>
            </w:r>
            <w:r>
              <w:t xml:space="preserve"> </w:t>
            </w:r>
            <w:r>
              <w:rPr>
                <w:rFonts w:hint="eastAsia"/>
                <w:lang w:val="en-US" w:eastAsia="zh-CN"/>
              </w:rPr>
              <w:t xml:space="preserve"> 本项目</w:t>
            </w:r>
            <w:r>
              <w:t>运营期监测方案</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8"/>
              <w:gridCol w:w="960"/>
              <w:gridCol w:w="2743"/>
              <w:gridCol w:w="1109"/>
              <w:gridCol w:w="2379"/>
            </w:tblGrid>
            <w:tr w14:paraId="1C37D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tblHeader/>
              </w:trPr>
              <w:tc>
                <w:tcPr>
                  <w:tcW w:w="555" w:type="pct"/>
                  <w:tcBorders>
                    <w:tl2br w:val="nil"/>
                    <w:tr2bl w:val="nil"/>
                  </w:tcBorders>
                  <w:noWrap w:val="0"/>
                  <w:vAlign w:val="center"/>
                </w:tcPr>
                <w:p w14:paraId="4C5DFA9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bCs/>
                      <w:sz w:val="21"/>
                      <w:szCs w:val="21"/>
                    </w:rPr>
                  </w:pPr>
                  <w:r>
                    <w:rPr>
                      <w:rFonts w:ascii="Times New Roman" w:hAnsi="Times New Roman" w:eastAsia="宋体"/>
                      <w:b/>
                      <w:bCs/>
                      <w:sz w:val="21"/>
                      <w:szCs w:val="21"/>
                    </w:rPr>
                    <w:t>监测</w:t>
                  </w:r>
                </w:p>
                <w:p w14:paraId="7B1D41C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bCs/>
                      <w:sz w:val="21"/>
                      <w:szCs w:val="21"/>
                    </w:rPr>
                  </w:pPr>
                  <w:r>
                    <w:rPr>
                      <w:rFonts w:ascii="Times New Roman" w:hAnsi="Times New Roman" w:eastAsia="宋体"/>
                      <w:b/>
                      <w:bCs/>
                      <w:sz w:val="21"/>
                      <w:szCs w:val="21"/>
                    </w:rPr>
                    <w:t>对象</w:t>
                  </w:r>
                </w:p>
              </w:tc>
              <w:tc>
                <w:tcPr>
                  <w:tcW w:w="593" w:type="pct"/>
                  <w:tcBorders>
                    <w:tl2br w:val="nil"/>
                    <w:tr2bl w:val="nil"/>
                  </w:tcBorders>
                  <w:noWrap w:val="0"/>
                  <w:vAlign w:val="center"/>
                </w:tcPr>
                <w:p w14:paraId="43501E2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bCs/>
                      <w:sz w:val="21"/>
                      <w:szCs w:val="21"/>
                    </w:rPr>
                  </w:pPr>
                  <w:r>
                    <w:rPr>
                      <w:rFonts w:ascii="Times New Roman" w:hAnsi="Times New Roman" w:eastAsia="宋体"/>
                      <w:b/>
                      <w:bCs/>
                      <w:sz w:val="21"/>
                      <w:szCs w:val="21"/>
                    </w:rPr>
                    <w:t>监测</w:t>
                  </w:r>
                </w:p>
                <w:p w14:paraId="010830A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bCs/>
                      <w:sz w:val="21"/>
                      <w:szCs w:val="21"/>
                    </w:rPr>
                  </w:pPr>
                  <w:r>
                    <w:rPr>
                      <w:rFonts w:ascii="Times New Roman" w:hAnsi="Times New Roman" w:eastAsia="宋体"/>
                      <w:b/>
                      <w:bCs/>
                      <w:sz w:val="21"/>
                      <w:szCs w:val="21"/>
                    </w:rPr>
                    <w:t>项目</w:t>
                  </w:r>
                </w:p>
              </w:tc>
              <w:tc>
                <w:tcPr>
                  <w:tcW w:w="1695" w:type="pct"/>
                  <w:tcBorders>
                    <w:tl2br w:val="nil"/>
                    <w:tr2bl w:val="nil"/>
                  </w:tcBorders>
                  <w:noWrap w:val="0"/>
                  <w:vAlign w:val="center"/>
                </w:tcPr>
                <w:p w14:paraId="60A1506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bCs/>
                      <w:sz w:val="21"/>
                      <w:szCs w:val="21"/>
                    </w:rPr>
                  </w:pPr>
                  <w:r>
                    <w:rPr>
                      <w:rFonts w:ascii="Times New Roman" w:hAnsi="Times New Roman" w:eastAsia="宋体"/>
                      <w:b/>
                      <w:bCs/>
                      <w:sz w:val="21"/>
                      <w:szCs w:val="21"/>
                    </w:rPr>
                    <w:t>监测频率</w:t>
                  </w:r>
                </w:p>
              </w:tc>
              <w:tc>
                <w:tcPr>
                  <w:tcW w:w="685" w:type="pct"/>
                  <w:tcBorders>
                    <w:tl2br w:val="nil"/>
                    <w:tr2bl w:val="nil"/>
                  </w:tcBorders>
                  <w:noWrap w:val="0"/>
                  <w:vAlign w:val="center"/>
                </w:tcPr>
                <w:p w14:paraId="46F8B70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bCs/>
                      <w:sz w:val="21"/>
                      <w:szCs w:val="21"/>
                    </w:rPr>
                  </w:pPr>
                  <w:r>
                    <w:rPr>
                      <w:rFonts w:ascii="Times New Roman" w:hAnsi="Times New Roman" w:eastAsia="宋体"/>
                      <w:b/>
                      <w:bCs/>
                      <w:sz w:val="21"/>
                      <w:szCs w:val="21"/>
                    </w:rPr>
                    <w:t>监测地点</w:t>
                  </w:r>
                </w:p>
              </w:tc>
              <w:tc>
                <w:tcPr>
                  <w:tcW w:w="1470" w:type="pct"/>
                  <w:tcBorders>
                    <w:tl2br w:val="nil"/>
                    <w:tr2bl w:val="nil"/>
                  </w:tcBorders>
                  <w:noWrap w:val="0"/>
                  <w:vAlign w:val="center"/>
                </w:tcPr>
                <w:p w14:paraId="02C7842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b/>
                      <w:bCs/>
                      <w:sz w:val="21"/>
                      <w:szCs w:val="21"/>
                    </w:rPr>
                  </w:pPr>
                  <w:r>
                    <w:rPr>
                      <w:rFonts w:ascii="Times New Roman" w:hAnsi="Times New Roman" w:eastAsia="宋体"/>
                      <w:b/>
                      <w:bCs/>
                      <w:sz w:val="21"/>
                      <w:szCs w:val="21"/>
                    </w:rPr>
                    <w:t>执行标准</w:t>
                  </w:r>
                </w:p>
              </w:tc>
            </w:tr>
            <w:tr w14:paraId="400E9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555" w:type="pct"/>
                  <w:tcBorders>
                    <w:tl2br w:val="nil"/>
                    <w:tr2bl w:val="nil"/>
                  </w:tcBorders>
                  <w:noWrap w:val="0"/>
                  <w:vAlign w:val="center"/>
                </w:tcPr>
                <w:p w14:paraId="349004F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无组织</w:t>
                  </w:r>
                  <w:r>
                    <w:rPr>
                      <w:rFonts w:hint="eastAsia" w:ascii="Times New Roman" w:hAnsi="Times New Roman" w:eastAsia="宋体"/>
                      <w:sz w:val="21"/>
                      <w:szCs w:val="21"/>
                    </w:rPr>
                    <w:t>废气</w:t>
                  </w:r>
                </w:p>
              </w:tc>
              <w:tc>
                <w:tcPr>
                  <w:tcW w:w="593" w:type="pct"/>
                  <w:tcBorders>
                    <w:tl2br w:val="nil"/>
                    <w:tr2bl w:val="nil"/>
                  </w:tcBorders>
                  <w:noWrap w:val="0"/>
                  <w:vAlign w:val="center"/>
                </w:tcPr>
                <w:p w14:paraId="1024061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颗粒物</w:t>
                  </w:r>
                </w:p>
              </w:tc>
              <w:tc>
                <w:tcPr>
                  <w:tcW w:w="1695" w:type="pct"/>
                  <w:tcBorders>
                    <w:tl2br w:val="nil"/>
                    <w:tr2bl w:val="nil"/>
                  </w:tcBorders>
                  <w:noWrap w:val="0"/>
                  <w:vAlign w:val="center"/>
                </w:tcPr>
                <w:p w14:paraId="7B84C49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ascii="Times New Roman" w:hAnsi="Times New Roman" w:eastAsia="宋体"/>
                      <w:color w:val="000000"/>
                      <w:sz w:val="21"/>
                      <w:szCs w:val="21"/>
                    </w:rPr>
                    <w:t>每年</w:t>
                  </w:r>
                  <w:r>
                    <w:rPr>
                      <w:rFonts w:hint="eastAsia" w:ascii="Times New Roman" w:hAnsi="Times New Roman" w:eastAsia="宋体"/>
                      <w:color w:val="000000"/>
                      <w:sz w:val="21"/>
                      <w:szCs w:val="21"/>
                    </w:rPr>
                    <w:t>开采高峰期监测1次，</w:t>
                  </w:r>
                  <w:r>
                    <w:rPr>
                      <w:rFonts w:ascii="Times New Roman" w:hAnsi="Times New Roman" w:eastAsia="宋体"/>
                      <w:color w:val="000000"/>
                      <w:sz w:val="21"/>
                      <w:szCs w:val="21"/>
                    </w:rPr>
                    <w:t>每次监测连续监测2天</w:t>
                  </w:r>
                  <w:r>
                    <w:rPr>
                      <w:rFonts w:hint="eastAsia" w:ascii="Times New Roman" w:hAnsi="Times New Roman" w:eastAsia="宋体"/>
                      <w:color w:val="000000"/>
                      <w:sz w:val="21"/>
                      <w:szCs w:val="21"/>
                    </w:rPr>
                    <w:t>。</w:t>
                  </w:r>
                </w:p>
              </w:tc>
              <w:tc>
                <w:tcPr>
                  <w:tcW w:w="685" w:type="pct"/>
                  <w:tcBorders>
                    <w:tl2br w:val="nil"/>
                    <w:tr2bl w:val="nil"/>
                  </w:tcBorders>
                  <w:noWrap w:val="0"/>
                  <w:vAlign w:val="center"/>
                </w:tcPr>
                <w:p w14:paraId="6B68ACF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rPr>
                    <w:t>上</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下风向</w:t>
                  </w:r>
                </w:p>
              </w:tc>
              <w:tc>
                <w:tcPr>
                  <w:tcW w:w="1470" w:type="pct"/>
                  <w:tcBorders>
                    <w:tl2br w:val="nil"/>
                    <w:tr2bl w:val="nil"/>
                  </w:tcBorders>
                  <w:noWrap w:val="0"/>
                  <w:vAlign w:val="center"/>
                </w:tcPr>
                <w:p w14:paraId="0272D2C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《大气污染物综合排放标准》（GB16297-96）无组织排放限值</w:t>
                  </w:r>
                </w:p>
              </w:tc>
            </w:tr>
            <w:tr w14:paraId="6420D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5" w:type="pct"/>
                  <w:tcBorders>
                    <w:tl2br w:val="nil"/>
                    <w:tr2bl w:val="nil"/>
                  </w:tcBorders>
                  <w:noWrap w:val="0"/>
                  <w:vAlign w:val="center"/>
                </w:tcPr>
                <w:p w14:paraId="7D933CC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噪声</w:t>
                  </w:r>
                </w:p>
              </w:tc>
              <w:tc>
                <w:tcPr>
                  <w:tcW w:w="593" w:type="pct"/>
                  <w:tcBorders>
                    <w:tl2br w:val="nil"/>
                    <w:tr2bl w:val="nil"/>
                  </w:tcBorders>
                  <w:noWrap w:val="0"/>
                  <w:vAlign w:val="center"/>
                </w:tcPr>
                <w:p w14:paraId="7E855DD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等效A声级</w:t>
                  </w:r>
                </w:p>
              </w:tc>
              <w:tc>
                <w:tcPr>
                  <w:tcW w:w="1695" w:type="pct"/>
                  <w:tcBorders>
                    <w:tl2br w:val="nil"/>
                    <w:tr2bl w:val="nil"/>
                  </w:tcBorders>
                  <w:noWrap w:val="0"/>
                  <w:vAlign w:val="center"/>
                </w:tcPr>
                <w:p w14:paraId="61E8770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ascii="Times New Roman" w:hAnsi="Times New Roman" w:eastAsia="宋体"/>
                      <w:color w:val="000000"/>
                      <w:sz w:val="21"/>
                      <w:szCs w:val="21"/>
                    </w:rPr>
                    <w:t>每年</w:t>
                  </w:r>
                  <w:r>
                    <w:rPr>
                      <w:rFonts w:hint="eastAsia" w:ascii="Times New Roman" w:hAnsi="Times New Roman" w:eastAsia="宋体"/>
                      <w:color w:val="000000"/>
                      <w:sz w:val="21"/>
                      <w:szCs w:val="21"/>
                    </w:rPr>
                    <w:t>开采高峰期监测1次，</w:t>
                  </w:r>
                  <w:r>
                    <w:rPr>
                      <w:rFonts w:ascii="Times New Roman" w:hAnsi="Times New Roman" w:eastAsia="宋体"/>
                      <w:color w:val="000000"/>
                      <w:sz w:val="21"/>
                      <w:szCs w:val="21"/>
                    </w:rPr>
                    <w:t>每次监测连续监测2天</w:t>
                  </w:r>
                  <w:r>
                    <w:rPr>
                      <w:rFonts w:hint="eastAsia" w:ascii="Times New Roman" w:hAnsi="Times New Roman" w:eastAsia="宋体"/>
                      <w:color w:val="000000"/>
                      <w:sz w:val="21"/>
                      <w:szCs w:val="21"/>
                    </w:rPr>
                    <w:t>。</w:t>
                  </w:r>
                </w:p>
              </w:tc>
              <w:tc>
                <w:tcPr>
                  <w:tcW w:w="685" w:type="pct"/>
                  <w:tcBorders>
                    <w:tl2br w:val="nil"/>
                    <w:tr2bl w:val="nil"/>
                  </w:tcBorders>
                  <w:noWrap w:val="0"/>
                  <w:vAlign w:val="center"/>
                </w:tcPr>
                <w:p w14:paraId="15E4256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矿区四周</w:t>
                  </w:r>
                </w:p>
              </w:tc>
              <w:tc>
                <w:tcPr>
                  <w:tcW w:w="1470" w:type="pct"/>
                  <w:tcBorders>
                    <w:tl2br w:val="nil"/>
                    <w:tr2bl w:val="nil"/>
                  </w:tcBorders>
                  <w:noWrap w:val="0"/>
                  <w:vAlign w:val="center"/>
                </w:tcPr>
                <w:p w14:paraId="50B50AF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r>
                    <w:rPr>
                      <w:rFonts w:ascii="Times New Roman" w:hAnsi="Times New Roman" w:eastAsia="宋体"/>
                      <w:bCs/>
                      <w:sz w:val="21"/>
                      <w:szCs w:val="21"/>
                    </w:rPr>
                    <w:t>《</w:t>
                  </w:r>
                  <w:r>
                    <w:rPr>
                      <w:rFonts w:ascii="Times New Roman" w:hAnsi="Times New Roman" w:eastAsia="宋体"/>
                      <w:bCs/>
                      <w:sz w:val="21"/>
                      <w:szCs w:val="21"/>
                    </w:rPr>
                    <w:fldChar w:fldCharType="begin"/>
                  </w:r>
                  <w:r>
                    <w:rPr>
                      <w:rFonts w:ascii="Times New Roman" w:hAnsi="Times New Roman" w:eastAsia="宋体"/>
                      <w:bCs/>
                      <w:sz w:val="21"/>
                      <w:szCs w:val="21"/>
                    </w:rPr>
                    <w:instrText xml:space="preserve"> HYPERLINK "https://www.baidu.com/link?url=ERQIDVRdU7fplh2CgwU2Ak2j2qSCcIZUbe3aHe1VhrqEg7lC7i-QnCnZkHLCqqNL0UScbsi9KUcO8Ni6a3pjdt479ttFEmIYj8eI3Hre8TO&amp;wd=&amp;eqid=8fac60f00003783d0000000558428571" \t "_blank" </w:instrText>
                  </w:r>
                  <w:r>
                    <w:rPr>
                      <w:rFonts w:ascii="Times New Roman" w:hAnsi="Times New Roman" w:eastAsia="宋体"/>
                      <w:bCs/>
                      <w:sz w:val="21"/>
                      <w:szCs w:val="21"/>
                    </w:rPr>
                    <w:fldChar w:fldCharType="separate"/>
                  </w:r>
                  <w:r>
                    <w:rPr>
                      <w:rFonts w:hint="eastAsia" w:ascii="Times New Roman" w:hAnsi="Times New Roman" w:eastAsia="宋体"/>
                      <w:bCs/>
                      <w:sz w:val="21"/>
                      <w:szCs w:val="21"/>
                    </w:rPr>
                    <w:t>工业企业厂界环境噪声排放标准</w:t>
                  </w:r>
                  <w:r>
                    <w:rPr>
                      <w:rFonts w:ascii="Times New Roman" w:hAnsi="Times New Roman" w:eastAsia="宋体"/>
                      <w:bCs/>
                      <w:sz w:val="21"/>
                      <w:szCs w:val="21"/>
                    </w:rPr>
                    <w:fldChar w:fldCharType="end"/>
                  </w:r>
                  <w:r>
                    <w:rPr>
                      <w:rFonts w:ascii="Times New Roman" w:hAnsi="Times New Roman" w:eastAsia="宋体"/>
                      <w:bCs/>
                      <w:sz w:val="21"/>
                      <w:szCs w:val="21"/>
                    </w:rPr>
                    <w:t>》</w:t>
                  </w:r>
                  <w:r>
                    <w:rPr>
                      <w:rFonts w:hint="eastAsia" w:ascii="Times New Roman" w:hAnsi="Times New Roman" w:eastAsia="宋体"/>
                      <w:bCs/>
                      <w:sz w:val="21"/>
                      <w:szCs w:val="21"/>
                      <w:lang w:eastAsia="zh-CN"/>
                    </w:rPr>
                    <w:t>（</w:t>
                  </w:r>
                  <w:r>
                    <w:rPr>
                      <w:rFonts w:ascii="Times New Roman" w:hAnsi="Times New Roman" w:eastAsia="宋体"/>
                      <w:bCs/>
                      <w:sz w:val="21"/>
                      <w:szCs w:val="21"/>
                    </w:rPr>
                    <w:t>GB</w:t>
                  </w:r>
                  <w:r>
                    <w:rPr>
                      <w:rFonts w:hint="eastAsia" w:ascii="Times New Roman" w:hAnsi="Times New Roman" w:eastAsia="宋体"/>
                      <w:bCs/>
                      <w:sz w:val="21"/>
                      <w:szCs w:val="21"/>
                    </w:rPr>
                    <w:t>12348-2008</w:t>
                  </w:r>
                  <w:r>
                    <w:rPr>
                      <w:rFonts w:hint="eastAsia" w:ascii="Times New Roman" w:hAnsi="Times New Roman" w:eastAsia="宋体"/>
                      <w:bCs/>
                      <w:sz w:val="21"/>
                      <w:szCs w:val="21"/>
                      <w:lang w:eastAsia="zh-CN"/>
                    </w:rPr>
                    <w:t>）</w:t>
                  </w:r>
                  <w:r>
                    <w:rPr>
                      <w:rFonts w:hint="eastAsia" w:ascii="Times New Roman" w:hAnsi="Times New Roman" w:eastAsia="宋体"/>
                      <w:bCs/>
                      <w:sz w:val="21"/>
                      <w:szCs w:val="21"/>
                    </w:rPr>
                    <w:t>中</w:t>
                  </w:r>
                  <w:r>
                    <w:rPr>
                      <w:rFonts w:hint="eastAsia"/>
                      <w:bCs/>
                      <w:sz w:val="21"/>
                      <w:szCs w:val="21"/>
                      <w:lang w:val="en-US" w:eastAsia="zh-CN"/>
                    </w:rPr>
                    <w:t>2</w:t>
                  </w:r>
                  <w:r>
                    <w:rPr>
                      <w:rFonts w:hint="eastAsia" w:ascii="Times New Roman" w:hAnsi="Times New Roman" w:eastAsia="宋体"/>
                      <w:bCs/>
                      <w:sz w:val="21"/>
                      <w:szCs w:val="21"/>
                    </w:rPr>
                    <w:t>类标准限值要求</w:t>
                  </w:r>
                </w:p>
              </w:tc>
            </w:tr>
          </w:tbl>
          <w:p w14:paraId="0BFF74BF">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sz w:val="24"/>
                <w:szCs w:val="24"/>
                <w:lang w:val="en-US" w:eastAsia="zh-CN"/>
              </w:rPr>
            </w:pPr>
          </w:p>
        </w:tc>
      </w:tr>
      <w:tr w14:paraId="56B1C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9" w:type="dxa"/>
            <w:noWrap w:val="0"/>
            <w:vAlign w:val="center"/>
          </w:tcPr>
          <w:p w14:paraId="64EB46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bCs/>
                <w:spacing w:val="10"/>
                <w:szCs w:val="21"/>
              </w:rPr>
            </w:pPr>
            <w:r>
              <w:rPr>
                <w:rFonts w:hint="eastAsia" w:ascii="宋体" w:hAnsi="宋体"/>
                <w:bCs/>
                <w:szCs w:val="21"/>
              </w:rPr>
              <w:t>其他</w:t>
            </w:r>
          </w:p>
        </w:tc>
        <w:tc>
          <w:tcPr>
            <w:tcW w:w="8308" w:type="dxa"/>
            <w:noWrap w:val="0"/>
            <w:vAlign w:val="top"/>
          </w:tcPr>
          <w:p w14:paraId="7BA15F12">
            <w:pPr>
              <w:pStyle w:val="4"/>
              <w:bidi w:val="0"/>
              <w:rPr>
                <w:rFonts w:hint="default"/>
                <w:lang w:val="en-US" w:eastAsia="zh-CN"/>
              </w:rPr>
            </w:pPr>
            <w:r>
              <w:rPr>
                <w:rFonts w:hint="eastAsia"/>
                <w:lang w:val="en-US" w:eastAsia="zh-CN"/>
              </w:rPr>
              <w:t>1、环境保护竣工验收</w:t>
            </w:r>
          </w:p>
          <w:p w14:paraId="716D16EF">
            <w:pPr>
              <w:pageBreakBefore w:val="0"/>
              <w:kinsoku/>
              <w:wordWrap/>
              <w:overflowPunct/>
              <w:topLinePunct w:val="0"/>
              <w:bidi w:val="0"/>
              <w:adjustRightInd w:val="0"/>
              <w:snapToGrid w:val="0"/>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bCs/>
                <w:sz w:val="24"/>
              </w:rPr>
              <w:t>根据《建设项目环境保护管理条例》（2017年10月1日）中有关规定，建设项目必须与主体工程同时设计、同时施工、同时投产使用，项目建设以前，建设单位应指派专人负责环境保护的实施，并遵照环境影响报告所提出的防治措施制定环境保护计划，负责项目运行期间环境保护措施的落实。项目运行生产后建设单位自主或委托第三方编制项目竣工环境保护验收调查报告并邀请建设单位、施工单位、设计单位、环评单位及相关专业人员组织召开项目竣工验收评审会，公开验收报告，公示期限不得少于20个工作日，验收报告公示期满后5个工作日内，建设单位应登录全国建设项目竣工环境保护验收信息平台，填报建设项目基本信息、环境保护设施验收情况等相关信息，环境保护主管部门对上述信息予以公开，验收期限最长为1年</w:t>
            </w:r>
            <w:r>
              <w:rPr>
                <w:rFonts w:hint="eastAsia" w:ascii="Times New Roman" w:hAnsi="Times New Roman" w:eastAsia="宋体"/>
                <w:bCs/>
                <w:sz w:val="24"/>
                <w:lang w:eastAsia="zh-CN"/>
              </w:rPr>
              <w:t>。</w:t>
            </w:r>
            <w:r>
              <w:rPr>
                <w:rFonts w:hint="eastAsia" w:ascii="Times New Roman" w:hAnsi="Times New Roman" w:eastAsia="宋体"/>
                <w:bCs/>
                <w:sz w:val="24"/>
              </w:rPr>
              <w:t>本项目</w:t>
            </w:r>
            <w:r>
              <w:rPr>
                <w:rFonts w:ascii="Times New Roman" w:hAnsi="Times New Roman" w:eastAsia="宋体"/>
                <w:bCs/>
                <w:sz w:val="24"/>
              </w:rPr>
              <w:t>环保验收内容见</w:t>
            </w:r>
            <w:r>
              <w:rPr>
                <w:rFonts w:hint="eastAsia" w:ascii="Times New Roman" w:hAnsi="Times New Roman" w:eastAsia="宋体"/>
                <w:bCs/>
                <w:sz w:val="24"/>
                <w:lang w:val="en-US" w:eastAsia="zh-CN"/>
              </w:rPr>
              <w:t>下</w:t>
            </w:r>
            <w:r>
              <w:rPr>
                <w:rFonts w:hint="eastAsia" w:ascii="Times New Roman" w:hAnsi="Times New Roman" w:eastAsia="宋体"/>
                <w:bCs/>
                <w:sz w:val="24"/>
              </w:rPr>
              <w:t>表。</w:t>
            </w:r>
          </w:p>
          <w:p w14:paraId="3E8CC054">
            <w:pPr>
              <w:pStyle w:val="5"/>
              <w:bidi w:val="0"/>
              <w:rPr>
                <w:rFonts w:hint="default"/>
              </w:rPr>
            </w:pPr>
            <w:r>
              <w:rPr>
                <w:rFonts w:hint="default"/>
              </w:rPr>
              <w:t>表</w:t>
            </w:r>
            <w:r>
              <w:rPr>
                <w:rFonts w:hint="eastAsia"/>
                <w:lang w:val="en-US" w:eastAsia="zh-CN"/>
              </w:rPr>
              <w:t>5-5</w:t>
            </w:r>
            <w:r>
              <w:rPr>
                <w:rFonts w:hint="default"/>
              </w:rPr>
              <w:t xml:space="preserve">  项目竣工环保验收一览表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46"/>
              <w:gridCol w:w="4051"/>
              <w:gridCol w:w="1932"/>
            </w:tblGrid>
            <w:tr w14:paraId="17DC0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noWrap w:val="0"/>
                  <w:vAlign w:val="center"/>
                </w:tcPr>
                <w:p w14:paraId="73A4A2DD">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类别</w:t>
                  </w:r>
                </w:p>
              </w:tc>
              <w:tc>
                <w:tcPr>
                  <w:tcW w:w="893" w:type="pct"/>
                  <w:tcBorders>
                    <w:tl2br w:val="nil"/>
                    <w:tr2bl w:val="nil"/>
                  </w:tcBorders>
                  <w:noWrap w:val="0"/>
                  <w:vAlign w:val="center"/>
                </w:tcPr>
                <w:p w14:paraId="0B0668C8">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b/>
                      <w:color w:val="000000"/>
                      <w:sz w:val="21"/>
                      <w:szCs w:val="21"/>
                      <w:highlight w:val="none"/>
                      <w:lang w:eastAsia="zh-CN"/>
                    </w:rPr>
                  </w:pPr>
                  <w:r>
                    <w:rPr>
                      <w:rFonts w:hint="default" w:ascii="Times New Roman" w:hAnsi="Times New Roman" w:eastAsia="宋体" w:cs="Times New Roman"/>
                      <w:b/>
                      <w:color w:val="000000"/>
                      <w:sz w:val="21"/>
                      <w:szCs w:val="21"/>
                      <w:highlight w:val="none"/>
                      <w:lang w:eastAsia="zh-CN"/>
                    </w:rPr>
                    <w:t>污染源</w:t>
                  </w:r>
                </w:p>
              </w:tc>
              <w:tc>
                <w:tcPr>
                  <w:tcW w:w="2504" w:type="pct"/>
                  <w:tcBorders>
                    <w:tl2br w:val="nil"/>
                    <w:tr2bl w:val="nil"/>
                  </w:tcBorders>
                  <w:noWrap w:val="0"/>
                  <w:vAlign w:val="center"/>
                </w:tcPr>
                <w:p w14:paraId="1A2FDFD1">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验收内容</w:t>
                  </w:r>
                </w:p>
              </w:tc>
              <w:tc>
                <w:tcPr>
                  <w:tcW w:w="1194" w:type="pct"/>
                  <w:tcBorders>
                    <w:tl2br w:val="nil"/>
                    <w:tr2bl w:val="nil"/>
                  </w:tcBorders>
                  <w:noWrap w:val="0"/>
                  <w:vAlign w:val="center"/>
                </w:tcPr>
                <w:p w14:paraId="2BD4922C">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验收标准</w:t>
                  </w:r>
                </w:p>
              </w:tc>
            </w:tr>
            <w:tr w14:paraId="568B8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07" w:type="pct"/>
                  <w:vMerge w:val="restart"/>
                  <w:tcBorders>
                    <w:tl2br w:val="nil"/>
                    <w:tr2bl w:val="nil"/>
                  </w:tcBorders>
                  <w:noWrap w:val="0"/>
                  <w:vAlign w:val="center"/>
                </w:tcPr>
                <w:p w14:paraId="7C988EC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废气</w:t>
                  </w:r>
                </w:p>
              </w:tc>
              <w:tc>
                <w:tcPr>
                  <w:tcW w:w="893" w:type="pct"/>
                  <w:tcBorders>
                    <w:tl2br w:val="nil"/>
                    <w:tr2bl w:val="nil"/>
                  </w:tcBorders>
                  <w:noWrap w:val="0"/>
                  <w:vAlign w:val="center"/>
                </w:tcPr>
                <w:p w14:paraId="2974156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表土剥离、</w:t>
                  </w:r>
                  <w:r>
                    <w:rPr>
                      <w:rFonts w:hint="default" w:ascii="Times New Roman" w:hAnsi="Times New Roman" w:eastAsia="宋体" w:cs="Times New Roman"/>
                      <w:color w:val="000000"/>
                      <w:sz w:val="21"/>
                      <w:szCs w:val="21"/>
                      <w:lang w:eastAsia="zh-CN"/>
                    </w:rPr>
                    <w:t>开采粉尘</w:t>
                  </w:r>
                </w:p>
              </w:tc>
              <w:tc>
                <w:tcPr>
                  <w:tcW w:w="2504" w:type="pct"/>
                  <w:tcBorders>
                    <w:tl2br w:val="nil"/>
                    <w:tr2bl w:val="nil"/>
                  </w:tcBorders>
                  <w:noWrap w:val="0"/>
                  <w:vAlign w:val="center"/>
                </w:tcPr>
                <w:p w14:paraId="6972365D">
                  <w:pPr>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设置洒水车</w:t>
                  </w:r>
                  <w:r>
                    <w:rPr>
                      <w:rFonts w:hint="default" w:ascii="Times New Roman" w:hAnsi="Times New Roman" w:eastAsia="宋体" w:cs="Times New Roman"/>
                      <w:color w:val="000000"/>
                      <w:sz w:val="21"/>
                      <w:szCs w:val="21"/>
                      <w:lang w:val="en-US" w:eastAsia="zh-CN"/>
                    </w:rPr>
                    <w:t>1台</w:t>
                  </w:r>
                  <w:r>
                    <w:rPr>
                      <w:rFonts w:hint="default" w:ascii="Times New Roman" w:hAnsi="Times New Roman" w:eastAsia="宋体" w:cs="Times New Roman"/>
                      <w:color w:val="000000"/>
                      <w:sz w:val="21"/>
                      <w:szCs w:val="21"/>
                      <w:lang w:eastAsia="zh-CN"/>
                    </w:rPr>
                    <w:t>，洒</w:t>
                  </w:r>
                  <w:r>
                    <w:rPr>
                      <w:rFonts w:hint="default" w:ascii="Times New Roman" w:hAnsi="Times New Roman" w:eastAsia="宋体" w:cs="Times New Roman"/>
                      <w:color w:val="FF0000"/>
                      <w:sz w:val="21"/>
                      <w:szCs w:val="21"/>
                      <w:highlight w:val="none"/>
                      <w:lang w:eastAsia="zh-CN"/>
                    </w:rPr>
                    <w:t>水降尘</w:t>
                  </w:r>
                  <w:r>
                    <w:rPr>
                      <w:rFonts w:hint="eastAsia"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雾炮</w:t>
                  </w:r>
                  <w:r>
                    <w:rPr>
                      <w:rFonts w:hint="eastAsia" w:cs="Times New Roman"/>
                      <w:color w:val="FF0000"/>
                      <w:sz w:val="21"/>
                      <w:szCs w:val="21"/>
                      <w:highlight w:val="none"/>
                      <w:lang w:val="en-US" w:eastAsia="zh-CN"/>
                    </w:rPr>
                    <w:t>机定点喷雾降尘</w:t>
                  </w:r>
                </w:p>
              </w:tc>
              <w:tc>
                <w:tcPr>
                  <w:tcW w:w="1194" w:type="pct"/>
                  <w:vMerge w:val="restart"/>
                  <w:tcBorders>
                    <w:tl2br w:val="nil"/>
                    <w:tr2bl w:val="nil"/>
                  </w:tcBorders>
                  <w:noWrap w:val="0"/>
                  <w:vAlign w:val="center"/>
                </w:tcPr>
                <w:p w14:paraId="3A8C27C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rPr>
                    <w:t>满足《大气污染物综合排放标准》（GB16297-1996）表2中的</w:t>
                  </w:r>
                  <w:r>
                    <w:rPr>
                      <w:rFonts w:hint="default" w:ascii="Times New Roman" w:hAnsi="Times New Roman" w:eastAsia="宋体" w:cs="Times New Roman"/>
                      <w:color w:val="000000"/>
                      <w:sz w:val="21"/>
                      <w:szCs w:val="21"/>
                      <w:lang w:val="en-US" w:eastAsia="zh-CN"/>
                    </w:rPr>
                    <w:t>无组织</w:t>
                  </w:r>
                  <w:r>
                    <w:rPr>
                      <w:rFonts w:hint="default" w:ascii="Times New Roman" w:hAnsi="Times New Roman" w:eastAsia="宋体" w:cs="Times New Roman"/>
                      <w:color w:val="000000"/>
                      <w:sz w:val="21"/>
                      <w:szCs w:val="21"/>
                    </w:rPr>
                    <w:t>颗粒物最高允许排放浓度的要求</w:t>
                  </w:r>
                </w:p>
              </w:tc>
            </w:tr>
            <w:tr w14:paraId="7F039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07" w:type="pct"/>
                  <w:vMerge w:val="continue"/>
                  <w:tcBorders>
                    <w:tl2br w:val="nil"/>
                    <w:tr2bl w:val="nil"/>
                  </w:tcBorders>
                  <w:noWrap w:val="0"/>
                  <w:vAlign w:val="center"/>
                </w:tcPr>
                <w:p w14:paraId="2A01201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rPr>
                  </w:pPr>
                </w:p>
              </w:tc>
              <w:tc>
                <w:tcPr>
                  <w:tcW w:w="893" w:type="pct"/>
                  <w:tcBorders>
                    <w:tl2br w:val="nil"/>
                    <w:tr2bl w:val="nil"/>
                  </w:tcBorders>
                  <w:noWrap w:val="0"/>
                  <w:vAlign w:val="center"/>
                </w:tcPr>
                <w:p w14:paraId="6110CC2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道路运输</w:t>
                  </w:r>
                </w:p>
              </w:tc>
              <w:tc>
                <w:tcPr>
                  <w:tcW w:w="2504" w:type="pct"/>
                  <w:tcBorders>
                    <w:tl2br w:val="nil"/>
                    <w:tr2bl w:val="nil"/>
                  </w:tcBorders>
                  <w:noWrap w:val="0"/>
                  <w:vAlign w:val="center"/>
                </w:tcPr>
                <w:p w14:paraId="0C678955">
                  <w:pPr>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运输车辆</w:t>
                  </w:r>
                  <w:r>
                    <w:rPr>
                      <w:rFonts w:hint="default" w:ascii="Times New Roman" w:hAnsi="Times New Roman" w:eastAsia="宋体" w:cs="Times New Roman"/>
                      <w:color w:val="000000"/>
                      <w:sz w:val="21"/>
                      <w:szCs w:val="21"/>
                      <w:lang w:val="en-US" w:eastAsia="zh-CN"/>
                    </w:rPr>
                    <w:t>采取篷布覆盖</w:t>
                  </w:r>
                  <w:r>
                    <w:rPr>
                      <w:rFonts w:hint="default" w:ascii="Times New Roman" w:hAnsi="Times New Roman" w:eastAsia="宋体" w:cs="Times New Roman"/>
                      <w:color w:val="000000"/>
                      <w:sz w:val="21"/>
                      <w:szCs w:val="21"/>
                      <w:lang w:eastAsia="zh-CN"/>
                    </w:rPr>
                    <w:t>；对道路进行洒水降尘；</w:t>
                  </w:r>
                  <w:r>
                    <w:rPr>
                      <w:rFonts w:hint="eastAsia" w:ascii="Times New Roman" w:hAnsi="Times New Roman" w:eastAsia="宋体" w:cs="Times New Roman"/>
                      <w:color w:val="000000"/>
                      <w:sz w:val="21"/>
                      <w:szCs w:val="21"/>
                      <w:lang w:val="en-US" w:eastAsia="zh-CN"/>
                    </w:rPr>
                    <w:t>设置</w:t>
                  </w:r>
                  <w:r>
                    <w:rPr>
                      <w:rFonts w:hint="default" w:ascii="Times New Roman" w:hAnsi="Times New Roman" w:eastAsia="宋体" w:cs="Times New Roman"/>
                      <w:color w:val="000000"/>
                      <w:sz w:val="21"/>
                      <w:szCs w:val="21"/>
                      <w:lang w:val="en-US" w:eastAsia="zh-CN"/>
                    </w:rPr>
                    <w:t>车辆冲洗</w:t>
                  </w:r>
                  <w:r>
                    <w:rPr>
                      <w:rFonts w:hint="eastAsia" w:ascii="Times New Roman" w:hAnsi="Times New Roman" w:eastAsia="宋体" w:cs="Times New Roman"/>
                      <w:color w:val="000000"/>
                      <w:sz w:val="21"/>
                      <w:szCs w:val="21"/>
                      <w:lang w:val="en-US" w:eastAsia="zh-CN"/>
                    </w:rPr>
                    <w:t>平台</w:t>
                  </w:r>
                  <w:r>
                    <w:rPr>
                      <w:rFonts w:hint="eastAsia" w:cs="Times New Roman"/>
                      <w:color w:val="000000"/>
                      <w:sz w:val="21"/>
                      <w:szCs w:val="21"/>
                      <w:lang w:val="en-US" w:eastAsia="zh-CN"/>
                    </w:rPr>
                    <w:t>，进出车辆冲洗</w:t>
                  </w:r>
                </w:p>
              </w:tc>
              <w:tc>
                <w:tcPr>
                  <w:tcW w:w="1194" w:type="pct"/>
                  <w:vMerge w:val="continue"/>
                  <w:tcBorders>
                    <w:tl2br w:val="nil"/>
                    <w:tr2bl w:val="nil"/>
                  </w:tcBorders>
                  <w:noWrap w:val="0"/>
                  <w:vAlign w:val="center"/>
                </w:tcPr>
                <w:p w14:paraId="07B4CEA6">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p>
              </w:tc>
            </w:tr>
            <w:tr w14:paraId="66C21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07" w:type="pct"/>
                  <w:vMerge w:val="continue"/>
                  <w:tcBorders>
                    <w:tl2br w:val="nil"/>
                    <w:tr2bl w:val="nil"/>
                  </w:tcBorders>
                  <w:noWrap w:val="0"/>
                  <w:vAlign w:val="center"/>
                </w:tcPr>
                <w:p w14:paraId="771B268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rPr>
                  </w:pPr>
                </w:p>
              </w:tc>
              <w:tc>
                <w:tcPr>
                  <w:tcW w:w="893" w:type="pct"/>
                  <w:tcBorders>
                    <w:tl2br w:val="nil"/>
                    <w:tr2bl w:val="nil"/>
                  </w:tcBorders>
                  <w:noWrap w:val="0"/>
                  <w:vAlign w:val="center"/>
                </w:tcPr>
                <w:p w14:paraId="4DF1C1B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加工</w:t>
                  </w:r>
                  <w:r>
                    <w:rPr>
                      <w:rFonts w:hint="eastAsia" w:cs="Times New Roman"/>
                      <w:color w:val="FF0000"/>
                      <w:sz w:val="21"/>
                      <w:szCs w:val="21"/>
                      <w:highlight w:val="none"/>
                      <w:lang w:val="en-US" w:eastAsia="zh-CN"/>
                    </w:rPr>
                    <w:t>区</w:t>
                  </w:r>
                  <w:r>
                    <w:rPr>
                      <w:rFonts w:hint="eastAsia" w:ascii="Times New Roman" w:hAnsi="Times New Roman" w:eastAsia="宋体" w:cs="Times New Roman"/>
                      <w:color w:val="FF0000"/>
                      <w:sz w:val="21"/>
                      <w:szCs w:val="21"/>
                      <w:highlight w:val="none"/>
                      <w:lang w:val="en-US" w:eastAsia="zh-CN"/>
                    </w:rPr>
                    <w:t>车间</w:t>
                  </w:r>
                </w:p>
              </w:tc>
              <w:tc>
                <w:tcPr>
                  <w:tcW w:w="2504" w:type="pct"/>
                  <w:tcBorders>
                    <w:tl2br w:val="nil"/>
                    <w:tr2bl w:val="nil"/>
                  </w:tcBorders>
                  <w:noWrap w:val="0"/>
                  <w:vAlign w:val="center"/>
                </w:tcPr>
                <w:p w14:paraId="1358FC02">
                  <w:pPr>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生产加工车间、</w:t>
                  </w:r>
                  <w:r>
                    <w:rPr>
                      <w:rFonts w:hint="eastAsia" w:ascii="Times New Roman" w:hAnsi="Times New Roman" w:eastAsia="宋体" w:cs="Times New Roman"/>
                      <w:color w:val="FF0000"/>
                      <w:sz w:val="21"/>
                      <w:szCs w:val="21"/>
                      <w:highlight w:val="none"/>
                      <w:lang w:val="en-US" w:eastAsia="zh-CN"/>
                    </w:rPr>
                    <w:t>破碎、筛分车间设置</w:t>
                  </w:r>
                  <w:r>
                    <w:rPr>
                      <w:rFonts w:hint="eastAsia" w:cs="Times New Roman"/>
                      <w:color w:val="FF0000"/>
                      <w:sz w:val="21"/>
                      <w:szCs w:val="21"/>
                      <w:highlight w:val="none"/>
                      <w:lang w:val="en-US" w:eastAsia="zh-CN"/>
                    </w:rPr>
                    <w:t>为封闭车间</w:t>
                  </w:r>
                  <w:r>
                    <w:rPr>
                      <w:rFonts w:hint="eastAsia" w:ascii="Times New Roman" w:hAnsi="Times New Roman" w:eastAsia="宋体" w:cs="Times New Roman"/>
                      <w:color w:val="FF0000"/>
                      <w:sz w:val="21"/>
                      <w:szCs w:val="21"/>
                      <w:highlight w:val="none"/>
                      <w:lang w:val="en-US" w:eastAsia="zh-CN"/>
                    </w:rPr>
                    <w:t>，破碎机及皮带输送封闭，</w:t>
                  </w:r>
                  <w:r>
                    <w:rPr>
                      <w:rFonts w:hint="eastAsia"/>
                      <w:color w:val="FF0000"/>
                      <w:sz w:val="21"/>
                      <w:szCs w:val="21"/>
                      <w:highlight w:val="none"/>
                      <w:lang w:val="en-US" w:eastAsia="zh-CN"/>
                    </w:rPr>
                    <w:t>车间顶部设置喷淋头</w:t>
                  </w:r>
                  <w:r>
                    <w:rPr>
                      <w:rFonts w:hint="eastAsia" w:ascii="Times New Roman" w:hAnsi="Times New Roman" w:eastAsia="宋体"/>
                      <w:color w:val="FF0000"/>
                      <w:sz w:val="21"/>
                      <w:szCs w:val="21"/>
                      <w:highlight w:val="none"/>
                      <w:lang w:val="en-US" w:eastAsia="zh-CN"/>
                    </w:rPr>
                    <w:t>，</w:t>
                  </w:r>
                  <w:r>
                    <w:rPr>
                      <w:rFonts w:hint="eastAsia" w:ascii="Times New Roman" w:hAnsi="Times New Roman" w:eastAsia="宋体" w:cs="Times New Roman"/>
                      <w:color w:val="FF0000"/>
                      <w:sz w:val="21"/>
                      <w:szCs w:val="21"/>
                      <w:highlight w:val="none"/>
                      <w:lang w:val="en-US" w:eastAsia="zh-CN"/>
                    </w:rPr>
                    <w:t>洒水降尘</w:t>
                  </w:r>
                </w:p>
              </w:tc>
              <w:tc>
                <w:tcPr>
                  <w:tcW w:w="1194" w:type="pct"/>
                  <w:vMerge w:val="continue"/>
                  <w:tcBorders>
                    <w:tl2br w:val="nil"/>
                    <w:tr2bl w:val="nil"/>
                  </w:tcBorders>
                  <w:noWrap w:val="0"/>
                  <w:vAlign w:val="center"/>
                </w:tcPr>
                <w:p w14:paraId="118BF114">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p>
              </w:tc>
            </w:tr>
            <w:tr w14:paraId="33287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07" w:type="pct"/>
                  <w:vMerge w:val="continue"/>
                  <w:tcBorders>
                    <w:tl2br w:val="nil"/>
                    <w:tr2bl w:val="nil"/>
                  </w:tcBorders>
                  <w:noWrap w:val="0"/>
                  <w:vAlign w:val="center"/>
                </w:tcPr>
                <w:p w14:paraId="5DA6B17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rPr>
                  </w:pPr>
                </w:p>
              </w:tc>
              <w:tc>
                <w:tcPr>
                  <w:tcW w:w="893" w:type="pct"/>
                  <w:tcBorders>
                    <w:tl2br w:val="nil"/>
                    <w:tr2bl w:val="nil"/>
                  </w:tcBorders>
                  <w:noWrap w:val="0"/>
                  <w:vAlign w:val="center"/>
                </w:tcPr>
                <w:p w14:paraId="4A438A8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成品堆场</w:t>
                  </w:r>
                </w:p>
              </w:tc>
              <w:tc>
                <w:tcPr>
                  <w:tcW w:w="2504" w:type="pct"/>
                  <w:tcBorders>
                    <w:tl2br w:val="nil"/>
                    <w:tr2bl w:val="nil"/>
                  </w:tcBorders>
                  <w:noWrap w:val="0"/>
                  <w:vAlign w:val="center"/>
                </w:tcPr>
                <w:p w14:paraId="5500D084">
                  <w:pPr>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color w:val="FF0000"/>
                      <w:sz w:val="21"/>
                      <w:szCs w:val="21"/>
                      <w:highlight w:val="none"/>
                      <w:lang w:val="en-US" w:eastAsia="zh-CN"/>
                    </w:rPr>
                    <w:t>封闭车间，车间顶部设置喷淋头</w:t>
                  </w:r>
                  <w:r>
                    <w:rPr>
                      <w:rFonts w:hint="eastAsia" w:ascii="Times New Roman" w:hAnsi="Times New Roman" w:eastAsia="宋体" w:cs="Times New Roman"/>
                      <w:color w:val="FF0000"/>
                      <w:sz w:val="21"/>
                      <w:szCs w:val="21"/>
                      <w:highlight w:val="none"/>
                      <w:lang w:val="en-US" w:eastAsia="zh-CN"/>
                    </w:rPr>
                    <w:t>洒水降尘</w:t>
                  </w:r>
                </w:p>
              </w:tc>
              <w:tc>
                <w:tcPr>
                  <w:tcW w:w="1194" w:type="pct"/>
                  <w:vMerge w:val="continue"/>
                  <w:tcBorders>
                    <w:tl2br w:val="nil"/>
                    <w:tr2bl w:val="nil"/>
                  </w:tcBorders>
                  <w:noWrap w:val="0"/>
                  <w:vAlign w:val="center"/>
                </w:tcPr>
                <w:p w14:paraId="2D644250">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p>
              </w:tc>
            </w:tr>
            <w:tr w14:paraId="564BE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07" w:type="pct"/>
                  <w:vMerge w:val="continue"/>
                  <w:tcBorders>
                    <w:tl2br w:val="nil"/>
                    <w:tr2bl w:val="nil"/>
                  </w:tcBorders>
                  <w:noWrap w:val="0"/>
                  <w:vAlign w:val="center"/>
                </w:tcPr>
                <w:p w14:paraId="518848B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rPr>
                  </w:pPr>
                </w:p>
              </w:tc>
              <w:tc>
                <w:tcPr>
                  <w:tcW w:w="893" w:type="pct"/>
                  <w:tcBorders>
                    <w:tl2br w:val="nil"/>
                    <w:tr2bl w:val="nil"/>
                  </w:tcBorders>
                  <w:noWrap w:val="0"/>
                  <w:vAlign w:val="center"/>
                </w:tcPr>
                <w:p w14:paraId="0882701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排土场</w:t>
                  </w:r>
                </w:p>
              </w:tc>
              <w:tc>
                <w:tcPr>
                  <w:tcW w:w="2504" w:type="pct"/>
                  <w:tcBorders>
                    <w:tl2br w:val="nil"/>
                    <w:tr2bl w:val="nil"/>
                  </w:tcBorders>
                  <w:noWrap w:val="0"/>
                  <w:vAlign w:val="center"/>
                </w:tcPr>
                <w:p w14:paraId="54891D4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防尘网苫盖并辅以洒水措施</w:t>
                  </w:r>
                  <w:r>
                    <w:rPr>
                      <w:rFonts w:hint="eastAsia" w:cs="Times New Roman"/>
                      <w:color w:val="FF0000"/>
                      <w:sz w:val="21"/>
                      <w:szCs w:val="21"/>
                      <w:lang w:val="en-US" w:eastAsia="zh-CN"/>
                    </w:rPr>
                    <w:t>，定期养护</w:t>
                  </w:r>
                </w:p>
              </w:tc>
              <w:tc>
                <w:tcPr>
                  <w:tcW w:w="1194" w:type="pct"/>
                  <w:vMerge w:val="continue"/>
                  <w:tcBorders>
                    <w:tl2br w:val="nil"/>
                    <w:tr2bl w:val="nil"/>
                  </w:tcBorders>
                  <w:noWrap w:val="0"/>
                  <w:vAlign w:val="center"/>
                </w:tcPr>
                <w:p w14:paraId="7F3D3D25">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p>
              </w:tc>
            </w:tr>
            <w:tr w14:paraId="056D5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7" w:type="pct"/>
                  <w:vMerge w:val="restart"/>
                  <w:tcBorders>
                    <w:tl2br w:val="nil"/>
                    <w:tr2bl w:val="nil"/>
                  </w:tcBorders>
                  <w:noWrap w:val="0"/>
                  <w:vAlign w:val="center"/>
                </w:tcPr>
                <w:p w14:paraId="4506729A">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val="en-US" w:eastAsia="zh-CN"/>
                    </w:rPr>
                    <w:t>废水</w:t>
                  </w:r>
                </w:p>
              </w:tc>
              <w:tc>
                <w:tcPr>
                  <w:tcW w:w="893" w:type="pct"/>
                  <w:tcBorders>
                    <w:tl2br w:val="nil"/>
                    <w:tr2bl w:val="nil"/>
                  </w:tcBorders>
                  <w:noWrap w:val="0"/>
                  <w:vAlign w:val="center"/>
                </w:tcPr>
                <w:p w14:paraId="53411BCD">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生产废水</w:t>
                  </w:r>
                </w:p>
              </w:tc>
              <w:tc>
                <w:tcPr>
                  <w:tcW w:w="2504" w:type="pct"/>
                  <w:tcBorders>
                    <w:tl2br w:val="nil"/>
                    <w:tr2bl w:val="nil"/>
                  </w:tcBorders>
                  <w:noWrap w:val="0"/>
                  <w:vAlign w:val="center"/>
                </w:tcPr>
                <w:p w14:paraId="633DECA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highlight w:val="none"/>
                      <w:vertAlign w:val="baseline"/>
                      <w:lang w:val="en-US" w:eastAsia="zh-CN"/>
                    </w:rPr>
                  </w:pPr>
                  <w:r>
                    <w:rPr>
                      <w:rFonts w:hint="default" w:ascii="Times New Roman" w:hAnsi="Times New Roman" w:eastAsia="宋体" w:cs="Times New Roman"/>
                      <w:color w:val="FF0000"/>
                      <w:sz w:val="21"/>
                      <w:szCs w:val="21"/>
                      <w:highlight w:val="none"/>
                      <w:vertAlign w:val="baseline"/>
                      <w:lang w:val="en-US" w:eastAsia="zh-CN"/>
                    </w:rPr>
                    <w:t>冲洗平台废水经沉淀后</w:t>
                  </w:r>
                  <w:r>
                    <w:rPr>
                      <w:rFonts w:hint="eastAsia" w:cs="Times New Roman"/>
                      <w:color w:val="FF0000"/>
                      <w:sz w:val="21"/>
                      <w:szCs w:val="21"/>
                      <w:highlight w:val="none"/>
                      <w:vertAlign w:val="baseline"/>
                      <w:lang w:val="en-US" w:eastAsia="zh-CN"/>
                    </w:rPr>
                    <w:t>循环使用，不外排</w:t>
                  </w:r>
                </w:p>
              </w:tc>
              <w:tc>
                <w:tcPr>
                  <w:tcW w:w="1194" w:type="pct"/>
                  <w:vMerge w:val="restart"/>
                  <w:tcBorders>
                    <w:tl2br w:val="nil"/>
                    <w:tr2bl w:val="nil"/>
                  </w:tcBorders>
                  <w:noWrap w:val="0"/>
                  <w:vAlign w:val="center"/>
                </w:tcPr>
                <w:p w14:paraId="171D621E">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不外排</w:t>
                  </w:r>
                </w:p>
              </w:tc>
            </w:tr>
            <w:tr w14:paraId="5E4CE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407" w:type="pct"/>
                  <w:vMerge w:val="continue"/>
                  <w:tcBorders>
                    <w:tl2br w:val="nil"/>
                    <w:tr2bl w:val="nil"/>
                  </w:tcBorders>
                  <w:noWrap w:val="0"/>
                  <w:vAlign w:val="center"/>
                </w:tcPr>
                <w:p w14:paraId="553C32B0">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p>
              </w:tc>
              <w:tc>
                <w:tcPr>
                  <w:tcW w:w="893" w:type="pct"/>
                  <w:tcBorders>
                    <w:tl2br w:val="nil"/>
                    <w:tr2bl w:val="nil"/>
                  </w:tcBorders>
                  <w:noWrap w:val="0"/>
                  <w:vAlign w:val="center"/>
                </w:tcPr>
                <w:p w14:paraId="44AF6C6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2504" w:type="pct"/>
                  <w:tcBorders>
                    <w:tl2br w:val="nil"/>
                    <w:tr2bl w:val="nil"/>
                  </w:tcBorders>
                  <w:noWrap w:val="0"/>
                  <w:vAlign w:val="center"/>
                </w:tcPr>
                <w:p w14:paraId="6F9751F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职工盥洗废水和淋浴废水经管道进入化粪池，职工人员如厕采用干式环保厕所，旁边设置化粪池，粪便进入化粪池后，定期委托</w:t>
                  </w:r>
                  <w:r>
                    <w:rPr>
                      <w:rFonts w:hint="eastAsia" w:cs="Times New Roman"/>
                      <w:color w:val="FF0000"/>
                      <w:sz w:val="21"/>
                      <w:szCs w:val="21"/>
                      <w:lang w:val="en-US" w:eastAsia="zh-CN"/>
                    </w:rPr>
                    <w:t>专业单位</w:t>
                  </w:r>
                  <w:r>
                    <w:rPr>
                      <w:rFonts w:hint="eastAsia" w:ascii="Times New Roman" w:hAnsi="Times New Roman" w:eastAsia="宋体" w:cs="Times New Roman"/>
                      <w:color w:val="FF0000"/>
                      <w:sz w:val="21"/>
                      <w:szCs w:val="21"/>
                      <w:lang w:val="en-US" w:eastAsia="zh-CN"/>
                    </w:rPr>
                    <w:t>吸污车抽吸拉运至污水处理厂深度处理</w:t>
                  </w:r>
                </w:p>
              </w:tc>
              <w:tc>
                <w:tcPr>
                  <w:tcW w:w="1194" w:type="pct"/>
                  <w:vMerge w:val="continue"/>
                  <w:tcBorders>
                    <w:tl2br w:val="nil"/>
                    <w:tr2bl w:val="nil"/>
                  </w:tcBorders>
                  <w:noWrap w:val="0"/>
                  <w:vAlign w:val="center"/>
                </w:tcPr>
                <w:p w14:paraId="3B69E561">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p>
              </w:tc>
            </w:tr>
            <w:tr w14:paraId="0CA59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407" w:type="pct"/>
                  <w:tcBorders>
                    <w:tl2br w:val="nil"/>
                    <w:tr2bl w:val="nil"/>
                  </w:tcBorders>
                  <w:noWrap w:val="0"/>
                  <w:vAlign w:val="center"/>
                </w:tcPr>
                <w:p w14:paraId="382CCA92">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噪声</w:t>
                  </w:r>
                </w:p>
                <w:p w14:paraId="3B04D913">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污染物</w:t>
                  </w:r>
                </w:p>
              </w:tc>
              <w:tc>
                <w:tcPr>
                  <w:tcW w:w="893" w:type="pct"/>
                  <w:tcBorders>
                    <w:tl2br w:val="nil"/>
                    <w:tr2bl w:val="nil"/>
                  </w:tcBorders>
                  <w:noWrap w:val="0"/>
                  <w:vAlign w:val="center"/>
                </w:tcPr>
                <w:p w14:paraId="270C3966">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机械</w:t>
                  </w:r>
                  <w:r>
                    <w:rPr>
                      <w:rFonts w:hint="default" w:ascii="Times New Roman" w:hAnsi="Times New Roman" w:eastAsia="宋体" w:cs="Times New Roman"/>
                      <w:color w:val="000000"/>
                      <w:sz w:val="21"/>
                      <w:szCs w:val="21"/>
                      <w:highlight w:val="none"/>
                      <w:lang w:eastAsia="zh-CN"/>
                    </w:rPr>
                    <w:t>设备</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交通噪声</w:t>
                  </w:r>
                </w:p>
              </w:tc>
              <w:tc>
                <w:tcPr>
                  <w:tcW w:w="2504" w:type="pct"/>
                  <w:tcBorders>
                    <w:tl2br w:val="nil"/>
                    <w:tr2bl w:val="nil"/>
                  </w:tcBorders>
                  <w:noWrap w:val="0"/>
                  <w:vAlign w:val="center"/>
                </w:tcPr>
                <w:p w14:paraId="59155198">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FF0000"/>
                      <w:sz w:val="21"/>
                      <w:szCs w:val="21"/>
                      <w:highlight w:val="none"/>
                      <w:lang w:eastAsia="zh-CN"/>
                    </w:rPr>
                    <w:t>选用低噪声设备，采用基础减振措施，</w:t>
                  </w:r>
                  <w:r>
                    <w:rPr>
                      <w:rFonts w:hint="eastAsia" w:ascii="Times New Roman" w:hAnsi="Times New Roman" w:eastAsia="宋体" w:cs="Times New Roman"/>
                      <w:color w:val="FF0000"/>
                      <w:sz w:val="21"/>
                      <w:szCs w:val="21"/>
                      <w:highlight w:val="none"/>
                      <w:lang w:val="en-US" w:eastAsia="zh-CN"/>
                    </w:rPr>
                    <w:t>经</w:t>
                  </w:r>
                  <w:r>
                    <w:rPr>
                      <w:rFonts w:hint="default" w:ascii="Times New Roman" w:hAnsi="Times New Roman" w:eastAsia="宋体" w:cs="Times New Roman"/>
                      <w:color w:val="FF0000"/>
                      <w:sz w:val="21"/>
                      <w:szCs w:val="21"/>
                      <w:highlight w:val="none"/>
                      <w:lang w:val="en-US" w:eastAsia="zh-CN"/>
                    </w:rPr>
                    <w:t>距离衰减</w:t>
                  </w:r>
                  <w:r>
                    <w:rPr>
                      <w:rFonts w:hint="eastAsia" w:cs="Times New Roman"/>
                      <w:color w:val="FF0000"/>
                      <w:sz w:val="21"/>
                      <w:szCs w:val="21"/>
                      <w:highlight w:val="none"/>
                      <w:lang w:val="en-US" w:eastAsia="zh-CN"/>
                    </w:rPr>
                    <w:t>；加强运输车辆的管理，禁止鸣笛，合理安排施工时间</w:t>
                  </w:r>
                </w:p>
              </w:tc>
              <w:tc>
                <w:tcPr>
                  <w:tcW w:w="1194" w:type="pct"/>
                  <w:tcBorders>
                    <w:tl2br w:val="nil"/>
                    <w:tr2bl w:val="nil"/>
                  </w:tcBorders>
                  <w:noWrap w:val="0"/>
                  <w:vAlign w:val="center"/>
                </w:tcPr>
                <w:p w14:paraId="4C09AA9B">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满足《工业企业厂界环境噪声排放标准》</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val="en-US" w:eastAsia="zh-CN"/>
                    </w:rPr>
                    <w:t>GB12348-2008</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中</w:t>
                  </w:r>
                  <w:r>
                    <w:rPr>
                      <w:rFonts w:hint="eastAsia"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rPr>
                    <w:t>类标准要求</w:t>
                  </w:r>
                </w:p>
              </w:tc>
            </w:tr>
            <w:tr w14:paraId="38478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restart"/>
                  <w:tcBorders>
                    <w:tl2br w:val="nil"/>
                    <w:tr2bl w:val="nil"/>
                  </w:tcBorders>
                  <w:noWrap w:val="0"/>
                  <w:vAlign w:val="center"/>
                </w:tcPr>
                <w:p w14:paraId="2C5A5A98">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固体</w:t>
                  </w:r>
                </w:p>
                <w:p w14:paraId="49D3131D">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弃物</w:t>
                  </w:r>
                </w:p>
              </w:tc>
              <w:tc>
                <w:tcPr>
                  <w:tcW w:w="893" w:type="pct"/>
                  <w:tcBorders>
                    <w:tl2br w:val="nil"/>
                    <w:tr2bl w:val="nil"/>
                  </w:tcBorders>
                  <w:noWrap w:val="0"/>
                  <w:vAlign w:val="center"/>
                </w:tcPr>
                <w:p w14:paraId="2E1E5422">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表土、废石</w:t>
                  </w:r>
                </w:p>
              </w:tc>
              <w:tc>
                <w:tcPr>
                  <w:tcW w:w="2504" w:type="pct"/>
                  <w:tcBorders>
                    <w:tl2br w:val="nil"/>
                    <w:tr2bl w:val="nil"/>
                  </w:tcBorders>
                  <w:noWrap w:val="0"/>
                  <w:vAlign w:val="center"/>
                </w:tcPr>
                <w:p w14:paraId="55362BDD">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表土</w:t>
                  </w:r>
                  <w:r>
                    <w:rPr>
                      <w:rFonts w:hint="default" w:ascii="Times New Roman" w:hAnsi="Times New Roman" w:eastAsia="宋体" w:cs="Times New Roman"/>
                      <w:color w:val="000000"/>
                      <w:sz w:val="21"/>
                      <w:szCs w:val="21"/>
                      <w:highlight w:val="none"/>
                      <w:lang w:val="en-US" w:eastAsia="zh-CN"/>
                    </w:rPr>
                    <w:t>单独存放于</w:t>
                  </w:r>
                  <w:r>
                    <w:rPr>
                      <w:rFonts w:hint="eastAsia" w:cs="Times New Roman"/>
                      <w:color w:val="000000"/>
                      <w:sz w:val="21"/>
                      <w:szCs w:val="21"/>
                      <w:highlight w:val="none"/>
                      <w:lang w:val="en-US" w:eastAsia="zh-CN"/>
                    </w:rPr>
                    <w:t>东侧</w:t>
                  </w:r>
                  <w:r>
                    <w:rPr>
                      <w:rFonts w:hint="default" w:ascii="Times New Roman" w:hAnsi="Times New Roman" w:eastAsia="宋体" w:cs="Times New Roman"/>
                      <w:color w:val="000000"/>
                      <w:sz w:val="21"/>
                      <w:szCs w:val="21"/>
                      <w:highlight w:val="none"/>
                      <w:lang w:val="en-US" w:eastAsia="zh-CN"/>
                    </w:rPr>
                    <w:t>排土场，妥善保存</w:t>
                  </w:r>
                  <w:r>
                    <w:rPr>
                      <w:rFonts w:hint="eastAsia" w:cs="Times New Roman"/>
                      <w:color w:val="000000"/>
                      <w:sz w:val="21"/>
                      <w:szCs w:val="21"/>
                      <w:highlight w:val="none"/>
                      <w:lang w:val="en-US" w:eastAsia="zh-CN"/>
                    </w:rPr>
                    <w:t>，下一台阶剥离表土及时用于上一台阶已终了平台的恢复，剩余少量表土放于东侧排土场</w:t>
                  </w:r>
                  <w:r>
                    <w:rPr>
                      <w:rFonts w:hint="default" w:ascii="Times New Roman" w:hAnsi="Times New Roman" w:eastAsia="宋体" w:cs="Times New Roman"/>
                      <w:color w:val="000000"/>
                      <w:sz w:val="21"/>
                      <w:szCs w:val="21"/>
                      <w:highlight w:val="none"/>
                      <w:lang w:val="en-US" w:eastAsia="zh-CN"/>
                    </w:rPr>
                    <w:t>，与废石分开堆放，用于后期植被恢复；废石堆放至</w:t>
                  </w:r>
                  <w:r>
                    <w:rPr>
                      <w:rFonts w:hint="eastAsia" w:cs="Times New Roman"/>
                      <w:color w:val="000000"/>
                      <w:sz w:val="21"/>
                      <w:szCs w:val="21"/>
                      <w:highlight w:val="none"/>
                      <w:lang w:val="en-US" w:eastAsia="zh-CN"/>
                    </w:rPr>
                    <w:t>西侧</w:t>
                  </w:r>
                  <w:r>
                    <w:rPr>
                      <w:rFonts w:hint="default" w:ascii="Times New Roman" w:hAnsi="Times New Roman" w:eastAsia="宋体" w:cs="Times New Roman"/>
                      <w:color w:val="000000"/>
                      <w:sz w:val="21"/>
                      <w:szCs w:val="21"/>
                      <w:highlight w:val="none"/>
                      <w:lang w:val="en-US" w:eastAsia="zh-CN"/>
                    </w:rPr>
                    <w:t>排土场，用于后期采空区回填</w:t>
                  </w:r>
                </w:p>
              </w:tc>
              <w:tc>
                <w:tcPr>
                  <w:tcW w:w="1194" w:type="pct"/>
                  <w:tcBorders>
                    <w:tl2br w:val="nil"/>
                    <w:tr2bl w:val="nil"/>
                  </w:tcBorders>
                  <w:noWrap w:val="0"/>
                  <w:vAlign w:val="center"/>
                </w:tcPr>
                <w:p w14:paraId="6672B0CA">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堆放符合要求</w:t>
                  </w:r>
                  <w:r>
                    <w:rPr>
                      <w:rFonts w:hint="eastAsia" w:ascii="Times New Roman" w:hAnsi="Times New Roman" w:eastAsia="宋体" w:cs="Times New Roman"/>
                      <w:color w:val="000000"/>
                      <w:sz w:val="21"/>
                      <w:szCs w:val="21"/>
                      <w:highlight w:val="none"/>
                      <w:lang w:val="en-US" w:eastAsia="zh-CN"/>
                    </w:rPr>
                    <w:t>，将剥离的表土</w:t>
                  </w:r>
                  <w:r>
                    <w:rPr>
                      <w:rFonts w:hint="eastAsia" w:cs="Times New Roman"/>
                      <w:color w:val="000000"/>
                      <w:sz w:val="21"/>
                      <w:szCs w:val="21"/>
                      <w:highlight w:val="none"/>
                      <w:lang w:val="en-US" w:eastAsia="zh-CN"/>
                    </w:rPr>
                    <w:t>及废石</w:t>
                  </w:r>
                  <w:r>
                    <w:rPr>
                      <w:rFonts w:hint="eastAsia" w:ascii="Times New Roman" w:hAnsi="Times New Roman" w:eastAsia="宋体" w:cs="Times New Roman"/>
                      <w:color w:val="000000"/>
                      <w:sz w:val="21"/>
                      <w:szCs w:val="21"/>
                      <w:highlight w:val="none"/>
                      <w:lang w:val="en-US" w:eastAsia="zh-CN"/>
                    </w:rPr>
                    <w:t>堆放于排土场进行存放，并修建格宾挡墙、对表土进行植草维护</w:t>
                  </w:r>
                </w:p>
              </w:tc>
            </w:tr>
            <w:tr w14:paraId="2E575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tcBorders>
                    <w:tl2br w:val="nil"/>
                    <w:tr2bl w:val="nil"/>
                  </w:tcBorders>
                  <w:noWrap w:val="0"/>
                  <w:vAlign w:val="center"/>
                </w:tcPr>
                <w:p w14:paraId="5731A409">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p>
              </w:tc>
              <w:tc>
                <w:tcPr>
                  <w:tcW w:w="893" w:type="pct"/>
                  <w:tcBorders>
                    <w:tl2br w:val="nil"/>
                    <w:tr2bl w:val="nil"/>
                  </w:tcBorders>
                  <w:noWrap w:val="0"/>
                  <w:vAlign w:val="center"/>
                </w:tcPr>
                <w:p w14:paraId="12C03CF1">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冲洗平台沉淀池污泥</w:t>
                  </w:r>
                </w:p>
              </w:tc>
              <w:tc>
                <w:tcPr>
                  <w:tcW w:w="2504" w:type="pct"/>
                  <w:tcBorders>
                    <w:tl2br w:val="nil"/>
                    <w:tr2bl w:val="nil"/>
                  </w:tcBorders>
                  <w:noWrap w:val="0"/>
                  <w:vAlign w:val="center"/>
                </w:tcPr>
                <w:p w14:paraId="035CB866">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集中收集用于后续土地复垦回填</w:t>
                  </w:r>
                </w:p>
              </w:tc>
              <w:tc>
                <w:tcPr>
                  <w:tcW w:w="1194" w:type="pct"/>
                  <w:tcBorders>
                    <w:tl2br w:val="nil"/>
                    <w:tr2bl w:val="nil"/>
                  </w:tcBorders>
                  <w:noWrap w:val="0"/>
                  <w:vAlign w:val="center"/>
                </w:tcPr>
                <w:p w14:paraId="0CF18D03">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处置符合环保要求</w:t>
                  </w:r>
                </w:p>
              </w:tc>
            </w:tr>
            <w:tr w14:paraId="41AEF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tcBorders>
                    <w:tl2br w:val="nil"/>
                    <w:tr2bl w:val="nil"/>
                  </w:tcBorders>
                  <w:noWrap w:val="0"/>
                  <w:vAlign w:val="center"/>
                </w:tcPr>
                <w:p w14:paraId="1E4EB5E8">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p>
              </w:tc>
              <w:tc>
                <w:tcPr>
                  <w:tcW w:w="893" w:type="pct"/>
                  <w:tcBorders>
                    <w:tl2br w:val="nil"/>
                    <w:tr2bl w:val="nil"/>
                  </w:tcBorders>
                  <w:noWrap w:val="0"/>
                  <w:vAlign w:val="center"/>
                </w:tcPr>
                <w:p w14:paraId="5CB6C514">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生活垃圾</w:t>
                  </w:r>
                </w:p>
              </w:tc>
              <w:tc>
                <w:tcPr>
                  <w:tcW w:w="2504" w:type="pct"/>
                  <w:tcBorders>
                    <w:tl2br w:val="nil"/>
                    <w:tr2bl w:val="nil"/>
                  </w:tcBorders>
                  <w:noWrap w:val="0"/>
                  <w:vAlign w:val="center"/>
                </w:tcPr>
                <w:p w14:paraId="68165B54">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项目区设置生活垃圾箱，</w:t>
                  </w:r>
                  <w:r>
                    <w:rPr>
                      <w:rFonts w:hint="eastAsia" w:cs="Times New Roman"/>
                      <w:color w:val="000000"/>
                      <w:sz w:val="21"/>
                      <w:szCs w:val="21"/>
                      <w:highlight w:val="none"/>
                      <w:lang w:val="en-US" w:eastAsia="zh-CN"/>
                    </w:rPr>
                    <w:t>经收集后</w:t>
                  </w:r>
                  <w:r>
                    <w:rPr>
                      <w:rFonts w:hint="eastAsia" w:ascii="Times New Roman" w:hAnsi="Times New Roman" w:eastAsia="宋体" w:cs="Times New Roman"/>
                      <w:color w:val="000000"/>
                      <w:sz w:val="21"/>
                      <w:szCs w:val="21"/>
                      <w:highlight w:val="none"/>
                      <w:lang w:val="en-US" w:eastAsia="zh-CN"/>
                    </w:rPr>
                    <w:t>由当地环卫部门统一清运</w:t>
                  </w:r>
                </w:p>
              </w:tc>
              <w:tc>
                <w:tcPr>
                  <w:tcW w:w="1194" w:type="pct"/>
                  <w:tcBorders>
                    <w:tl2br w:val="nil"/>
                    <w:tr2bl w:val="nil"/>
                  </w:tcBorders>
                  <w:noWrap w:val="0"/>
                  <w:vAlign w:val="center"/>
                </w:tcPr>
                <w:p w14:paraId="11CF7A7F">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处置符合环保要求</w:t>
                  </w:r>
                </w:p>
              </w:tc>
            </w:tr>
            <w:tr w14:paraId="6B8A2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407" w:type="pct"/>
                  <w:vMerge w:val="continue"/>
                  <w:tcBorders>
                    <w:tl2br w:val="nil"/>
                    <w:tr2bl w:val="nil"/>
                  </w:tcBorders>
                  <w:noWrap w:val="0"/>
                  <w:vAlign w:val="center"/>
                </w:tcPr>
                <w:p w14:paraId="7E4E2A06">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p>
              </w:tc>
              <w:tc>
                <w:tcPr>
                  <w:tcW w:w="893" w:type="pct"/>
                  <w:tcBorders>
                    <w:tl2br w:val="nil"/>
                    <w:tr2bl w:val="nil"/>
                  </w:tcBorders>
                  <w:noWrap w:val="0"/>
                  <w:vAlign w:val="center"/>
                </w:tcPr>
                <w:p w14:paraId="5D9218EE">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危险废物</w:t>
                  </w:r>
                </w:p>
              </w:tc>
              <w:tc>
                <w:tcPr>
                  <w:tcW w:w="2504" w:type="pct"/>
                  <w:tcBorders>
                    <w:tl2br w:val="nil"/>
                    <w:tr2bl w:val="nil"/>
                  </w:tcBorders>
                  <w:noWrap w:val="0"/>
                  <w:vAlign w:val="center"/>
                </w:tcPr>
                <w:p w14:paraId="76D2E130">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eastAsia="zh-CN"/>
                    </w:rPr>
                    <w:t>设置</w:t>
                  </w:r>
                  <w:r>
                    <w:rPr>
                      <w:rFonts w:hint="eastAsia" w:ascii="Times New Roman" w:hAnsi="Times New Roman" w:eastAsia="宋体" w:cs="Times New Roman"/>
                      <w:color w:val="000000"/>
                      <w:sz w:val="21"/>
                      <w:szCs w:val="21"/>
                      <w:highlight w:val="none"/>
                      <w:lang w:eastAsia="zh-CN"/>
                    </w:rPr>
                    <w:t>危险废物贮存库</w:t>
                  </w:r>
                  <w:r>
                    <w:rPr>
                      <w:rFonts w:hint="default" w:ascii="Times New Roman" w:hAnsi="Times New Roman" w:eastAsia="宋体" w:cs="Times New Roman"/>
                      <w:color w:val="000000"/>
                      <w:sz w:val="21"/>
                      <w:szCs w:val="21"/>
                      <w:highlight w:val="none"/>
                      <w:lang w:val="en-US" w:eastAsia="zh-CN"/>
                    </w:rPr>
                    <w:t>1间，面积约10m</w:t>
                  </w:r>
                  <w:r>
                    <w:rPr>
                      <w:rFonts w:hint="default" w:ascii="Times New Roman" w:hAnsi="Times New Roman" w:eastAsia="宋体" w:cs="Times New Roman"/>
                      <w:color w:val="000000"/>
                      <w:sz w:val="21"/>
                      <w:szCs w:val="21"/>
                      <w:highlight w:val="none"/>
                      <w:vertAlign w:val="superscript"/>
                      <w:lang w:val="en-US" w:eastAsia="zh-CN"/>
                    </w:rPr>
                    <w:t>2</w:t>
                  </w:r>
                  <w:r>
                    <w:rPr>
                      <w:rFonts w:hint="default"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eastAsia="zh-CN"/>
                    </w:rPr>
                    <w:t>与危废资质单位</w:t>
                  </w:r>
                  <w:r>
                    <w:rPr>
                      <w:rFonts w:hint="eastAsia" w:cs="Times New Roman"/>
                      <w:color w:val="000000"/>
                      <w:sz w:val="21"/>
                      <w:szCs w:val="21"/>
                      <w:highlight w:val="none"/>
                      <w:lang w:eastAsia="zh-CN"/>
                    </w:rPr>
                    <w:t>签订</w:t>
                  </w:r>
                  <w:r>
                    <w:rPr>
                      <w:rFonts w:hint="default" w:ascii="Times New Roman" w:hAnsi="Times New Roman" w:eastAsia="宋体" w:cs="Times New Roman"/>
                      <w:color w:val="000000"/>
                      <w:sz w:val="21"/>
                      <w:szCs w:val="21"/>
                      <w:highlight w:val="none"/>
                      <w:lang w:eastAsia="zh-CN"/>
                    </w:rPr>
                    <w:t>危废协议</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定期交由资质单位处置</w:t>
                  </w:r>
                </w:p>
              </w:tc>
              <w:tc>
                <w:tcPr>
                  <w:tcW w:w="1194" w:type="pct"/>
                  <w:tcBorders>
                    <w:tl2br w:val="nil"/>
                    <w:tr2bl w:val="nil"/>
                  </w:tcBorders>
                  <w:noWrap w:val="0"/>
                  <w:vAlign w:val="center"/>
                </w:tcPr>
                <w:p w14:paraId="037D594B">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危险废物贮存库</w:t>
                  </w:r>
                  <w:r>
                    <w:rPr>
                      <w:rFonts w:hint="default" w:ascii="Times New Roman" w:hAnsi="Times New Roman" w:eastAsia="宋体" w:cs="Times New Roman"/>
                      <w:color w:val="000000"/>
                      <w:sz w:val="21"/>
                      <w:szCs w:val="21"/>
                      <w:highlight w:val="none"/>
                      <w:lang w:eastAsia="zh-CN"/>
                    </w:rPr>
                    <w:t>建设应符合</w:t>
                  </w:r>
                  <w:r>
                    <w:rPr>
                      <w:rFonts w:hint="default" w:ascii="Times New Roman" w:hAnsi="Times New Roman" w:eastAsia="宋体" w:cs="Times New Roman"/>
                      <w:color w:val="000000"/>
                      <w:sz w:val="21"/>
                      <w:szCs w:val="21"/>
                      <w:highlight w:val="none"/>
                      <w:lang w:val="en-US" w:eastAsia="zh-CN"/>
                    </w:rPr>
                    <w:t>《危险废物贮存污染控制标准》（GB18597-2023）</w:t>
                  </w:r>
                </w:p>
              </w:tc>
            </w:tr>
            <w:tr w14:paraId="3956A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07" w:type="pct"/>
                  <w:vMerge w:val="restart"/>
                  <w:tcBorders>
                    <w:tl2br w:val="nil"/>
                    <w:tr2bl w:val="nil"/>
                  </w:tcBorders>
                  <w:noWrap w:val="0"/>
                  <w:vAlign w:val="center"/>
                </w:tcPr>
                <w:p w14:paraId="33865CA7">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w:t>
                  </w:r>
                </w:p>
                <w:p w14:paraId="0235E520">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rPr>
                    <w:t>治理</w:t>
                  </w:r>
                </w:p>
              </w:tc>
              <w:tc>
                <w:tcPr>
                  <w:tcW w:w="893" w:type="pct"/>
                  <w:tcBorders>
                    <w:tl2br w:val="nil"/>
                    <w:tr2bl w:val="nil"/>
                  </w:tcBorders>
                  <w:noWrap w:val="0"/>
                  <w:vAlign w:val="center"/>
                </w:tcPr>
                <w:p w14:paraId="66917D14">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露天</w:t>
                  </w:r>
                  <w:r>
                    <w:rPr>
                      <w:rFonts w:hint="default" w:ascii="Times New Roman" w:hAnsi="Times New Roman" w:eastAsia="宋体" w:cs="Times New Roman"/>
                      <w:color w:val="000000"/>
                      <w:sz w:val="21"/>
                      <w:szCs w:val="21"/>
                      <w:lang w:eastAsia="zh-CN"/>
                    </w:rPr>
                    <w:t>采场</w:t>
                  </w:r>
                </w:p>
              </w:tc>
              <w:tc>
                <w:tcPr>
                  <w:tcW w:w="2504" w:type="pct"/>
                  <w:tcBorders>
                    <w:tl2br w:val="nil"/>
                    <w:tr2bl w:val="nil"/>
                  </w:tcBorders>
                  <w:noWrap w:val="0"/>
                  <w:vAlign w:val="center"/>
                </w:tcPr>
                <w:p w14:paraId="2322FCA3">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highlight w:val="none"/>
                      <w:lang w:eastAsia="zh-CN"/>
                    </w:rPr>
                  </w:pPr>
                  <w:r>
                    <w:rPr>
                      <w:rFonts w:hint="default" w:ascii="Times New Roman" w:hAnsi="Times New Roman" w:eastAsia="宋体" w:cs="Times New Roman"/>
                      <w:color w:val="FF0000"/>
                      <w:sz w:val="21"/>
                      <w:szCs w:val="21"/>
                      <w:highlight w:val="none"/>
                      <w:lang w:eastAsia="zh-CN"/>
                    </w:rPr>
                    <w:t>在采场外围设置排水沟</w:t>
                  </w:r>
                  <w:r>
                    <w:rPr>
                      <w:rFonts w:hint="default" w:ascii="Times New Roman" w:hAnsi="Times New Roman" w:eastAsia="宋体" w:cs="Times New Roman"/>
                      <w:color w:val="FF0000"/>
                      <w:sz w:val="21"/>
                      <w:szCs w:val="21"/>
                      <w:highlight w:val="none"/>
                      <w:lang w:val="en-US" w:eastAsia="zh-CN"/>
                    </w:rPr>
                    <w:t>，在安全平台及清扫平台内侧设置导水沟，引至采场外围排水沟，将大气降水顺山坡排出，防止雨水对边坡的冲刷</w:t>
                  </w:r>
                  <w:r>
                    <w:rPr>
                      <w:rFonts w:hint="eastAsia" w:ascii="Times New Roman" w:hAnsi="Times New Roman" w:eastAsia="宋体" w:cs="Times New Roman"/>
                      <w:color w:val="FF0000"/>
                      <w:sz w:val="21"/>
                      <w:szCs w:val="21"/>
                      <w:highlight w:val="none"/>
                      <w:lang w:val="en-US" w:eastAsia="zh-CN"/>
                    </w:rPr>
                    <w:t>；采取“边开采、边恢复”的措施，对已经终了平台及时复垦、绿化，下一台阶剥离表土用于上一台阶的植被恢复覆土，仅少量剩余表土堆放于排土场</w:t>
                  </w:r>
                  <w:r>
                    <w:rPr>
                      <w:rFonts w:hint="eastAsia" w:cs="Times New Roman"/>
                      <w:color w:val="FF0000"/>
                      <w:sz w:val="21"/>
                      <w:szCs w:val="21"/>
                      <w:highlight w:val="none"/>
                      <w:lang w:eastAsia="zh-CN"/>
                    </w:rPr>
                    <w:t>。</w:t>
                  </w:r>
                  <w:r>
                    <w:rPr>
                      <w:rFonts w:hint="default" w:ascii="Times New Roman" w:hAnsi="Times New Roman" w:eastAsia="宋体" w:cs="Times New Roman"/>
                      <w:color w:val="FF0000"/>
                      <w:sz w:val="21"/>
                      <w:szCs w:val="21"/>
                      <w:highlight w:val="none"/>
                      <w:lang w:eastAsia="zh-CN"/>
                    </w:rPr>
                    <w:t>开采结束后</w:t>
                  </w:r>
                  <w:r>
                    <w:rPr>
                      <w:rFonts w:hint="eastAsia" w:cs="Times New Roman"/>
                      <w:color w:val="FF0000"/>
                      <w:sz w:val="21"/>
                      <w:szCs w:val="21"/>
                      <w:highlight w:val="none"/>
                      <w:lang w:val="en-US" w:eastAsia="zh-CN"/>
                    </w:rPr>
                    <w:t>及时</w:t>
                  </w:r>
                  <w:r>
                    <w:rPr>
                      <w:rFonts w:hint="default" w:ascii="Times New Roman" w:hAnsi="Times New Roman" w:eastAsia="宋体" w:cs="Times New Roman"/>
                      <w:color w:val="FF0000"/>
                      <w:sz w:val="21"/>
                      <w:szCs w:val="21"/>
                      <w:highlight w:val="none"/>
                      <w:lang w:eastAsia="zh-CN"/>
                    </w:rPr>
                    <w:t>对采场台阶坡面进行平整、覆土后，</w:t>
                  </w:r>
                  <w:r>
                    <w:rPr>
                      <w:rFonts w:hint="default" w:ascii="Times New Roman" w:hAnsi="Times New Roman" w:eastAsia="宋体" w:cs="Times New Roman"/>
                      <w:color w:val="FF0000"/>
                      <w:sz w:val="21"/>
                      <w:szCs w:val="21"/>
                      <w:highlight w:val="none"/>
                      <w:lang w:val="en-US" w:eastAsia="zh-CN"/>
                    </w:rPr>
                    <w:t>并按要求做好植被恢复</w:t>
                  </w:r>
                  <w:r>
                    <w:rPr>
                      <w:rFonts w:hint="default" w:ascii="Times New Roman" w:hAnsi="Times New Roman" w:eastAsia="宋体" w:cs="Times New Roman"/>
                      <w:color w:val="FF0000"/>
                      <w:sz w:val="21"/>
                      <w:szCs w:val="21"/>
                      <w:highlight w:val="none"/>
                      <w:lang w:eastAsia="zh-CN"/>
                    </w:rPr>
                    <w:t>；在采区周边设置截水沟</w:t>
                  </w:r>
                </w:p>
              </w:tc>
              <w:tc>
                <w:tcPr>
                  <w:tcW w:w="1194" w:type="pct"/>
                  <w:tcBorders>
                    <w:tl2br w:val="nil"/>
                    <w:tr2bl w:val="nil"/>
                  </w:tcBorders>
                  <w:noWrap w:val="0"/>
                  <w:vAlign w:val="center"/>
                </w:tcPr>
                <w:p w14:paraId="7D71B935">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对开采完成的开采平台及时进行覆土、播撒草籽等复垦复绿工作</w:t>
                  </w:r>
                  <w:r>
                    <w:rPr>
                      <w:rFonts w:hint="eastAsia" w:cs="Times New Roman"/>
                      <w:color w:val="FF0000"/>
                      <w:sz w:val="21"/>
                      <w:szCs w:val="21"/>
                      <w:highlight w:val="none"/>
                      <w:lang w:val="en-US" w:eastAsia="zh-CN"/>
                    </w:rPr>
                    <w:t>；</w:t>
                  </w:r>
                  <w:r>
                    <w:rPr>
                      <w:rFonts w:hint="default" w:ascii="Times New Roman" w:hAnsi="Times New Roman" w:eastAsia="宋体" w:cs="Times New Roman"/>
                      <w:color w:val="FF0000"/>
                      <w:sz w:val="21"/>
                      <w:szCs w:val="21"/>
                      <w:highlight w:val="none"/>
                      <w:lang w:eastAsia="zh-CN"/>
                    </w:rPr>
                    <w:t>开采结束后</w:t>
                  </w:r>
                  <w:r>
                    <w:rPr>
                      <w:rFonts w:hint="eastAsia" w:cs="Times New Roman"/>
                      <w:color w:val="FF0000"/>
                      <w:sz w:val="21"/>
                      <w:szCs w:val="21"/>
                      <w:highlight w:val="none"/>
                      <w:lang w:val="en-US" w:eastAsia="zh-CN"/>
                    </w:rPr>
                    <w:t>及时</w:t>
                  </w:r>
                  <w:r>
                    <w:rPr>
                      <w:rFonts w:hint="default" w:ascii="Times New Roman" w:hAnsi="Times New Roman" w:eastAsia="宋体" w:cs="Times New Roman"/>
                      <w:color w:val="FF0000"/>
                      <w:sz w:val="21"/>
                      <w:szCs w:val="21"/>
                      <w:highlight w:val="none"/>
                      <w:lang w:eastAsia="zh-CN"/>
                    </w:rPr>
                    <w:t>对采场台阶坡面进行平整、覆土后，</w:t>
                  </w:r>
                  <w:r>
                    <w:rPr>
                      <w:rFonts w:hint="default" w:ascii="Times New Roman" w:hAnsi="Times New Roman" w:eastAsia="宋体" w:cs="Times New Roman"/>
                      <w:color w:val="FF0000"/>
                      <w:sz w:val="21"/>
                      <w:szCs w:val="21"/>
                      <w:highlight w:val="none"/>
                      <w:lang w:val="en-US" w:eastAsia="zh-CN"/>
                    </w:rPr>
                    <w:t>并按要求做好植被恢复</w:t>
                  </w:r>
                </w:p>
              </w:tc>
            </w:tr>
            <w:tr w14:paraId="4AEAF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tcBorders>
                    <w:tl2br w:val="nil"/>
                    <w:tr2bl w:val="nil"/>
                  </w:tcBorders>
                  <w:noWrap w:val="0"/>
                  <w:vAlign w:val="center"/>
                </w:tcPr>
                <w:p w14:paraId="448F05A0">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rPr>
                  </w:pPr>
                </w:p>
              </w:tc>
              <w:tc>
                <w:tcPr>
                  <w:tcW w:w="893" w:type="pct"/>
                  <w:tcBorders>
                    <w:tl2br w:val="nil"/>
                    <w:tr2bl w:val="nil"/>
                  </w:tcBorders>
                  <w:noWrap w:val="0"/>
                  <w:vAlign w:val="center"/>
                </w:tcPr>
                <w:p w14:paraId="61F00495">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加工区、办公生活区、排土场、矿区道路</w:t>
                  </w:r>
                </w:p>
              </w:tc>
              <w:tc>
                <w:tcPr>
                  <w:tcW w:w="2504" w:type="pct"/>
                  <w:tcBorders>
                    <w:tl2br w:val="nil"/>
                    <w:tr2bl w:val="nil"/>
                  </w:tcBorders>
                  <w:noWrap w:val="0"/>
                  <w:vAlign w:val="center"/>
                </w:tcPr>
                <w:p w14:paraId="7A504C78">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建设前进行表土剥离，将剥离的表土堆置排土场，用于后期恢复；</w:t>
                  </w:r>
                  <w:r>
                    <w:rPr>
                      <w:rFonts w:hint="default" w:ascii="Times New Roman" w:hAnsi="Times New Roman" w:eastAsia="宋体" w:cs="Times New Roman"/>
                      <w:color w:val="0000FC"/>
                      <w:sz w:val="21"/>
                      <w:szCs w:val="21"/>
                      <w:highlight w:val="none"/>
                      <w:lang w:eastAsia="zh-CN"/>
                    </w:rPr>
                    <w:t>周边设置截水沟</w:t>
                  </w:r>
                  <w:r>
                    <w:rPr>
                      <w:rFonts w:hint="eastAsia" w:ascii="Times New Roman" w:hAnsi="Times New Roman" w:cs="Times New Roman"/>
                      <w:color w:val="0000FC"/>
                      <w:sz w:val="21"/>
                      <w:szCs w:val="21"/>
                      <w:highlight w:val="none"/>
                      <w:lang w:eastAsia="zh-CN"/>
                    </w:rPr>
                    <w:t>，</w:t>
                  </w:r>
                  <w:r>
                    <w:rPr>
                      <w:rFonts w:hint="eastAsia" w:ascii="Times New Roman" w:hAnsi="Times New Roman" w:cs="Times New Roman"/>
                      <w:color w:val="0000FC"/>
                      <w:sz w:val="21"/>
                      <w:szCs w:val="21"/>
                      <w:highlight w:val="none"/>
                      <w:lang w:val="en-US" w:eastAsia="zh-CN"/>
                    </w:rPr>
                    <w:t>在</w:t>
                  </w:r>
                  <w:r>
                    <w:rPr>
                      <w:rFonts w:hint="eastAsia" w:cs="Times New Roman"/>
                      <w:color w:val="0000FC"/>
                      <w:sz w:val="21"/>
                      <w:szCs w:val="21"/>
                      <w:highlight w:val="none"/>
                      <w:lang w:val="en-US" w:eastAsia="zh-CN"/>
                    </w:rPr>
                    <w:t>厂界距离</w:t>
                  </w:r>
                  <w:r>
                    <w:rPr>
                      <w:rFonts w:hint="eastAsia" w:ascii="Times New Roman" w:hAnsi="Times New Roman" w:cs="Times New Roman"/>
                      <w:color w:val="0000FC"/>
                      <w:sz w:val="21"/>
                      <w:szCs w:val="21"/>
                      <w:highlight w:val="none"/>
                      <w:lang w:val="en-US" w:eastAsia="zh-CN"/>
                    </w:rPr>
                    <w:t>季节性沟谷</w:t>
                  </w:r>
                  <w:r>
                    <w:rPr>
                      <w:rFonts w:hint="eastAsia" w:cs="Times New Roman"/>
                      <w:color w:val="0000FC"/>
                      <w:sz w:val="21"/>
                      <w:szCs w:val="21"/>
                      <w:highlight w:val="none"/>
                      <w:lang w:val="en-US" w:eastAsia="zh-CN"/>
                    </w:rPr>
                    <w:t>约5m处</w:t>
                  </w:r>
                  <w:r>
                    <w:rPr>
                      <w:rFonts w:hint="eastAsia" w:ascii="Times New Roman" w:hAnsi="Times New Roman" w:cs="Times New Roman"/>
                      <w:color w:val="0000FC"/>
                      <w:sz w:val="21"/>
                      <w:szCs w:val="21"/>
                      <w:highlight w:val="none"/>
                      <w:lang w:val="en-US" w:eastAsia="zh-CN"/>
                    </w:rPr>
                    <w:t>设置</w:t>
                  </w:r>
                  <w:r>
                    <w:rPr>
                      <w:rFonts w:hint="eastAsia" w:cs="Times New Roman"/>
                      <w:color w:val="0000FC"/>
                      <w:sz w:val="21"/>
                      <w:szCs w:val="21"/>
                      <w:highlight w:val="none"/>
                      <w:lang w:val="en-US" w:eastAsia="zh-CN"/>
                    </w:rPr>
                    <w:t>围挡</w:t>
                  </w:r>
                  <w:r>
                    <w:rPr>
                      <w:rFonts w:hint="eastAsia" w:ascii="Times New Roman" w:hAnsi="Times New Roman" w:cs="Times New Roman"/>
                      <w:color w:val="0000FC"/>
                      <w:sz w:val="21"/>
                      <w:szCs w:val="21"/>
                      <w:highlight w:val="none"/>
                      <w:lang w:val="en-US" w:eastAsia="zh-CN"/>
                    </w:rPr>
                    <w:t>，防止职工人员踏入，</w:t>
                  </w:r>
                  <w:r>
                    <w:rPr>
                      <w:rFonts w:hint="eastAsia" w:cs="Times New Roman"/>
                      <w:color w:val="0000FC"/>
                      <w:sz w:val="21"/>
                      <w:szCs w:val="21"/>
                      <w:highlight w:val="none"/>
                      <w:lang w:val="en-US" w:eastAsia="zh-CN"/>
                    </w:rPr>
                    <w:t>严禁固体废弃物</w:t>
                  </w:r>
                  <w:r>
                    <w:rPr>
                      <w:rFonts w:hint="eastAsia" w:ascii="Times New Roman" w:hAnsi="Times New Roman" w:cs="Times New Roman"/>
                      <w:color w:val="0000FC"/>
                      <w:sz w:val="21"/>
                      <w:szCs w:val="21"/>
                      <w:highlight w:val="none"/>
                      <w:lang w:val="en-US" w:eastAsia="zh-CN"/>
                    </w:rPr>
                    <w:t>和</w:t>
                  </w:r>
                  <w:r>
                    <w:rPr>
                      <w:rFonts w:hint="eastAsia" w:cs="Times New Roman"/>
                      <w:color w:val="0000FC"/>
                      <w:sz w:val="21"/>
                      <w:szCs w:val="21"/>
                      <w:highlight w:val="none"/>
                      <w:lang w:val="en-US" w:eastAsia="zh-CN"/>
                    </w:rPr>
                    <w:t>生活污水等排放至沟谷</w:t>
                  </w:r>
                  <w:r>
                    <w:rPr>
                      <w:rFonts w:hint="eastAsia" w:ascii="Times New Roman" w:hAnsi="Times New Roman" w:cs="Times New Roman"/>
                      <w:color w:val="0000FC"/>
                      <w:sz w:val="21"/>
                      <w:szCs w:val="21"/>
                      <w:highlight w:val="none"/>
                      <w:lang w:val="en-US" w:eastAsia="zh-CN"/>
                    </w:rPr>
                    <w:t>。</w:t>
                  </w:r>
                  <w:r>
                    <w:rPr>
                      <w:rFonts w:hint="eastAsia" w:ascii="Times New Roman" w:hAnsi="Times New Roman" w:cs="Times New Roman"/>
                      <w:color w:val="FF0000"/>
                      <w:sz w:val="21"/>
                      <w:szCs w:val="21"/>
                      <w:highlight w:val="none"/>
                      <w:lang w:val="en-US" w:eastAsia="zh-CN"/>
                    </w:rPr>
                    <w:t>矿区道路使用碎石铺路，并定期洒水降尘。</w:t>
                  </w:r>
                </w:p>
                <w:p w14:paraId="420F33B1">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FF0000"/>
                      <w:sz w:val="21"/>
                      <w:szCs w:val="21"/>
                      <w:highlight w:val="none"/>
                      <w:lang w:val="en-US" w:eastAsia="zh-CN"/>
                    </w:rPr>
                    <w:t>待闭矿后</w:t>
                  </w:r>
                  <w:r>
                    <w:rPr>
                      <w:rFonts w:hint="default" w:ascii="Times New Roman" w:hAnsi="Times New Roman" w:eastAsia="宋体" w:cs="Times New Roman"/>
                      <w:color w:val="FF0000"/>
                      <w:sz w:val="21"/>
                      <w:szCs w:val="21"/>
                      <w:highlight w:val="none"/>
                      <w:lang w:val="en-US" w:eastAsia="zh-CN"/>
                    </w:rPr>
                    <w:t>将</w:t>
                  </w:r>
                  <w:r>
                    <w:rPr>
                      <w:rFonts w:hint="eastAsia" w:cs="Times New Roman"/>
                      <w:color w:val="FF0000"/>
                      <w:sz w:val="21"/>
                      <w:szCs w:val="21"/>
                      <w:highlight w:val="none"/>
                      <w:lang w:val="en-US" w:eastAsia="zh-CN"/>
                    </w:rPr>
                    <w:t>加工区</w:t>
                  </w:r>
                  <w:r>
                    <w:rPr>
                      <w:rFonts w:hint="default" w:ascii="Times New Roman" w:hAnsi="Times New Roman" w:eastAsia="宋体" w:cs="Times New Roman"/>
                      <w:color w:val="FF0000"/>
                      <w:sz w:val="21"/>
                      <w:szCs w:val="21"/>
                      <w:highlight w:val="none"/>
                      <w:lang w:val="en-US" w:eastAsia="zh-CN"/>
                    </w:rPr>
                    <w:t>及生活办公区</w:t>
                  </w:r>
                  <w:r>
                    <w:rPr>
                      <w:rFonts w:hint="eastAsia" w:cs="Times New Roman"/>
                      <w:color w:val="FF0000"/>
                      <w:sz w:val="21"/>
                      <w:szCs w:val="21"/>
                      <w:highlight w:val="none"/>
                      <w:lang w:val="en-US" w:eastAsia="zh-CN"/>
                    </w:rPr>
                    <w:t>等</w:t>
                  </w:r>
                  <w:r>
                    <w:rPr>
                      <w:rFonts w:hint="default" w:ascii="Times New Roman" w:hAnsi="Times New Roman" w:eastAsia="宋体" w:cs="Times New Roman"/>
                      <w:color w:val="FF0000"/>
                      <w:sz w:val="21"/>
                      <w:szCs w:val="21"/>
                      <w:highlight w:val="none"/>
                      <w:lang w:val="en-US" w:eastAsia="zh-CN"/>
                    </w:rPr>
                    <w:t>建筑物及设备进行拆除</w:t>
                  </w:r>
                  <w:r>
                    <w:rPr>
                      <w:rFonts w:hint="eastAsia" w:cs="Times New Roman"/>
                      <w:color w:val="FF0000"/>
                      <w:sz w:val="21"/>
                      <w:szCs w:val="21"/>
                      <w:highlight w:val="none"/>
                      <w:lang w:val="en-US" w:eastAsia="zh-CN"/>
                    </w:rPr>
                    <w:t>，</w:t>
                  </w:r>
                  <w:r>
                    <w:rPr>
                      <w:rFonts w:hint="default" w:ascii="Times New Roman" w:hAnsi="Times New Roman" w:eastAsia="宋体" w:cs="Times New Roman"/>
                      <w:color w:val="FF0000"/>
                      <w:sz w:val="21"/>
                      <w:szCs w:val="21"/>
                      <w:highlight w:val="none"/>
                      <w:lang w:val="en-US" w:eastAsia="zh-CN"/>
                    </w:rPr>
                    <w:t>对排土场地</w:t>
                  </w:r>
                  <w:r>
                    <w:rPr>
                      <w:rFonts w:hint="eastAsia" w:cs="Times New Roman"/>
                      <w:color w:val="FF0000"/>
                      <w:sz w:val="21"/>
                      <w:szCs w:val="21"/>
                      <w:highlight w:val="none"/>
                      <w:lang w:val="en-US" w:eastAsia="zh-CN"/>
                    </w:rPr>
                    <w:t>、矿区道路</w:t>
                  </w:r>
                  <w:r>
                    <w:rPr>
                      <w:rFonts w:hint="default" w:ascii="Times New Roman" w:hAnsi="Times New Roman" w:eastAsia="宋体" w:cs="Times New Roman"/>
                      <w:color w:val="FF0000"/>
                      <w:sz w:val="21"/>
                      <w:szCs w:val="21"/>
                      <w:highlight w:val="none"/>
                      <w:lang w:val="en-US" w:eastAsia="zh-CN"/>
                    </w:rPr>
                    <w:t>清理，并对场地内压实土地进行翻耕平整、覆土后，进行生态恢复绿化措施</w:t>
                  </w:r>
                  <w:r>
                    <w:rPr>
                      <w:rFonts w:hint="eastAsia" w:cs="Times New Roman"/>
                      <w:color w:val="FF0000"/>
                      <w:sz w:val="21"/>
                      <w:szCs w:val="21"/>
                      <w:highlight w:val="none"/>
                      <w:lang w:val="en-US" w:eastAsia="zh-CN"/>
                    </w:rPr>
                    <w:t>。</w:t>
                  </w:r>
                </w:p>
              </w:tc>
              <w:tc>
                <w:tcPr>
                  <w:tcW w:w="1194" w:type="pct"/>
                  <w:tcBorders>
                    <w:tl2br w:val="nil"/>
                    <w:tr2bl w:val="nil"/>
                  </w:tcBorders>
                  <w:noWrap w:val="0"/>
                  <w:vAlign w:val="center"/>
                </w:tcPr>
                <w:p w14:paraId="013FCCDE">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eastAsia" w:cs="Times New Roman"/>
                      <w:color w:val="FF0000"/>
                      <w:sz w:val="21"/>
                      <w:szCs w:val="21"/>
                      <w:highlight w:val="none"/>
                      <w:lang w:val="en-US" w:eastAsia="zh-CN"/>
                    </w:rPr>
                    <w:t>待闭矿后</w:t>
                  </w:r>
                  <w:r>
                    <w:rPr>
                      <w:rFonts w:hint="default" w:ascii="Times New Roman" w:hAnsi="Times New Roman" w:eastAsia="宋体" w:cs="Times New Roman"/>
                      <w:color w:val="FF0000"/>
                      <w:sz w:val="21"/>
                      <w:szCs w:val="21"/>
                      <w:highlight w:val="none"/>
                      <w:lang w:val="en-US" w:eastAsia="zh-CN"/>
                    </w:rPr>
                    <w:t>将</w:t>
                  </w:r>
                  <w:r>
                    <w:rPr>
                      <w:rFonts w:hint="eastAsia" w:cs="Times New Roman"/>
                      <w:color w:val="FF0000"/>
                      <w:sz w:val="21"/>
                      <w:szCs w:val="21"/>
                      <w:highlight w:val="none"/>
                      <w:lang w:val="en-US" w:eastAsia="zh-CN"/>
                    </w:rPr>
                    <w:t>加工区</w:t>
                  </w:r>
                  <w:r>
                    <w:rPr>
                      <w:rFonts w:hint="default" w:ascii="Times New Roman" w:hAnsi="Times New Roman" w:eastAsia="宋体" w:cs="Times New Roman"/>
                      <w:color w:val="FF0000"/>
                      <w:sz w:val="21"/>
                      <w:szCs w:val="21"/>
                      <w:highlight w:val="none"/>
                      <w:lang w:val="en-US" w:eastAsia="zh-CN"/>
                    </w:rPr>
                    <w:t>及生活办公区</w:t>
                  </w:r>
                  <w:r>
                    <w:rPr>
                      <w:rFonts w:hint="eastAsia" w:cs="Times New Roman"/>
                      <w:color w:val="FF0000"/>
                      <w:sz w:val="21"/>
                      <w:szCs w:val="21"/>
                      <w:highlight w:val="none"/>
                      <w:lang w:val="en-US" w:eastAsia="zh-CN"/>
                    </w:rPr>
                    <w:t>等</w:t>
                  </w:r>
                  <w:r>
                    <w:rPr>
                      <w:rFonts w:hint="default" w:ascii="Times New Roman" w:hAnsi="Times New Roman" w:eastAsia="宋体" w:cs="Times New Roman"/>
                      <w:color w:val="FF0000"/>
                      <w:sz w:val="21"/>
                      <w:szCs w:val="21"/>
                      <w:highlight w:val="none"/>
                      <w:lang w:val="en-US" w:eastAsia="zh-CN"/>
                    </w:rPr>
                    <w:t>建筑物及设备进行拆除</w:t>
                  </w:r>
                  <w:r>
                    <w:rPr>
                      <w:rFonts w:hint="eastAsia" w:cs="Times New Roman"/>
                      <w:color w:val="FF0000"/>
                      <w:sz w:val="21"/>
                      <w:szCs w:val="21"/>
                      <w:highlight w:val="none"/>
                      <w:lang w:val="en-US" w:eastAsia="zh-CN"/>
                    </w:rPr>
                    <w:t>，</w:t>
                  </w:r>
                  <w:r>
                    <w:rPr>
                      <w:rFonts w:hint="default" w:ascii="Times New Roman" w:hAnsi="Times New Roman" w:eastAsia="宋体" w:cs="Times New Roman"/>
                      <w:color w:val="FF0000"/>
                      <w:sz w:val="21"/>
                      <w:szCs w:val="21"/>
                      <w:highlight w:val="none"/>
                      <w:lang w:val="en-US" w:eastAsia="zh-CN"/>
                    </w:rPr>
                    <w:t>对排土场地</w:t>
                  </w:r>
                  <w:r>
                    <w:rPr>
                      <w:rFonts w:hint="eastAsia" w:cs="Times New Roman"/>
                      <w:color w:val="FF0000"/>
                      <w:sz w:val="21"/>
                      <w:szCs w:val="21"/>
                      <w:highlight w:val="none"/>
                      <w:lang w:val="en-US" w:eastAsia="zh-CN"/>
                    </w:rPr>
                    <w:t>、矿区道路</w:t>
                  </w:r>
                  <w:r>
                    <w:rPr>
                      <w:rFonts w:hint="default" w:ascii="Times New Roman" w:hAnsi="Times New Roman" w:eastAsia="宋体" w:cs="Times New Roman"/>
                      <w:color w:val="FF0000"/>
                      <w:sz w:val="21"/>
                      <w:szCs w:val="21"/>
                      <w:highlight w:val="none"/>
                      <w:lang w:val="en-US" w:eastAsia="zh-CN"/>
                    </w:rPr>
                    <w:t>清理，并对场地内压实土地进行翻耕平整、覆土后，进行生态恢复绿化措施</w:t>
                  </w:r>
                  <w:r>
                    <w:rPr>
                      <w:rFonts w:hint="eastAsia" w:cs="Times New Roman"/>
                      <w:color w:val="FF0000"/>
                      <w:sz w:val="21"/>
                      <w:szCs w:val="21"/>
                      <w:highlight w:val="none"/>
                      <w:lang w:val="en-US" w:eastAsia="zh-CN"/>
                    </w:rPr>
                    <w:t>。</w:t>
                  </w:r>
                </w:p>
              </w:tc>
            </w:tr>
            <w:tr w14:paraId="44E20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07" w:type="pct"/>
                  <w:vMerge w:val="continue"/>
                  <w:tcBorders>
                    <w:tl2br w:val="nil"/>
                    <w:tr2bl w:val="nil"/>
                  </w:tcBorders>
                  <w:noWrap w:val="0"/>
                  <w:vAlign w:val="center"/>
                </w:tcPr>
                <w:p w14:paraId="62B5D494">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rPr>
                  </w:pPr>
                </w:p>
              </w:tc>
              <w:tc>
                <w:tcPr>
                  <w:tcW w:w="893" w:type="pct"/>
                  <w:tcBorders>
                    <w:tl2br w:val="nil"/>
                    <w:tr2bl w:val="nil"/>
                  </w:tcBorders>
                  <w:noWrap w:val="0"/>
                  <w:vAlign w:val="center"/>
                </w:tcPr>
                <w:p w14:paraId="0D23C7B7">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服务期满生态恢复</w:t>
                  </w:r>
                </w:p>
              </w:tc>
              <w:tc>
                <w:tcPr>
                  <w:tcW w:w="2504" w:type="pct"/>
                  <w:tcBorders>
                    <w:tl2br w:val="nil"/>
                    <w:tr2bl w:val="nil"/>
                  </w:tcBorders>
                  <w:noWrap w:val="0"/>
                  <w:vAlign w:val="center"/>
                </w:tcPr>
                <w:p w14:paraId="6CAD4FD1">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本方案结合当地的自然条件和立地条件，及水土保持、防风固沙的要求，适合先锋植物和适生树种的生理生态习性，种草最终选用垂穗披碱草、同德小花碱茅、青海冷地早熟禾和扁穗冰草四种搭配种植。灌木</w:t>
                  </w:r>
                  <w:r>
                    <w:rPr>
                      <w:rFonts w:hint="eastAsia" w:cs="Times New Roman"/>
                      <w:color w:val="000000"/>
                      <w:sz w:val="21"/>
                      <w:szCs w:val="21"/>
                      <w:highlight w:val="none"/>
                      <w:lang w:val="en-US" w:eastAsia="zh-CN"/>
                    </w:rPr>
                    <w:t>以</w:t>
                  </w:r>
                  <w:r>
                    <w:rPr>
                      <w:rFonts w:hint="eastAsia" w:ascii="Times New Roman" w:hAnsi="Times New Roman" w:eastAsia="宋体" w:cs="Times New Roman"/>
                      <w:color w:val="000000"/>
                      <w:sz w:val="21"/>
                      <w:szCs w:val="21"/>
                      <w:highlight w:val="none"/>
                      <w:lang w:val="en-US" w:eastAsia="zh-CN"/>
                    </w:rPr>
                    <w:t>原生灌木金露梅为主进行种植，以此提高存活率。同德小花碱茅、垂穗披碱草、青海冷地早熟禾和扁穗冰草是适合项目区的先锋草种，金露梅属原生灌木种，在播撒草籽及种植灌木苗时要求精细整地，播前镇压，建议春播（</w:t>
                  </w:r>
                  <w:r>
                    <w:rPr>
                      <w:rFonts w:hint="default" w:ascii="Times New Roman" w:hAnsi="Times New Roman" w:eastAsia="宋体" w:cs="Times New Roman"/>
                      <w:color w:val="000000"/>
                      <w:sz w:val="21"/>
                      <w:szCs w:val="21"/>
                      <w:highlight w:val="none"/>
                      <w:lang w:val="en-US" w:eastAsia="zh-CN"/>
                    </w:rPr>
                    <w:t>5-6</w:t>
                  </w:r>
                  <w:r>
                    <w:rPr>
                      <w:rFonts w:hint="eastAsia" w:ascii="Times New Roman" w:hAnsi="Times New Roman" w:eastAsia="宋体" w:cs="Times New Roman"/>
                      <w:color w:val="000000"/>
                      <w:sz w:val="21"/>
                      <w:szCs w:val="21"/>
                      <w:highlight w:val="none"/>
                      <w:lang w:val="en-US" w:eastAsia="zh-CN"/>
                    </w:rPr>
                    <w:t>月）</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播种后</w:t>
                  </w:r>
                  <w:r>
                    <w:rPr>
                      <w:rFonts w:hint="default" w:ascii="Times New Roman" w:hAnsi="Times New Roman" w:eastAsia="宋体" w:cs="Times New Roman"/>
                      <w:color w:val="000000"/>
                      <w:sz w:val="21"/>
                      <w:szCs w:val="21"/>
                      <w:highlight w:val="none"/>
                      <w:lang w:val="en-US" w:eastAsia="zh-CN"/>
                    </w:rPr>
                    <w:t>定期进行养护，并保证其成活率</w:t>
                  </w:r>
                </w:p>
              </w:tc>
              <w:tc>
                <w:tcPr>
                  <w:tcW w:w="1194" w:type="pct"/>
                  <w:tcBorders>
                    <w:tl2br w:val="nil"/>
                    <w:tr2bl w:val="nil"/>
                  </w:tcBorders>
                  <w:noWrap w:val="0"/>
                  <w:vAlign w:val="center"/>
                </w:tcPr>
                <w:p w14:paraId="262E80D1">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eastAsia="zh-CN"/>
                    </w:rPr>
                    <w:t>无构筑物存留，土地进行平整，对生态环境进行治理恢复</w:t>
                  </w:r>
                  <w:r>
                    <w:rPr>
                      <w:rFonts w:hint="eastAsia" w:ascii="Times New Roman" w:hAnsi="Times New Roman" w:eastAsia="宋体"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lang w:val="en-US" w:eastAsia="zh-CN"/>
                    </w:rPr>
                    <w:t>矿山</w:t>
                  </w:r>
                  <w:r>
                    <w:rPr>
                      <w:rFonts w:hint="eastAsia" w:cs="Times New Roman"/>
                      <w:color w:val="000000"/>
                      <w:sz w:val="21"/>
                      <w:szCs w:val="21"/>
                      <w:highlight w:val="none"/>
                      <w:lang w:val="en-US" w:eastAsia="zh-CN"/>
                    </w:rPr>
                    <w:t>闭矿</w:t>
                  </w:r>
                  <w:r>
                    <w:rPr>
                      <w:rFonts w:hint="eastAsia" w:ascii="Times New Roman" w:hAnsi="Times New Roman" w:eastAsia="宋体" w:cs="Times New Roman"/>
                      <w:color w:val="000000"/>
                      <w:sz w:val="21"/>
                      <w:szCs w:val="21"/>
                      <w:highlight w:val="none"/>
                      <w:lang w:val="en-US" w:eastAsia="zh-CN"/>
                    </w:rPr>
                    <w:t>后及时进行土地复垦、植被恢复</w:t>
                  </w:r>
                  <w:r>
                    <w:rPr>
                      <w:rFonts w:hint="eastAsia" w:cs="Times New Roman"/>
                      <w:color w:val="000000"/>
                      <w:sz w:val="21"/>
                      <w:szCs w:val="21"/>
                      <w:highlight w:val="none"/>
                      <w:lang w:val="en-US" w:eastAsia="zh-CN"/>
                    </w:rPr>
                    <w:t>；</w:t>
                  </w:r>
                  <w:r>
                    <w:rPr>
                      <w:rFonts w:hint="eastAsia" w:cs="Times New Roman"/>
                      <w:color w:val="0000FF"/>
                      <w:sz w:val="21"/>
                      <w:szCs w:val="21"/>
                      <w:highlight w:val="none"/>
                      <w:lang w:val="en-US" w:eastAsia="zh-CN"/>
                    </w:rPr>
                    <w:t>露天采场、边坡、临时用地恢复效果达到建设前生态环境现状，根据土地复垦方案进行恢复，植被覆盖率达到55%以上</w:t>
                  </w:r>
                </w:p>
              </w:tc>
            </w:tr>
          </w:tbl>
          <w:p w14:paraId="6F198D24">
            <w:pPr>
              <w:pageBreakBefore w:val="0"/>
              <w:numPr>
                <w:ilvl w:val="0"/>
                <w:numId w:val="0"/>
              </w:numPr>
              <w:kinsoku/>
              <w:wordWrap/>
              <w:overflowPunct/>
              <w:topLinePunct w:val="0"/>
              <w:bidi w:val="0"/>
              <w:spacing w:beforeAutospacing="0" w:afterAutospacing="0" w:line="360" w:lineRule="auto"/>
              <w:ind w:firstLine="0" w:firstLineChars="0"/>
              <w:rPr>
                <w:rFonts w:hint="eastAsia" w:ascii="Times New Roman" w:hAnsi="Times New Roman" w:eastAsia="宋体"/>
                <w:b/>
                <w:bCs/>
                <w:sz w:val="24"/>
                <w:szCs w:val="24"/>
                <w:highlight w:val="yellow"/>
                <w:lang w:val="en-US" w:eastAsia="zh-CN"/>
              </w:rPr>
            </w:pPr>
            <w:r>
              <w:rPr>
                <w:rFonts w:hint="eastAsia" w:ascii="Times New Roman" w:hAnsi="Times New Roman" w:eastAsia="宋体"/>
                <w:b/>
                <w:bCs/>
                <w:sz w:val="24"/>
                <w:szCs w:val="24"/>
                <w:lang w:val="en-US" w:eastAsia="zh-CN"/>
              </w:rPr>
              <w:t>2</w:t>
            </w:r>
            <w:r>
              <w:rPr>
                <w:rFonts w:hint="eastAsia"/>
                <w:b/>
                <w:bCs/>
                <w:sz w:val="24"/>
                <w:szCs w:val="24"/>
                <w:lang w:val="en-US" w:eastAsia="zh-CN"/>
              </w:rPr>
              <w:t>、</w:t>
            </w:r>
            <w:r>
              <w:rPr>
                <w:rFonts w:hint="eastAsia" w:ascii="Times New Roman" w:hAnsi="Times New Roman" w:eastAsia="宋体"/>
                <w:b/>
                <w:bCs/>
                <w:sz w:val="24"/>
                <w:szCs w:val="24"/>
                <w:lang w:val="en-US" w:eastAsia="zh-CN"/>
              </w:rPr>
              <w:t>闭矿期的生态环境影响及恢复措施</w:t>
            </w:r>
          </w:p>
          <w:p w14:paraId="67BA0EF9">
            <w:pPr>
              <w:pageBreakBefore w:val="0"/>
              <w:widowControl w:val="0"/>
              <w:kinsoku/>
              <w:wordWrap/>
              <w:overflowPunct/>
              <w:topLinePunct w:val="0"/>
              <w:autoSpaceDE/>
              <w:autoSpaceDN/>
              <w:bidi w:val="0"/>
              <w:spacing w:beforeAutospacing="0" w:afterAutospacing="0" w:line="360" w:lineRule="auto"/>
              <w:ind w:firstLine="482" w:firstLineChars="200"/>
              <w:textAlignment w:val="auto"/>
              <w:rPr>
                <w:rFonts w:hint="default" w:ascii="Times New Roman" w:hAnsi="Times New Roman" w:eastAsia="宋体" w:cs="Times New Roman"/>
                <w:b/>
                <w:bCs/>
                <w:color w:val="0000FC"/>
                <w:kern w:val="2"/>
                <w:sz w:val="24"/>
                <w:szCs w:val="24"/>
                <w:lang w:val="en-US" w:eastAsia="zh-CN" w:bidi="ar-SA"/>
              </w:rPr>
            </w:pPr>
            <w:r>
              <w:rPr>
                <w:rFonts w:hint="eastAsia" w:cs="Times New Roman"/>
                <w:b/>
                <w:bCs/>
                <w:color w:val="0000FC"/>
                <w:kern w:val="2"/>
                <w:sz w:val="24"/>
                <w:szCs w:val="24"/>
                <w:lang w:val="en-US" w:eastAsia="zh-CN" w:bidi="ar-SA"/>
              </w:rPr>
              <w:t>2.1闭矿期的生态环境影响分析</w:t>
            </w:r>
          </w:p>
          <w:p w14:paraId="5BCC80BA">
            <w:pPr>
              <w:pageBreakBefore w:val="0"/>
              <w:widowControl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eastAsia="宋体"/>
                <w:color w:val="0000FC"/>
                <w:sz w:val="24"/>
                <w:lang w:val="en-US" w:eastAsia="zh-CN"/>
              </w:rPr>
            </w:pPr>
            <w:r>
              <w:rPr>
                <w:rFonts w:hint="default" w:ascii="Times New Roman" w:hAnsi="Times New Roman" w:eastAsia="宋体"/>
                <w:color w:val="0000FC"/>
                <w:sz w:val="24"/>
                <w:lang w:val="en-US" w:eastAsia="zh-CN"/>
              </w:rPr>
              <w:t>闭矿治理恢复期做好闭矿矿山环境恢复治理，矿山闭矿后，对因矿山开采所产生的地质灾害及环境问题，进行全部彻底治理，使整个矿区生态环境得到明显改善和重建。</w:t>
            </w:r>
          </w:p>
          <w:p w14:paraId="65E6CFC6">
            <w:pPr>
              <w:pageBreakBefore w:val="0"/>
              <w:widowControl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eastAsia="宋体"/>
                <w:color w:val="0000FC"/>
                <w:sz w:val="24"/>
                <w:lang w:val="en-US" w:eastAsia="zh-CN"/>
              </w:rPr>
            </w:pPr>
            <w:r>
              <w:rPr>
                <w:rFonts w:hint="eastAsia"/>
                <w:color w:val="0000FC"/>
                <w:sz w:val="24"/>
                <w:lang w:val="en-US" w:eastAsia="zh-CN"/>
              </w:rPr>
              <w:t>（</w:t>
            </w:r>
            <w:r>
              <w:rPr>
                <w:rFonts w:hint="default" w:ascii="Times New Roman" w:hAnsi="Times New Roman" w:eastAsia="宋体"/>
                <w:color w:val="0000FC"/>
                <w:sz w:val="24"/>
                <w:lang w:val="en-US" w:eastAsia="zh-CN"/>
              </w:rPr>
              <w:t>1</w:t>
            </w:r>
            <w:r>
              <w:rPr>
                <w:rFonts w:hint="eastAsia"/>
                <w:color w:val="0000FC"/>
                <w:sz w:val="24"/>
                <w:lang w:val="en-US" w:eastAsia="zh-CN"/>
              </w:rPr>
              <w:t>）</w:t>
            </w:r>
            <w:r>
              <w:rPr>
                <w:rFonts w:hint="default" w:ascii="Times New Roman" w:hAnsi="Times New Roman" w:eastAsia="宋体"/>
                <w:color w:val="0000FC"/>
                <w:sz w:val="24"/>
                <w:lang w:val="en-US" w:eastAsia="zh-CN"/>
              </w:rPr>
              <w:t>随着资源的枯竭，与矿山等有关开采的各产污设备也将完成其服务功能，各个产污环节也将减弱或消失，如设备噪声、粉尘等环境空气污染物等，区域环境质量会随之好转。</w:t>
            </w:r>
          </w:p>
          <w:p w14:paraId="7191B864">
            <w:pPr>
              <w:pageBreakBefore w:val="0"/>
              <w:widowControl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eastAsia="宋体"/>
                <w:color w:val="0000FC"/>
                <w:sz w:val="24"/>
                <w:lang w:val="en-US" w:eastAsia="zh-CN"/>
              </w:rPr>
            </w:pPr>
            <w:r>
              <w:rPr>
                <w:rFonts w:hint="eastAsia"/>
                <w:color w:val="0000FC"/>
                <w:sz w:val="24"/>
                <w:lang w:val="en-US" w:eastAsia="zh-CN"/>
              </w:rPr>
              <w:t>（</w:t>
            </w:r>
            <w:r>
              <w:rPr>
                <w:rFonts w:hint="default" w:ascii="Times New Roman" w:hAnsi="Times New Roman" w:eastAsia="宋体"/>
                <w:color w:val="0000FC"/>
                <w:sz w:val="24"/>
                <w:lang w:val="en-US" w:eastAsia="zh-CN"/>
              </w:rPr>
              <w:t>2</w:t>
            </w:r>
            <w:r>
              <w:rPr>
                <w:rFonts w:hint="eastAsia"/>
                <w:color w:val="0000FC"/>
                <w:sz w:val="24"/>
                <w:lang w:val="en-US" w:eastAsia="zh-CN"/>
              </w:rPr>
              <w:t>）</w:t>
            </w:r>
            <w:r>
              <w:rPr>
                <w:rFonts w:hint="default" w:ascii="Times New Roman" w:hAnsi="Times New Roman" w:eastAsia="宋体"/>
                <w:color w:val="0000FC"/>
                <w:sz w:val="24"/>
                <w:lang w:val="en-US" w:eastAsia="zh-CN"/>
              </w:rPr>
              <w:t>矿山、</w:t>
            </w:r>
            <w:r>
              <w:rPr>
                <w:rFonts w:hint="eastAsia" w:ascii="Times New Roman" w:hAnsi="Times New Roman" w:eastAsia="宋体"/>
                <w:color w:val="0000FC"/>
                <w:sz w:val="24"/>
                <w:lang w:val="en-US" w:eastAsia="zh-CN"/>
              </w:rPr>
              <w:t>排土场</w:t>
            </w:r>
            <w:r>
              <w:rPr>
                <w:rFonts w:hint="default" w:ascii="Times New Roman" w:hAnsi="Times New Roman" w:eastAsia="宋体"/>
                <w:color w:val="0000FC"/>
                <w:sz w:val="24"/>
                <w:lang w:val="en-US" w:eastAsia="zh-CN"/>
              </w:rPr>
              <w:t>、办公生活区、</w:t>
            </w:r>
            <w:r>
              <w:rPr>
                <w:rFonts w:hint="eastAsia" w:ascii="Times New Roman" w:hAnsi="Times New Roman" w:eastAsia="宋体"/>
                <w:color w:val="0000FC"/>
                <w:sz w:val="24"/>
                <w:lang w:val="en-US" w:eastAsia="zh-CN"/>
              </w:rPr>
              <w:t>加工区、</w:t>
            </w:r>
            <w:r>
              <w:rPr>
                <w:rFonts w:hint="default" w:ascii="Times New Roman" w:hAnsi="Times New Roman" w:eastAsia="宋体"/>
                <w:color w:val="0000FC"/>
                <w:sz w:val="24"/>
                <w:lang w:val="en-US" w:eastAsia="zh-CN"/>
              </w:rPr>
              <w:t>道路可得以全部复垦或绿化，所贮存的固体废物的性质趋于稳定，对环境的不利影响将逐步消失。复垦绿化的完成，将增加绿地面积，整个矿区的植被生物量将大大提高。</w:t>
            </w:r>
          </w:p>
          <w:p w14:paraId="41BC7FC8">
            <w:pPr>
              <w:pageBreakBefore w:val="0"/>
              <w:widowControl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eastAsia="宋体"/>
                <w:color w:val="0000FC"/>
                <w:sz w:val="24"/>
                <w:lang w:val="en-US" w:eastAsia="zh-CN"/>
              </w:rPr>
            </w:pPr>
            <w:r>
              <w:rPr>
                <w:rFonts w:hint="eastAsia"/>
                <w:color w:val="0000FC"/>
                <w:sz w:val="24"/>
                <w:lang w:val="en-US" w:eastAsia="zh-CN"/>
              </w:rPr>
              <w:t>（</w:t>
            </w:r>
            <w:r>
              <w:rPr>
                <w:rFonts w:hint="default" w:ascii="Times New Roman" w:hAnsi="Times New Roman" w:eastAsia="宋体"/>
                <w:color w:val="0000FC"/>
                <w:sz w:val="24"/>
                <w:lang w:val="en-US" w:eastAsia="zh-CN"/>
              </w:rPr>
              <w:t>3</w:t>
            </w:r>
            <w:r>
              <w:rPr>
                <w:rFonts w:hint="eastAsia"/>
                <w:color w:val="0000FC"/>
                <w:sz w:val="24"/>
                <w:lang w:val="en-US" w:eastAsia="zh-CN"/>
              </w:rPr>
              <w:t>）</w:t>
            </w:r>
            <w:r>
              <w:rPr>
                <w:rFonts w:hint="default" w:ascii="Times New Roman" w:hAnsi="Times New Roman" w:eastAsia="宋体"/>
                <w:color w:val="0000FC"/>
                <w:sz w:val="24"/>
                <w:lang w:val="en-US" w:eastAsia="zh-CN"/>
              </w:rPr>
              <w:t>矿山闭矿时将形成一个大的终采坡面，如不对巨大裸露坡面进行合理的处置，在矿山闭矿期仍可能对环境产生景观和地质灾害危害等不利影响。项目实行边生产边恢复的生产方式，恢复植被生态。矿山闭矿期应严格按照评价制定的生态恢复措施进行生态恢复，维持当地生态环境的可持续发展。</w:t>
            </w:r>
            <w:r>
              <w:rPr>
                <w:rFonts w:hint="eastAsia" w:ascii="Times New Roman" w:hAnsi="Times New Roman" w:eastAsia="宋体" w:cs="Times New Roman"/>
                <w:color w:val="0000FC"/>
                <w:kern w:val="2"/>
                <w:sz w:val="24"/>
                <w:szCs w:val="24"/>
                <w:lang w:val="en-US" w:eastAsia="zh-CN" w:bidi="ar-SA"/>
              </w:rPr>
              <w:t>闭矿期至复垦完成期间，地表裸露，改变原有地貌。项目矿山服务期满后，需对开采区回填复垦，恢复原有的土地利用类型。通过矿山治理和生态恢复，随着草木的生长和植被恢复，边坡稳定，土地复垦，矿区逐渐恢复为自然景观，矿区生态环境会逐渐向良性方向发展。</w:t>
            </w:r>
          </w:p>
          <w:p w14:paraId="0A65783D">
            <w:pPr>
              <w:pageBreakBefore w:val="0"/>
              <w:widowControl w:val="0"/>
              <w:kinsoku/>
              <w:wordWrap/>
              <w:overflowPunct/>
              <w:topLinePunct w:val="0"/>
              <w:autoSpaceDE/>
              <w:autoSpaceDN/>
              <w:bidi w:val="0"/>
              <w:spacing w:beforeAutospacing="0" w:afterAutospacing="0" w:line="360" w:lineRule="auto"/>
              <w:ind w:firstLine="480" w:firstLineChars="200"/>
              <w:textAlignment w:val="auto"/>
              <w:rPr>
                <w:rFonts w:hint="eastAsia" w:ascii="Times New Roman" w:hAnsi="Times New Roman" w:eastAsia="宋体" w:cs="Times New Roman"/>
                <w:b w:val="0"/>
                <w:bCs w:val="0"/>
                <w:color w:val="0000FC"/>
                <w:kern w:val="2"/>
                <w:sz w:val="24"/>
                <w:szCs w:val="24"/>
                <w:lang w:val="en-US" w:eastAsia="zh-CN" w:bidi="ar-SA"/>
              </w:rPr>
            </w:pPr>
            <w:r>
              <w:rPr>
                <w:rFonts w:hint="eastAsia"/>
                <w:color w:val="0000FC"/>
                <w:sz w:val="24"/>
                <w:lang w:val="en-US" w:eastAsia="zh-CN"/>
              </w:rPr>
              <w:t>（</w:t>
            </w:r>
            <w:r>
              <w:rPr>
                <w:rFonts w:hint="default" w:ascii="Times New Roman" w:hAnsi="Times New Roman" w:eastAsia="宋体"/>
                <w:color w:val="0000FC"/>
                <w:sz w:val="24"/>
                <w:lang w:val="en-US" w:eastAsia="zh-CN"/>
              </w:rPr>
              <w:t>4</w:t>
            </w:r>
            <w:r>
              <w:rPr>
                <w:rFonts w:hint="eastAsia"/>
                <w:color w:val="0000FC"/>
                <w:sz w:val="24"/>
                <w:lang w:val="en-US" w:eastAsia="zh-CN"/>
              </w:rPr>
              <w:t>）</w:t>
            </w:r>
            <w:r>
              <w:rPr>
                <w:rFonts w:hint="default" w:ascii="Times New Roman" w:hAnsi="Times New Roman" w:eastAsia="宋体"/>
                <w:color w:val="0000FC"/>
                <w:sz w:val="24"/>
                <w:lang w:val="en-US" w:eastAsia="zh-CN"/>
              </w:rPr>
              <w:t>矿山生产中，对矿区范围自然环境内及其岩、土体产生一定破坏，造成植被遭毁，使当地的生态环境在一定程度上失去平衡，因此在开采终了后，应对终了边坡按相关安全规范进行妥善</w:t>
            </w:r>
            <w:r>
              <w:rPr>
                <w:rFonts w:hint="eastAsia"/>
                <w:color w:val="0000FC"/>
                <w:sz w:val="24"/>
                <w:lang w:val="en-US" w:eastAsia="zh-CN"/>
              </w:rPr>
              <w:t>地</w:t>
            </w:r>
            <w:r>
              <w:rPr>
                <w:rFonts w:hint="default" w:ascii="Times New Roman" w:hAnsi="Times New Roman" w:eastAsia="宋体"/>
                <w:color w:val="0000FC"/>
                <w:sz w:val="24"/>
                <w:lang w:val="en-US" w:eastAsia="zh-CN"/>
              </w:rPr>
              <w:t>处理，防止边坡的垮塌和崩塌，以避免采动后的地质灾害发生，避免对矿山周边交通运输、人行便道，造成危害。</w:t>
            </w:r>
            <w:r>
              <w:rPr>
                <w:rFonts w:hint="eastAsia" w:ascii="Times New Roman" w:hAnsi="Times New Roman" w:eastAsia="宋体" w:cs="Times New Roman"/>
                <w:color w:val="0000FC"/>
                <w:kern w:val="2"/>
                <w:sz w:val="24"/>
                <w:szCs w:val="24"/>
                <w:lang w:val="en-US" w:eastAsia="zh-CN" w:bidi="ar-SA"/>
              </w:rPr>
              <w:t>开采造成的边坡不稳一定程度上加剧地表侵蚀速度，增加边坡泄流发生的危险性；同时，雨水冲刷</w:t>
            </w:r>
            <w:r>
              <w:rPr>
                <w:rFonts w:hint="eastAsia" w:cs="Times New Roman"/>
                <w:color w:val="0000FC"/>
                <w:kern w:val="2"/>
                <w:sz w:val="24"/>
                <w:szCs w:val="24"/>
                <w:lang w:val="en-US" w:eastAsia="zh-CN" w:bidi="ar-SA"/>
              </w:rPr>
              <w:t>正在</w:t>
            </w:r>
            <w:r>
              <w:rPr>
                <w:rFonts w:hint="eastAsia" w:ascii="Times New Roman" w:hAnsi="Times New Roman" w:eastAsia="宋体" w:cs="Times New Roman"/>
                <w:color w:val="0000FC"/>
                <w:kern w:val="2"/>
                <w:sz w:val="24"/>
                <w:szCs w:val="24"/>
                <w:lang w:val="en-US" w:eastAsia="zh-CN" w:bidi="ar-SA"/>
              </w:rPr>
              <w:t>复垦的土地，造成新的水土流失。</w:t>
            </w:r>
          </w:p>
          <w:p w14:paraId="3E192398">
            <w:pPr>
              <w:pageBreakBefore w:val="0"/>
              <w:widowControl w:val="0"/>
              <w:kinsoku/>
              <w:wordWrap/>
              <w:overflowPunct/>
              <w:topLinePunct w:val="0"/>
              <w:autoSpaceDE/>
              <w:autoSpaceDN/>
              <w:bidi w:val="0"/>
              <w:spacing w:beforeAutospacing="0" w:afterAutospacing="0" w:line="360" w:lineRule="auto"/>
              <w:ind w:firstLine="480" w:firstLineChars="200"/>
              <w:textAlignment w:val="auto"/>
              <w:rPr>
                <w:rFonts w:hint="eastAsia" w:ascii="Times New Roman" w:hAnsi="Times New Roman" w:eastAsia="宋体" w:cs="Times New Roman"/>
                <w:color w:val="0000FC"/>
                <w:kern w:val="2"/>
                <w:sz w:val="24"/>
                <w:szCs w:val="24"/>
                <w:lang w:val="en-US" w:eastAsia="zh-CN" w:bidi="ar-SA"/>
              </w:rPr>
            </w:pPr>
            <w:r>
              <w:rPr>
                <w:rFonts w:hint="eastAsia" w:ascii="Times New Roman" w:hAnsi="Times New Roman" w:eastAsia="宋体" w:cs="Times New Roman"/>
                <w:b w:val="0"/>
                <w:bCs w:val="0"/>
                <w:color w:val="0000FC"/>
                <w:kern w:val="2"/>
                <w:sz w:val="24"/>
                <w:szCs w:val="24"/>
                <w:lang w:val="en-US" w:eastAsia="zh-CN" w:bidi="ar-SA"/>
              </w:rPr>
              <w:t>闭矿期生态环境影响主要表现为：生</w:t>
            </w:r>
            <w:r>
              <w:rPr>
                <w:rFonts w:hint="eastAsia" w:ascii="Times New Roman" w:hAnsi="Times New Roman" w:eastAsia="宋体" w:cs="Times New Roman"/>
                <w:color w:val="0000FC"/>
                <w:kern w:val="2"/>
                <w:sz w:val="24"/>
                <w:szCs w:val="24"/>
                <w:lang w:val="en-US" w:eastAsia="zh-CN" w:bidi="ar-SA"/>
              </w:rPr>
              <w:t>态恢复过程中扬尘和施工机械尾气；矿山恢复过程中施工机械设备和运输车辆噪声；地面基础建筑拆除产生的建筑垃圾、施工人员产生的生活垃圾。</w:t>
            </w:r>
          </w:p>
          <w:p w14:paraId="4F7626A5">
            <w:pPr>
              <w:pageBreakBefore w:val="0"/>
              <w:widowControl w:val="0"/>
              <w:numPr>
                <w:ilvl w:val="0"/>
                <w:numId w:val="0"/>
              </w:numPr>
              <w:kinsoku/>
              <w:wordWrap/>
              <w:overflowPunct/>
              <w:topLinePunct w:val="0"/>
              <w:autoSpaceDE/>
              <w:autoSpaceDN/>
              <w:bidi w:val="0"/>
              <w:spacing w:beforeAutospacing="0" w:afterAutospacing="0" w:line="360" w:lineRule="auto"/>
              <w:ind w:firstLine="480" w:firstLineChars="200"/>
              <w:textAlignment w:val="auto"/>
              <w:rPr>
                <w:rFonts w:hint="eastAsia" w:ascii="Times New Roman" w:hAnsi="Times New Roman" w:eastAsia="宋体"/>
                <w:color w:val="FF0000"/>
                <w:sz w:val="24"/>
                <w:lang w:eastAsia="zh-CN"/>
              </w:rPr>
            </w:pPr>
            <w:r>
              <w:rPr>
                <w:rFonts w:hint="eastAsia" w:ascii="Times New Roman" w:hAnsi="Times New Roman" w:eastAsia="宋体"/>
                <w:b w:val="0"/>
                <w:bCs w:val="0"/>
                <w:color w:val="FF0000"/>
                <w:sz w:val="24"/>
                <w:szCs w:val="24"/>
              </w:rPr>
              <w:t>采矿区闭矿期生态恢复措施</w:t>
            </w:r>
            <w:r>
              <w:rPr>
                <w:rFonts w:hint="eastAsia" w:ascii="Times New Roman" w:hAnsi="Times New Roman" w:eastAsia="宋体"/>
                <w:b w:val="0"/>
                <w:bCs w:val="0"/>
                <w:color w:val="FF0000"/>
                <w:sz w:val="24"/>
                <w:szCs w:val="24"/>
                <w:lang w:eastAsia="zh-CN"/>
              </w:rPr>
              <w:t>：</w:t>
            </w:r>
            <w:r>
              <w:rPr>
                <w:rFonts w:hint="eastAsia" w:ascii="Times New Roman" w:hAnsi="Times New Roman" w:eastAsia="宋体"/>
                <w:color w:val="FF0000"/>
                <w:sz w:val="24"/>
              </w:rPr>
              <w:t>根据</w:t>
            </w:r>
            <w:r>
              <w:rPr>
                <w:rFonts w:hint="eastAsia" w:ascii="Times New Roman" w:hAnsi="Times New Roman" w:eastAsia="宋体" w:cs="Times New Roman"/>
                <w:color w:val="FF0000"/>
                <w:kern w:val="2"/>
                <w:sz w:val="24"/>
                <w:szCs w:val="24"/>
                <w:lang w:val="en-US" w:eastAsia="zh-CN" w:bidi="ar-SA"/>
              </w:rPr>
              <w:t>《矿山生态环境保护与恢复治理技术规范（试行）》（HJ651-2013）</w:t>
            </w:r>
            <w:r>
              <w:rPr>
                <w:rFonts w:hint="eastAsia" w:ascii="Times New Roman" w:hAnsi="Times New Roman" w:eastAsia="宋体"/>
                <w:color w:val="FF0000"/>
                <w:sz w:val="24"/>
              </w:rPr>
              <w:t>可知：对砂石料等露天开采矿山，开采方式应符合区域生态建设与环境保护要求，做到资源分级利用。随着矿业活动的进行，在开采过程中将形成采坑边坡，因此，应在矿山开采相对应的时间段，采用“边开采边治理”的原则，开采时采取“分区开采、分区恢复”的开采方案。</w:t>
            </w:r>
            <w:r>
              <w:rPr>
                <w:rFonts w:hint="eastAsia" w:ascii="Times New Roman" w:hAnsi="Times New Roman" w:eastAsia="宋体"/>
                <w:color w:val="FF0000"/>
                <w:sz w:val="24"/>
                <w:lang w:val="en-US" w:eastAsia="zh-CN"/>
              </w:rPr>
              <w:t>本项目开采方式为台阶式开采，</w:t>
            </w:r>
            <w:r>
              <w:rPr>
                <w:rFonts w:hint="eastAsia" w:ascii="Times New Roman" w:hAnsi="Times New Roman" w:eastAsia="宋体"/>
                <w:color w:val="FF0000"/>
                <w:sz w:val="24"/>
              </w:rPr>
              <w:t>由于分级开采，</w:t>
            </w:r>
            <w:r>
              <w:rPr>
                <w:rFonts w:hint="eastAsia" w:ascii="Times New Roman" w:hAnsi="Times New Roman" w:eastAsia="宋体"/>
                <w:color w:val="FF0000"/>
                <w:sz w:val="24"/>
                <w:lang w:eastAsia="zh-CN"/>
              </w:rPr>
              <w:t>在每个采区开采时进行表土剥离，并集中养护，待开采完成后作为治理恢复覆土。同时，对已开采完后形成的</w:t>
            </w:r>
            <w:r>
              <w:rPr>
                <w:rFonts w:hint="default" w:ascii="Times New Roman" w:hAnsi="Times New Roman" w:eastAsia="宋体" w:cs="Times New Roman"/>
                <w:color w:val="FF0000"/>
                <w:sz w:val="24"/>
                <w:lang w:eastAsia="zh-CN"/>
              </w:rPr>
              <w:t>台阶坡面进行平整，</w:t>
            </w:r>
            <w:r>
              <w:rPr>
                <w:rFonts w:hint="eastAsia" w:ascii="Times New Roman" w:hAnsi="Times New Roman" w:eastAsia="宋体"/>
                <w:color w:val="FF0000"/>
                <w:sz w:val="24"/>
                <w:lang w:eastAsia="zh-CN"/>
              </w:rPr>
              <w:t>剥离的表土用作采空区回填覆土，</w:t>
            </w:r>
            <w:r>
              <w:rPr>
                <w:rFonts w:hint="default" w:ascii="Times New Roman" w:hAnsi="Times New Roman" w:eastAsia="宋体" w:cs="Times New Roman"/>
                <w:color w:val="FF0000"/>
                <w:sz w:val="24"/>
                <w:lang w:eastAsia="zh-CN"/>
              </w:rPr>
              <w:t>覆土</w:t>
            </w:r>
            <w:r>
              <w:rPr>
                <w:rFonts w:hint="eastAsia" w:ascii="Times New Roman" w:hAnsi="Times New Roman" w:eastAsia="宋体" w:cs="Times New Roman"/>
                <w:color w:val="FF0000"/>
                <w:sz w:val="24"/>
                <w:lang w:eastAsia="zh-CN"/>
              </w:rPr>
              <w:t>厚度</w:t>
            </w:r>
            <w:r>
              <w:rPr>
                <w:rFonts w:hint="default" w:ascii="Times New Roman" w:hAnsi="Times New Roman" w:eastAsia="宋体" w:cs="Times New Roman"/>
                <w:color w:val="FF0000"/>
                <w:sz w:val="24"/>
                <w:lang w:eastAsia="zh-CN"/>
              </w:rPr>
              <w:t>约</w:t>
            </w:r>
            <w:r>
              <w:rPr>
                <w:rFonts w:hint="default" w:ascii="Times New Roman" w:hAnsi="Times New Roman" w:eastAsia="宋体" w:cs="Times New Roman"/>
                <w:color w:val="FF0000"/>
                <w:sz w:val="24"/>
                <w:lang w:val="en-US" w:eastAsia="zh-CN"/>
              </w:rPr>
              <w:t>2</w:t>
            </w:r>
            <w:r>
              <w:rPr>
                <w:rFonts w:hint="eastAsia" w:cs="Times New Roman"/>
                <w:color w:val="FF0000"/>
                <w:sz w:val="24"/>
                <w:lang w:val="en-US" w:eastAsia="zh-CN"/>
              </w:rPr>
              <w:t>5</w:t>
            </w:r>
            <w:r>
              <w:rPr>
                <w:rFonts w:hint="default" w:ascii="Times New Roman" w:hAnsi="Times New Roman" w:eastAsia="宋体" w:cs="Times New Roman"/>
                <w:color w:val="FF0000"/>
                <w:sz w:val="24"/>
                <w:lang w:val="en-US" w:eastAsia="zh-CN"/>
              </w:rPr>
              <w:t>cm，</w:t>
            </w:r>
            <w:r>
              <w:rPr>
                <w:rFonts w:hint="default" w:ascii="Times New Roman" w:hAnsi="Times New Roman" w:eastAsia="宋体" w:cs="Times New Roman"/>
                <w:color w:val="FF0000"/>
                <w:sz w:val="24"/>
                <w:lang w:eastAsia="zh-CN"/>
              </w:rPr>
              <w:t>采用生</w:t>
            </w:r>
            <w:r>
              <w:rPr>
                <w:rFonts w:hint="eastAsia" w:ascii="Times New Roman" w:hAnsi="Times New Roman" w:eastAsia="宋体" w:cs="Times New Roman"/>
                <w:color w:val="FF0000"/>
                <w:sz w:val="24"/>
                <w:lang w:val="en-US" w:eastAsia="zh-CN"/>
              </w:rPr>
              <w:t>态</w:t>
            </w:r>
            <w:r>
              <w:rPr>
                <w:rFonts w:hint="default" w:ascii="Times New Roman" w:hAnsi="Times New Roman" w:eastAsia="宋体" w:cs="Times New Roman"/>
                <w:color w:val="FF0000"/>
                <w:sz w:val="24"/>
                <w:lang w:eastAsia="zh-CN"/>
              </w:rPr>
              <w:t>袋</w:t>
            </w:r>
            <w:r>
              <w:rPr>
                <w:rFonts w:hint="eastAsia" w:ascii="Times New Roman" w:hAnsi="Times New Roman" w:eastAsia="宋体" w:cs="Times New Roman"/>
                <w:color w:val="FF0000"/>
                <w:sz w:val="24"/>
                <w:lang w:eastAsia="zh-CN"/>
              </w:rPr>
              <w:t>、植草</w:t>
            </w:r>
            <w:r>
              <w:rPr>
                <w:rFonts w:hint="eastAsia" w:ascii="Times New Roman" w:hAnsi="Times New Roman" w:eastAsia="宋体" w:cs="Times New Roman"/>
                <w:color w:val="FF0000"/>
                <w:sz w:val="24"/>
                <w:lang w:val="en-US" w:eastAsia="zh-CN"/>
              </w:rPr>
              <w:t>袋等</w:t>
            </w:r>
            <w:r>
              <w:rPr>
                <w:rFonts w:hint="default" w:ascii="Times New Roman" w:hAnsi="Times New Roman" w:eastAsia="宋体" w:cs="Times New Roman"/>
                <w:color w:val="FF0000"/>
                <w:sz w:val="24"/>
                <w:lang w:eastAsia="zh-CN"/>
              </w:rPr>
              <w:t>进行治理</w:t>
            </w:r>
            <w:r>
              <w:rPr>
                <w:rFonts w:hint="default" w:ascii="Times New Roman" w:hAnsi="Times New Roman" w:eastAsia="宋体"/>
                <w:color w:val="FF0000"/>
                <w:sz w:val="24"/>
                <w:lang w:eastAsia="zh-CN"/>
              </w:rPr>
              <w:t>，</w:t>
            </w:r>
            <w:r>
              <w:rPr>
                <w:rFonts w:hint="eastAsia" w:ascii="Times New Roman" w:hAnsi="Times New Roman" w:eastAsia="宋体"/>
                <w:color w:val="FF0000"/>
                <w:sz w:val="24"/>
                <w:lang w:eastAsia="zh-CN"/>
              </w:rPr>
              <w:t>对开采区边开采边进行生态恢复治理。</w:t>
            </w:r>
          </w:p>
          <w:p w14:paraId="6BCBEA5A">
            <w:pPr>
              <w:keepNext w:val="0"/>
              <w:keepLines w:val="0"/>
              <w:widowControl/>
              <w:suppressLineNumbers w:val="0"/>
              <w:jc w:val="left"/>
              <w:rPr>
                <w:rFonts w:hint="default" w:ascii="Times New Roman" w:hAnsi="Times New Roman" w:eastAsia="宋体"/>
                <w:b/>
                <w:bCs/>
                <w:color w:val="000000"/>
                <w:kern w:val="2"/>
                <w:sz w:val="24"/>
                <w:szCs w:val="22"/>
                <w:lang w:val="en-US" w:eastAsia="zh-CN" w:bidi="ar-SA"/>
              </w:rPr>
            </w:pPr>
            <w:r>
              <w:rPr>
                <w:rFonts w:hint="eastAsia"/>
                <w:b/>
                <w:bCs/>
                <w:color w:val="000000"/>
                <w:kern w:val="2"/>
                <w:sz w:val="24"/>
                <w:szCs w:val="22"/>
                <w:lang w:val="en-US" w:eastAsia="zh-CN" w:bidi="ar-SA"/>
              </w:rPr>
              <w:t>2.2闭矿期的恢复治理方案</w:t>
            </w:r>
          </w:p>
          <w:p w14:paraId="66D6042C">
            <w:pPr>
              <w:keepNext w:val="0"/>
              <w:keepLines w:val="0"/>
              <w:widowControl/>
              <w:suppressLineNumbers w:val="0"/>
              <w:jc w:val="left"/>
            </w:pPr>
            <w:r>
              <w:rPr>
                <w:rFonts w:hint="eastAsia" w:ascii="Times New Roman" w:hAnsi="Times New Roman" w:eastAsia="宋体"/>
                <w:color w:val="000000"/>
                <w:kern w:val="2"/>
                <w:sz w:val="24"/>
                <w:szCs w:val="22"/>
                <w:lang w:val="en-US" w:eastAsia="zh-CN" w:bidi="ar-SA"/>
              </w:rPr>
              <w:t>根据项目《复垦方案》，</w:t>
            </w:r>
            <w:r>
              <w:rPr>
                <w:rFonts w:hint="eastAsia" w:ascii="宋体" w:hAnsi="宋体" w:eastAsia="宋体" w:cs="宋体"/>
                <w:color w:val="000000"/>
                <w:kern w:val="0"/>
                <w:sz w:val="24"/>
                <w:szCs w:val="24"/>
                <w:lang w:val="en-US" w:eastAsia="zh-CN" w:bidi="ar"/>
              </w:rPr>
              <w:t>①露天采场：将露天采场边坡及其上部平台复垦为天然牧草地。其下部露天采场较为平整复垦为灌木林地。②生产加工区：将生产加工区复垦为天然牧草地。③成品堆料场：将成品堆料场复垦为天然牧草地。④排土场：将排土场复垦为天然牧草地。⑤生活办公区：将生活办公区复垦为天然牧草地。⑥矿山道路：将矿山道路复垦为天然牧草地。</w:t>
            </w:r>
          </w:p>
          <w:p w14:paraId="42461713">
            <w:pPr>
              <w:pageBreakBefore w:val="0"/>
              <w:widowControl w:val="0"/>
              <w:kinsoku/>
              <w:wordWrap/>
              <w:overflowPunct/>
              <w:topLinePunct w:val="0"/>
              <w:autoSpaceDE/>
              <w:autoSpaceDN/>
              <w:bidi w:val="0"/>
              <w:spacing w:beforeAutospacing="0" w:afterAutospacing="0" w:line="360" w:lineRule="auto"/>
              <w:ind w:firstLine="480" w:firstLineChars="200"/>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种植方式：垂穗披碱草、同德小花碱茅、青海冷地早熟禾和扁穗冰草按</w:t>
            </w:r>
            <w:r>
              <w:rPr>
                <w:rFonts w:hint="default"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混播的方式进行播种，撒播前用保水剂浸种，撒播后覆土</w:t>
            </w:r>
            <w:r>
              <w:rPr>
                <w:rFonts w:hint="default" w:ascii="Times New Roman" w:hAnsi="Times New Roman" w:eastAsia="宋体" w:cs="Times New Roman"/>
                <w:color w:val="000000"/>
                <w:sz w:val="24"/>
                <w:lang w:val="en-US" w:eastAsia="zh-CN"/>
              </w:rPr>
              <w:t>2-3cm</w:t>
            </w:r>
            <w:r>
              <w:rPr>
                <w:rFonts w:hint="eastAsia" w:ascii="Times New Roman" w:hAnsi="Times New Roman" w:eastAsia="宋体" w:cs="Times New Roman"/>
                <w:color w:val="000000"/>
                <w:sz w:val="24"/>
                <w:lang w:val="en-US" w:eastAsia="zh-CN"/>
              </w:rPr>
              <w:t>。灌木种植方法主要包括挖掘坑穴、移植灌木、填充土壤和浇水等，插深不小于</w:t>
            </w:r>
            <w:r>
              <w:rPr>
                <w:rFonts w:hint="default" w:ascii="Times New Roman" w:hAnsi="Times New Roman" w:eastAsia="宋体" w:cs="Times New Roman"/>
                <w:color w:val="000000"/>
                <w:sz w:val="24"/>
                <w:lang w:val="en-US" w:eastAsia="zh-CN"/>
              </w:rPr>
              <w:t>15cm</w:t>
            </w:r>
            <w:r>
              <w:rPr>
                <w:rFonts w:hint="eastAsia" w:ascii="Times New Roman" w:hAnsi="Times New Roman" w:eastAsia="宋体" w:cs="Times New Roman"/>
                <w:color w:val="000000"/>
                <w:sz w:val="24"/>
                <w:lang w:val="en-US" w:eastAsia="zh-CN"/>
              </w:rPr>
              <w:t>。播种密度为</w:t>
            </w:r>
            <w:r>
              <w:rPr>
                <w:rFonts w:hint="default" w:ascii="Times New Roman" w:hAnsi="Times New Roman" w:eastAsia="宋体" w:cs="Times New Roman"/>
                <w:color w:val="000000"/>
                <w:sz w:val="24"/>
                <w:lang w:val="en-US" w:eastAsia="zh-CN"/>
              </w:rPr>
              <w:t>200kg/hm</w:t>
            </w:r>
            <w:r>
              <w:rPr>
                <w:rFonts w:hint="default" w:ascii="Times New Roman" w:hAnsi="Times New Roman" w:eastAsia="宋体" w:cs="Times New Roman"/>
                <w:color w:val="000000"/>
                <w:sz w:val="24"/>
                <w:vertAlign w:val="superscript"/>
                <w:lang w:val="en-US" w:eastAsia="zh-CN"/>
              </w:rPr>
              <w:t>2</w:t>
            </w:r>
            <w:r>
              <w:rPr>
                <w:rFonts w:hint="eastAsia" w:ascii="Times New Roman" w:hAnsi="Times New Roman" w:eastAsia="宋体" w:cs="Times New Roman"/>
                <w:color w:val="000000"/>
                <w:sz w:val="24"/>
                <w:lang w:val="en-US" w:eastAsia="zh-CN"/>
              </w:rPr>
              <w:t>，垂穗披碱草、同德小花碱茅、青海冷地早熟禾和扁穗冰草熟按</w:t>
            </w:r>
            <w:r>
              <w:rPr>
                <w:rFonts w:hint="default"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进行混播，即：垂穗披碱草</w:t>
            </w:r>
            <w:r>
              <w:rPr>
                <w:rFonts w:hint="default" w:ascii="Times New Roman" w:hAnsi="Times New Roman" w:eastAsia="宋体" w:cs="Times New Roman"/>
                <w:color w:val="000000"/>
                <w:sz w:val="24"/>
                <w:lang w:val="en-US" w:eastAsia="zh-CN"/>
              </w:rPr>
              <w:t>110kg/hm</w:t>
            </w:r>
            <w:r>
              <w:rPr>
                <w:rFonts w:hint="default" w:ascii="Times New Roman" w:hAnsi="Times New Roman" w:eastAsia="宋体" w:cs="Times New Roman"/>
                <w:color w:val="000000"/>
                <w:sz w:val="24"/>
                <w:vertAlign w:val="superscript"/>
                <w:lang w:val="en-US" w:eastAsia="zh-CN"/>
              </w:rPr>
              <w:t>2</w:t>
            </w:r>
            <w:r>
              <w:rPr>
                <w:rFonts w:hint="eastAsia" w:ascii="Times New Roman" w:hAnsi="Times New Roman" w:eastAsia="宋体" w:cs="Times New Roman"/>
                <w:color w:val="000000"/>
                <w:sz w:val="24"/>
                <w:lang w:val="en-US" w:eastAsia="zh-CN"/>
              </w:rPr>
              <w:t>，同德小花碱茅</w:t>
            </w:r>
            <w:r>
              <w:rPr>
                <w:rFonts w:hint="default" w:ascii="Times New Roman" w:hAnsi="Times New Roman" w:eastAsia="宋体" w:cs="Times New Roman"/>
                <w:color w:val="000000"/>
                <w:sz w:val="24"/>
                <w:lang w:val="en-US" w:eastAsia="zh-CN"/>
              </w:rPr>
              <w:t>30kg/hm</w:t>
            </w:r>
            <w:r>
              <w:rPr>
                <w:rFonts w:hint="default" w:ascii="Times New Roman" w:hAnsi="Times New Roman" w:eastAsia="宋体" w:cs="Times New Roman"/>
                <w:color w:val="000000"/>
                <w:sz w:val="24"/>
                <w:vertAlign w:val="superscript"/>
                <w:lang w:val="en-US" w:eastAsia="zh-CN"/>
              </w:rPr>
              <w:t>2</w:t>
            </w:r>
            <w:r>
              <w:rPr>
                <w:rFonts w:hint="eastAsia" w:ascii="Times New Roman" w:hAnsi="Times New Roman" w:eastAsia="宋体" w:cs="Times New Roman"/>
                <w:color w:val="000000"/>
                <w:sz w:val="24"/>
                <w:lang w:val="en-US" w:eastAsia="zh-CN"/>
              </w:rPr>
              <w:t xml:space="preserve">，青海冷地早熟禾 </w:t>
            </w:r>
            <w:r>
              <w:rPr>
                <w:rFonts w:hint="default" w:ascii="Times New Roman" w:hAnsi="Times New Roman" w:eastAsia="宋体" w:cs="Times New Roman"/>
                <w:color w:val="000000"/>
                <w:sz w:val="24"/>
                <w:lang w:val="en-US" w:eastAsia="zh-CN"/>
              </w:rPr>
              <w:t>30kg/hm</w:t>
            </w:r>
            <w:r>
              <w:rPr>
                <w:rFonts w:hint="default" w:ascii="Times New Roman" w:hAnsi="Times New Roman" w:eastAsia="宋体" w:cs="Times New Roman"/>
                <w:color w:val="000000"/>
                <w:sz w:val="24"/>
                <w:vertAlign w:val="superscript"/>
                <w:lang w:val="en-US" w:eastAsia="zh-CN"/>
              </w:rPr>
              <w:t>2</w:t>
            </w:r>
            <w:r>
              <w:rPr>
                <w:rFonts w:hint="eastAsia" w:ascii="Times New Roman" w:hAnsi="Times New Roman" w:eastAsia="宋体" w:cs="Times New Roman"/>
                <w:color w:val="000000"/>
                <w:sz w:val="24"/>
                <w:lang w:val="en-US" w:eastAsia="zh-CN"/>
              </w:rPr>
              <w:t>，扁穗冰草</w:t>
            </w:r>
            <w:r>
              <w:rPr>
                <w:rFonts w:hint="default" w:ascii="Times New Roman" w:hAnsi="Times New Roman" w:eastAsia="宋体" w:cs="Times New Roman"/>
                <w:color w:val="000000"/>
                <w:sz w:val="24"/>
                <w:lang w:val="en-US" w:eastAsia="zh-CN"/>
              </w:rPr>
              <w:t>30kg/hm</w:t>
            </w:r>
            <w:r>
              <w:rPr>
                <w:rFonts w:hint="default" w:ascii="Times New Roman" w:hAnsi="Times New Roman" w:eastAsia="宋体" w:cs="Times New Roman"/>
                <w:color w:val="000000"/>
                <w:sz w:val="24"/>
                <w:vertAlign w:val="superscript"/>
                <w:lang w:val="en-US" w:eastAsia="zh-CN"/>
              </w:rPr>
              <w:t>2</w:t>
            </w:r>
            <w:r>
              <w:rPr>
                <w:rFonts w:hint="eastAsia" w:ascii="Times New Roman" w:hAnsi="Times New Roman" w:eastAsia="宋体" w:cs="Times New Roman"/>
                <w:color w:val="000000"/>
                <w:sz w:val="24"/>
                <w:lang w:val="en-US" w:eastAsia="zh-CN"/>
              </w:rPr>
              <w:t>，依据项目区气候特征，在牧区旱作条件下，本方案种植期选择</w:t>
            </w:r>
            <w:r>
              <w:rPr>
                <w:rFonts w:hint="default" w:ascii="Times New Roman" w:hAnsi="Times New Roman" w:eastAsia="宋体" w:cs="Times New Roman"/>
                <w:color w:val="000000"/>
                <w:sz w:val="24"/>
                <w:lang w:val="en-US" w:eastAsia="zh-CN"/>
              </w:rPr>
              <w:t>5</w:t>
            </w:r>
            <w:r>
              <w:rPr>
                <w:rFonts w:hint="eastAsia" w:ascii="Times New Roman" w:hAnsi="Times New Roman" w:eastAsia="宋体" w:cs="Times New Roman"/>
                <w:color w:val="000000"/>
                <w:sz w:val="24"/>
                <w:lang w:val="en-US" w:eastAsia="zh-CN"/>
              </w:rPr>
              <w:t>月初至</w:t>
            </w:r>
            <w:r>
              <w:rPr>
                <w:rFonts w:hint="default"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lang w:val="en-US" w:eastAsia="zh-CN"/>
              </w:rPr>
              <w:t>月上旬最为适宜。在土壤水分适宜时，以春播为好，在春旱严重又无灌溉条件的可在夏季雨后抢墒播种。</w:t>
            </w:r>
          </w:p>
          <w:p w14:paraId="507ADE2D">
            <w:pPr>
              <w:keepNext w:val="0"/>
              <w:keepLines w:val="0"/>
              <w:widowControl/>
              <w:suppressLineNumbers w:val="0"/>
              <w:jc w:val="left"/>
            </w:pPr>
            <w:r>
              <w:rPr>
                <w:rFonts w:hint="eastAsia" w:ascii="宋体" w:hAnsi="宋体" w:eastAsia="宋体" w:cs="宋体"/>
                <w:color w:val="000000"/>
                <w:kern w:val="0"/>
                <w:sz w:val="24"/>
                <w:szCs w:val="24"/>
                <w:lang w:val="en-US" w:eastAsia="zh-CN" w:bidi="ar"/>
              </w:rPr>
              <w:t>项目的主要复垦对象复垦责任范围内的露天采场、生产加工区、成品堆料场、排土场、生活办公区和矿山道路等，面积为</w:t>
            </w:r>
            <w:r>
              <w:rPr>
                <w:rFonts w:hint="default" w:ascii="Times New Roman" w:hAnsi="Times New Roman" w:eastAsia="宋体" w:cs="Times New Roman"/>
                <w:color w:val="000000"/>
                <w:kern w:val="0"/>
                <w:sz w:val="24"/>
                <w:szCs w:val="24"/>
                <w:lang w:val="en-US" w:eastAsia="zh-CN" w:bidi="ar"/>
              </w:rPr>
              <w:t>31.5065h</w:t>
            </w:r>
            <w:r>
              <w:rPr>
                <w:rFonts w:hint="default" w:ascii="Times New Roman" w:hAnsi="Times New Roman" w:eastAsia="宋体" w:cs="Times New Roman"/>
                <w:color w:val="000000"/>
                <w:sz w:val="24"/>
                <w:lang w:val="en-US" w:eastAsia="zh-CN"/>
              </w:rPr>
              <w:t>m</w:t>
            </w:r>
            <w:r>
              <w:rPr>
                <w:rFonts w:hint="default" w:ascii="Times New Roman" w:hAnsi="Times New Roman" w:eastAsia="宋体" w:cs="Times New Roman"/>
                <w:color w:val="000000"/>
                <w:sz w:val="24"/>
                <w:vertAlign w:val="superscript"/>
                <w:lang w:val="en-US" w:eastAsia="zh-CN"/>
              </w:rPr>
              <w:t>2</w:t>
            </w:r>
            <w:r>
              <w:rPr>
                <w:rFonts w:hint="eastAsia" w:ascii="宋体" w:hAnsi="宋体" w:eastAsia="宋体" w:cs="宋体"/>
                <w:color w:val="000000"/>
                <w:kern w:val="0"/>
                <w:sz w:val="24"/>
                <w:szCs w:val="24"/>
                <w:lang w:val="en-US" w:eastAsia="zh-CN" w:bidi="ar"/>
              </w:rPr>
              <w:t>。根据当地土地利用现状以及生态环境建设的需要，因地制宜，确定上述范围恢复为天然牧草地。复垦工程主要内容包括：建筑物拆除、表土铺覆、土壤培肥、播撒草籽、无纺布保墒等。</w:t>
            </w:r>
          </w:p>
          <w:p w14:paraId="30FBA25D">
            <w:pPr>
              <w:pStyle w:val="19"/>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firstLine="480" w:firstLineChars="200"/>
              <w:textAlignment w:val="auto"/>
              <w:rPr>
                <w:rFonts w:hint="default" w:ascii="Times New Roman" w:hAnsi="Times New Roman" w:eastAsia="宋体"/>
                <w:color w:val="000000"/>
                <w:kern w:val="2"/>
                <w:sz w:val="24"/>
                <w:szCs w:val="22"/>
                <w:lang w:val="en-US" w:eastAsia="zh-CN" w:bidi="ar-SA"/>
              </w:rPr>
            </w:pPr>
            <w:r>
              <w:rPr>
                <w:rFonts w:hint="eastAsia" w:ascii="Times New Roman" w:hAnsi="Times New Roman" w:eastAsia="宋体"/>
                <w:color w:val="000000"/>
                <w:kern w:val="2"/>
                <w:sz w:val="24"/>
                <w:szCs w:val="22"/>
                <w:lang w:val="en-US" w:eastAsia="zh-CN" w:bidi="ar-SA"/>
              </w:rPr>
              <w:t>本项目各功能分区具体恢复治理措施如下：</w:t>
            </w:r>
          </w:p>
          <w:p w14:paraId="30E4F3A6">
            <w:pPr>
              <w:pageBreakBefore w:val="0"/>
              <w:widowControl w:val="0"/>
              <w:kinsoku/>
              <w:wordWrap/>
              <w:overflowPunct/>
              <w:topLinePunct w:val="0"/>
              <w:autoSpaceDE/>
              <w:autoSpaceDN/>
              <w:bidi w:val="0"/>
              <w:spacing w:beforeAutospacing="0" w:afterAutospacing="0" w:line="360" w:lineRule="auto"/>
              <w:ind w:firstLine="482" w:firstLineChars="200"/>
              <w:textAlignment w:val="auto"/>
              <w:rPr>
                <w:rFonts w:hint="eastAsia" w:ascii="Times New Roman" w:hAnsi="Times New Roman" w:eastAsia="宋体"/>
                <w:b/>
                <w:bCs/>
                <w:color w:val="000000"/>
                <w:sz w:val="24"/>
              </w:rPr>
            </w:pPr>
            <w:r>
              <w:rPr>
                <w:rFonts w:hint="eastAsia"/>
                <w:b/>
                <w:bCs/>
                <w:color w:val="000000"/>
                <w:sz w:val="24"/>
                <w:lang w:val="en-US" w:eastAsia="zh-CN"/>
              </w:rPr>
              <w:t>2.2.1</w:t>
            </w:r>
            <w:r>
              <w:rPr>
                <w:rFonts w:hint="eastAsia" w:ascii="Times New Roman" w:hAnsi="Times New Roman" w:eastAsia="宋体"/>
                <w:b/>
                <w:bCs/>
                <w:color w:val="000000"/>
                <w:sz w:val="24"/>
              </w:rPr>
              <w:t>露天</w:t>
            </w:r>
            <w:r>
              <w:rPr>
                <w:rFonts w:hint="eastAsia" w:ascii="Times New Roman" w:hAnsi="Times New Roman" w:eastAsia="宋体"/>
                <w:b/>
                <w:bCs/>
                <w:color w:val="000000"/>
                <w:sz w:val="24"/>
                <w:lang w:eastAsia="zh-CN"/>
              </w:rPr>
              <w:t>采场恢复</w:t>
            </w:r>
            <w:r>
              <w:rPr>
                <w:rFonts w:hint="eastAsia" w:ascii="Times New Roman" w:hAnsi="Times New Roman" w:eastAsia="宋体"/>
                <w:b/>
                <w:bCs/>
                <w:color w:val="000000"/>
                <w:sz w:val="24"/>
              </w:rPr>
              <w:t>治理工程</w:t>
            </w:r>
          </w:p>
          <w:p w14:paraId="1D492684">
            <w:pPr>
              <w:pageBreakBefore w:val="0"/>
              <w:widowControl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（1）开采平台恢复治理工程</w:t>
            </w:r>
          </w:p>
          <w:p w14:paraId="367249B2">
            <w:pPr>
              <w:pageBreakBefore w:val="0"/>
              <w:widowControl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olor w:val="000000"/>
                <w:sz w:val="24"/>
                <w:lang w:val="en-US"/>
              </w:rPr>
            </w:pPr>
            <w:r>
              <w:rPr>
                <w:rFonts w:hint="default" w:ascii="Times New Roman" w:hAnsi="Times New Roman" w:eastAsia="宋体" w:cs="Times New Roman"/>
                <w:color w:val="000000"/>
                <w:sz w:val="24"/>
              </w:rPr>
              <w:t>根据《开采方案》台阶坡面角为</w:t>
            </w:r>
            <w:r>
              <w:rPr>
                <w:rFonts w:hint="eastAsia" w:ascii="Times New Roman" w:hAnsi="Times New Roman" w:eastAsia="宋体" w:cs="Times New Roman"/>
                <w:color w:val="000000"/>
                <w:sz w:val="24"/>
                <w:lang w:val="en-US" w:eastAsia="zh-CN"/>
              </w:rPr>
              <w:t>50</w:t>
            </w:r>
            <w:r>
              <w:rPr>
                <w:rFonts w:hint="default" w:ascii="Times New Roman" w:hAnsi="Times New Roman" w:eastAsia="宋体" w:cs="Times New Roman"/>
                <w:color w:val="000000"/>
                <w:sz w:val="24"/>
              </w:rPr>
              <w:t>°，最终</w:t>
            </w:r>
            <w:r>
              <w:rPr>
                <w:rFonts w:hint="eastAsia" w:ascii="Times New Roman" w:hAnsi="Times New Roman" w:eastAsia="宋体" w:cs="Times New Roman"/>
                <w:color w:val="000000"/>
                <w:sz w:val="24"/>
                <w:lang w:val="en-US" w:eastAsia="zh-CN"/>
              </w:rPr>
              <w:t>帮</w:t>
            </w:r>
            <w:r>
              <w:rPr>
                <w:rFonts w:hint="default" w:ascii="Times New Roman" w:hAnsi="Times New Roman" w:eastAsia="宋体" w:cs="Times New Roman"/>
                <w:color w:val="000000"/>
                <w:sz w:val="24"/>
              </w:rPr>
              <w:t>坡角为</w:t>
            </w:r>
            <w:r>
              <w:rPr>
                <w:rFonts w:hint="default"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lang w:val="en-US" w:eastAsia="zh-CN"/>
              </w:rPr>
              <w:t>0</w:t>
            </w:r>
            <w:r>
              <w:rPr>
                <w:rFonts w:hint="default" w:ascii="Times New Roman" w:hAnsi="Times New Roman" w:eastAsia="宋体" w:cs="Times New Roman"/>
                <w:color w:val="000000"/>
                <w:sz w:val="24"/>
              </w:rPr>
              <w:t>°，以上角度</w:t>
            </w:r>
            <w:r>
              <w:rPr>
                <w:rFonts w:hint="default" w:ascii="Times New Roman" w:hAnsi="Times New Roman" w:eastAsia="宋体" w:cs="Times New Roman"/>
                <w:color w:val="000000"/>
                <w:sz w:val="24"/>
                <w:lang w:val="en-US" w:eastAsia="zh-CN"/>
              </w:rPr>
              <w:t>较</w:t>
            </w:r>
            <w:r>
              <w:rPr>
                <w:rFonts w:hint="default" w:ascii="Times New Roman" w:hAnsi="Times New Roman" w:eastAsia="宋体" w:cs="Times New Roman"/>
                <w:color w:val="000000"/>
                <w:sz w:val="24"/>
              </w:rPr>
              <w:t>利于植被恢复。根据区域自然环境，恢复为草地应为首选，草地地面坡度应小于土壤的自然稳定角（小于30°），如超过则采取护坡工程。</w:t>
            </w:r>
            <w:r>
              <w:rPr>
                <w:rFonts w:hint="eastAsia" w:ascii="Times New Roman" w:hAnsi="Times New Roman" w:eastAsia="宋体"/>
                <w:color w:val="000000"/>
                <w:sz w:val="24"/>
              </w:rPr>
              <w:t>项目采用露天台阶式开采，故在环评中要求采取</w:t>
            </w:r>
            <w:r>
              <w:rPr>
                <w:rFonts w:hint="eastAsia" w:ascii="Times New Roman" w:hAnsi="Times New Roman" w:eastAsia="宋体"/>
                <w:color w:val="000000"/>
                <w:sz w:val="24"/>
                <w:lang w:eastAsia="zh-CN"/>
              </w:rPr>
              <w:t>“</w:t>
            </w:r>
            <w:r>
              <w:rPr>
                <w:rFonts w:hint="eastAsia" w:ascii="Times New Roman" w:hAnsi="Times New Roman" w:eastAsia="宋体"/>
                <w:color w:val="000000"/>
                <w:sz w:val="24"/>
              </w:rPr>
              <w:t>边开采边恢复</w:t>
            </w:r>
            <w:r>
              <w:rPr>
                <w:rFonts w:hint="eastAsia" w:ascii="Times New Roman" w:hAnsi="Times New Roman" w:eastAsia="宋体"/>
                <w:color w:val="000000"/>
                <w:sz w:val="24"/>
                <w:lang w:eastAsia="zh-CN"/>
              </w:rPr>
              <w:t>”</w:t>
            </w:r>
            <w:r>
              <w:rPr>
                <w:rFonts w:hint="eastAsia" w:ascii="Times New Roman" w:hAnsi="Times New Roman" w:eastAsia="宋体"/>
                <w:color w:val="000000"/>
                <w:sz w:val="24"/>
              </w:rPr>
              <w:t>的措施。</w:t>
            </w:r>
          </w:p>
          <w:p w14:paraId="5B0E4B3D">
            <w:pPr>
              <w:keepNext w:val="0"/>
              <w:keepLines w:val="0"/>
              <w:widowControl/>
              <w:suppressLineNumbers w:val="0"/>
              <w:jc w:val="left"/>
              <w:rPr>
                <w:rFonts w:hint="eastAsia" w:ascii="宋体" w:hAnsi="宋体" w:eastAsia="宋体" w:cs="宋体"/>
                <w:color w:val="auto"/>
                <w:kern w:val="0"/>
                <w:sz w:val="24"/>
                <w:szCs w:val="24"/>
                <w:lang w:val="en-US" w:eastAsia="zh-CN" w:bidi="ar"/>
              </w:rPr>
            </w:pPr>
            <w:bookmarkStart w:id="24" w:name="_Toc21664"/>
            <w:bookmarkStart w:id="25" w:name="_Toc480203950"/>
            <w:r>
              <w:rPr>
                <w:rFonts w:hint="eastAsia" w:ascii="宋体" w:hAnsi="宋体" w:eastAsia="宋体" w:cs="宋体"/>
                <w:color w:val="000000"/>
                <w:kern w:val="0"/>
                <w:sz w:val="24"/>
                <w:szCs w:val="24"/>
                <w:lang w:val="en-US" w:eastAsia="zh-CN" w:bidi="ar"/>
              </w:rPr>
              <w:t>开采境界面积为</w:t>
            </w:r>
            <w:r>
              <w:rPr>
                <w:rFonts w:hint="default" w:ascii="Times New Roman" w:hAnsi="Times New Roman" w:eastAsia="宋体" w:cs="Times New Roman"/>
                <w:color w:val="000000"/>
                <w:kern w:val="0"/>
                <w:sz w:val="24"/>
                <w:szCs w:val="24"/>
                <w:lang w:val="en-US" w:eastAsia="zh-CN" w:bidi="ar"/>
              </w:rPr>
              <w:t>21.7518h</w:t>
            </w:r>
            <w:r>
              <w:rPr>
                <w:rFonts w:hint="default" w:ascii="Times New Roman" w:hAnsi="Times New Roman" w:eastAsia="宋体" w:cs="Times New Roman"/>
                <w:color w:val="000000"/>
                <w:sz w:val="24"/>
                <w:lang w:val="en-US" w:eastAsia="zh-CN"/>
              </w:rPr>
              <w:t>m</w:t>
            </w:r>
            <w:r>
              <w:rPr>
                <w:rFonts w:hint="default" w:ascii="Times New Roman" w:hAnsi="Times New Roman" w:eastAsia="宋体" w:cs="Times New Roman"/>
                <w:color w:val="000000"/>
                <w:sz w:val="24"/>
                <w:vertAlign w:val="superscript"/>
                <w:lang w:val="en-US" w:eastAsia="zh-CN"/>
              </w:rPr>
              <w:t>2</w:t>
            </w:r>
            <w:r>
              <w:rPr>
                <w:rFonts w:hint="eastAsia" w:ascii="宋体" w:hAnsi="宋体" w:eastAsia="宋体" w:cs="宋体"/>
                <w:color w:val="000000"/>
                <w:kern w:val="0"/>
                <w:sz w:val="24"/>
                <w:szCs w:val="24"/>
                <w:lang w:val="en-US" w:eastAsia="zh-CN" w:bidi="ar"/>
              </w:rPr>
              <w:t>，设计台阶边坡角</w:t>
            </w:r>
            <w:r>
              <w:rPr>
                <w:rFonts w:hint="default" w:ascii="Times New Roman" w:hAnsi="Times New Roman" w:eastAsia="宋体"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，台阶高</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，采场共计由</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级台</w:t>
            </w:r>
            <w:r>
              <w:rPr>
                <w:rFonts w:hint="eastAsia" w:ascii="宋体" w:hAnsi="宋体" w:eastAsia="宋体" w:cs="宋体"/>
                <w:color w:val="auto"/>
                <w:kern w:val="0"/>
                <w:sz w:val="24"/>
                <w:szCs w:val="24"/>
                <w:lang w:val="en-US" w:eastAsia="zh-CN" w:bidi="ar"/>
              </w:rPr>
              <w:t>阶（</w:t>
            </w:r>
            <w:r>
              <w:rPr>
                <w:rFonts w:hint="default" w:ascii="Times New Roman" w:hAnsi="Times New Roman" w:eastAsia="宋体" w:cs="Times New Roman"/>
                <w:color w:val="auto"/>
                <w:kern w:val="0"/>
                <w:sz w:val="24"/>
                <w:szCs w:val="24"/>
                <w:lang w:val="en-US" w:eastAsia="zh-CN" w:bidi="ar"/>
              </w:rPr>
              <w:t>6</w:t>
            </w:r>
            <w:r>
              <w:rPr>
                <w:rFonts w:hint="eastAsia" w:ascii="宋体" w:hAnsi="宋体" w:eastAsia="宋体" w:cs="宋体"/>
                <w:color w:val="auto"/>
                <w:kern w:val="0"/>
                <w:sz w:val="24"/>
                <w:szCs w:val="24"/>
                <w:lang w:val="en-US" w:eastAsia="zh-CN" w:bidi="ar"/>
              </w:rPr>
              <w:t>级安全平台，</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级清扫平台）构成，测得台阶边坡投影平面面积为</w:t>
            </w:r>
            <w:r>
              <w:rPr>
                <w:rFonts w:hint="default" w:ascii="Times New Roman" w:hAnsi="Times New Roman" w:eastAsia="宋体" w:cs="Times New Roman"/>
                <w:color w:val="auto"/>
                <w:kern w:val="0"/>
                <w:sz w:val="24"/>
                <w:szCs w:val="24"/>
                <w:lang w:val="en-US" w:eastAsia="zh-CN" w:bidi="ar"/>
              </w:rPr>
              <w:t>4.6036h</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eastAsia" w:ascii="宋体" w:hAnsi="宋体" w:eastAsia="宋体" w:cs="宋体"/>
                <w:color w:val="auto"/>
                <w:kern w:val="0"/>
                <w:sz w:val="24"/>
                <w:szCs w:val="24"/>
                <w:lang w:val="en-US" w:eastAsia="zh-CN" w:bidi="ar"/>
              </w:rPr>
              <w:t>，则台阶边坡实际面积为</w:t>
            </w:r>
            <w:r>
              <w:rPr>
                <w:rFonts w:hint="default" w:ascii="Times New Roman" w:hAnsi="Times New Roman" w:eastAsia="宋体" w:cs="Times New Roman"/>
                <w:color w:val="auto"/>
                <w:kern w:val="0"/>
                <w:sz w:val="24"/>
                <w:szCs w:val="24"/>
                <w:lang w:val="en-US" w:eastAsia="zh-CN" w:bidi="ar"/>
              </w:rPr>
              <w:t>4.6036×1.56=7.1816h</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eastAsia" w:ascii="宋体" w:hAnsi="宋体" w:eastAsia="宋体" w:cs="宋体"/>
                <w:color w:val="auto"/>
                <w:kern w:val="0"/>
                <w:sz w:val="24"/>
                <w:szCs w:val="24"/>
                <w:lang w:val="en-US" w:eastAsia="zh-CN" w:bidi="ar"/>
              </w:rPr>
              <w:t>，开采平台（安全平台和清扫平台）及开采平盘（最低开采标高</w:t>
            </w:r>
            <w:r>
              <w:rPr>
                <w:rFonts w:hint="default" w:ascii="Times New Roman" w:hAnsi="Times New Roman" w:eastAsia="宋体" w:cs="Times New Roman"/>
                <w:color w:val="auto"/>
                <w:kern w:val="0"/>
                <w:sz w:val="24"/>
                <w:szCs w:val="24"/>
                <w:lang w:val="en-US" w:eastAsia="zh-CN" w:bidi="ar"/>
              </w:rPr>
              <w:t>+3900m</w:t>
            </w:r>
            <w:r>
              <w:rPr>
                <w:rFonts w:hint="eastAsia" w:ascii="宋体" w:hAnsi="宋体" w:eastAsia="宋体" w:cs="宋体"/>
                <w:color w:val="auto"/>
                <w:kern w:val="0"/>
                <w:sz w:val="24"/>
                <w:szCs w:val="24"/>
                <w:lang w:val="en-US" w:eastAsia="zh-CN" w:bidi="ar"/>
              </w:rPr>
              <w:t>水平）面积为</w:t>
            </w:r>
            <w:r>
              <w:rPr>
                <w:rFonts w:hint="default" w:ascii="Times New Roman" w:hAnsi="Times New Roman" w:eastAsia="宋体" w:cs="Times New Roman"/>
                <w:color w:val="auto"/>
                <w:kern w:val="0"/>
                <w:sz w:val="24"/>
                <w:szCs w:val="24"/>
                <w:lang w:val="en-US" w:eastAsia="zh-CN" w:bidi="ar"/>
              </w:rPr>
              <w:t>17.1482h</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eastAsia" w:ascii="宋体" w:hAnsi="宋体" w:eastAsia="宋体" w:cs="宋体"/>
                <w:color w:val="auto"/>
                <w:kern w:val="0"/>
                <w:sz w:val="24"/>
                <w:szCs w:val="24"/>
                <w:lang w:val="en-US" w:eastAsia="zh-CN" w:bidi="ar"/>
              </w:rPr>
              <w:t>，台阶边坡覆土厚度</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5cm</w:t>
            </w:r>
            <w:r>
              <w:rPr>
                <w:rFonts w:hint="eastAsia" w:ascii="宋体" w:hAnsi="宋体" w:eastAsia="宋体" w:cs="宋体"/>
                <w:color w:val="auto"/>
                <w:kern w:val="0"/>
                <w:sz w:val="24"/>
                <w:szCs w:val="24"/>
                <w:lang w:val="en-US" w:eastAsia="zh-CN" w:bidi="ar"/>
              </w:rPr>
              <w:t>，平台覆土厚度</w:t>
            </w:r>
            <w:r>
              <w:rPr>
                <w:rFonts w:hint="default" w:ascii="Times New Roman" w:hAnsi="Times New Roman" w:eastAsia="宋体" w:cs="Times New Roman"/>
                <w:color w:val="auto"/>
                <w:kern w:val="0"/>
                <w:sz w:val="24"/>
                <w:szCs w:val="24"/>
                <w:lang w:val="en-US" w:eastAsia="zh-CN" w:bidi="ar"/>
              </w:rPr>
              <w:t>30cm</w:t>
            </w:r>
            <w:r>
              <w:rPr>
                <w:rFonts w:hint="eastAsia" w:ascii="宋体" w:hAnsi="宋体" w:eastAsia="宋体" w:cs="宋体"/>
                <w:color w:val="auto"/>
                <w:kern w:val="0"/>
                <w:sz w:val="24"/>
                <w:szCs w:val="24"/>
                <w:lang w:val="en-US" w:eastAsia="zh-CN" w:bidi="ar"/>
              </w:rPr>
              <w:t>，则露天采场共需土源</w:t>
            </w:r>
            <w:r>
              <w:rPr>
                <w:rFonts w:hint="default" w:ascii="Times New Roman" w:hAnsi="Times New Roman" w:eastAsia="宋体" w:cs="Times New Roman"/>
                <w:color w:val="auto"/>
                <w:kern w:val="0"/>
                <w:sz w:val="24"/>
                <w:szCs w:val="24"/>
                <w:lang w:val="en-US" w:eastAsia="zh-CN" w:bidi="ar"/>
              </w:rPr>
              <w:t>62217.00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3</w:t>
            </w:r>
            <w:r>
              <w:rPr>
                <w:rFonts w:hint="eastAsia" w:ascii="宋体" w:hAnsi="宋体" w:eastAsia="宋体" w:cs="宋体"/>
                <w:color w:val="auto"/>
                <w:kern w:val="0"/>
                <w:sz w:val="24"/>
                <w:szCs w:val="24"/>
                <w:lang w:val="en-US" w:eastAsia="zh-CN" w:bidi="ar"/>
              </w:rPr>
              <w:t>。</w:t>
            </w:r>
          </w:p>
          <w:p w14:paraId="3A39E8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drawing>
                <wp:inline distT="0" distB="0" distL="114300" distR="114300">
                  <wp:extent cx="5271770" cy="2021840"/>
                  <wp:effectExtent l="0" t="0" r="5080" b="16510"/>
                  <wp:docPr id="5" name="图片 45" descr="3bca15e67f91df3b0ecab4262e7d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5" descr="3bca15e67f91df3b0ecab4262e7d0ec"/>
                          <pic:cNvPicPr>
                            <a:picLocks noChangeAspect="1"/>
                          </pic:cNvPicPr>
                        </pic:nvPicPr>
                        <pic:blipFill>
                          <a:blip r:embed="rId25"/>
                          <a:stretch>
                            <a:fillRect/>
                          </a:stretch>
                        </pic:blipFill>
                        <pic:spPr>
                          <a:xfrm>
                            <a:off x="0" y="0"/>
                            <a:ext cx="5271770" cy="2021840"/>
                          </a:xfrm>
                          <a:prstGeom prst="rect">
                            <a:avLst/>
                          </a:prstGeom>
                          <a:noFill/>
                          <a:ln>
                            <a:noFill/>
                          </a:ln>
                        </pic:spPr>
                      </pic:pic>
                    </a:graphicData>
                  </a:graphic>
                </wp:inline>
              </w:drawing>
            </w:r>
          </w:p>
          <w:p w14:paraId="70B40B11">
            <w:pPr>
              <w:pStyle w:val="5"/>
              <w:bidi w:val="0"/>
              <w:rPr>
                <w:color w:val="auto"/>
              </w:rPr>
            </w:pPr>
            <w:r>
              <w:rPr>
                <w:rFonts w:hint="eastAsia"/>
                <w:color w:val="auto"/>
                <w:lang w:val="en-US" w:eastAsia="zh-CN"/>
              </w:rPr>
              <w:t xml:space="preserve">图5-3  </w:t>
            </w:r>
            <w:r>
              <w:rPr>
                <w:rFonts w:hint="default"/>
                <w:color w:val="auto"/>
                <w:lang w:val="en-US" w:eastAsia="zh-CN"/>
              </w:rPr>
              <w:t xml:space="preserve"> </w:t>
            </w:r>
            <w:r>
              <w:rPr>
                <w:rFonts w:hint="eastAsia"/>
                <w:color w:val="auto"/>
                <w:lang w:val="en-US" w:eastAsia="zh-CN"/>
              </w:rPr>
              <w:t>露天开采回填工程剖面示意图</w:t>
            </w:r>
          </w:p>
          <w:p w14:paraId="1F60DE9D">
            <w:pPr>
              <w:pageBreakBefore w:val="0"/>
              <w:widowControl w:val="0"/>
              <w:kinsoku/>
              <w:wordWrap/>
              <w:overflowPunct/>
              <w:topLinePunct w:val="0"/>
              <w:autoSpaceDE/>
              <w:autoSpaceDN/>
              <w:bidi w:val="0"/>
              <w:spacing w:beforeAutospacing="0" w:afterAutospacing="0"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本单元采场平台复垦方向为天然牧草地和灌木林地，扣除边坡压占面积后该区域实际复垦面积为</w:t>
            </w:r>
            <w:r>
              <w:rPr>
                <w:rFonts w:hint="default" w:ascii="Times New Roman" w:hAnsi="Times New Roman" w:eastAsia="宋体" w:cs="Times New Roman"/>
                <w:color w:val="auto"/>
                <w:sz w:val="24"/>
                <w:lang w:val="en-US" w:eastAsia="zh-CN"/>
              </w:rPr>
              <w:t>17.1482hm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；其中复垦为天然牧草地的面积为</w:t>
            </w:r>
            <w:r>
              <w:rPr>
                <w:rFonts w:hint="default" w:ascii="Times New Roman" w:hAnsi="Times New Roman" w:eastAsia="宋体" w:cs="Times New Roman"/>
                <w:color w:val="auto"/>
                <w:sz w:val="24"/>
                <w:lang w:val="en-US" w:eastAsia="zh-CN"/>
              </w:rPr>
              <w:t>4.4370hm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（实际撒播草籽面积为该区全区撒播，即</w:t>
            </w:r>
            <w:r>
              <w:rPr>
                <w:rFonts w:hint="default" w:ascii="Times New Roman" w:hAnsi="Times New Roman" w:eastAsia="宋体" w:cs="Times New Roman"/>
                <w:color w:val="auto"/>
                <w:sz w:val="24"/>
                <w:lang w:val="en-US" w:eastAsia="zh-CN"/>
              </w:rPr>
              <w:t>17.1482hm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），采用撒播草籽的方式进行植被恢复，种子选取垂穗披碱草、同德小花碱茅、青海冷地早熟禾和扁穗冰草，按重量比</w:t>
            </w:r>
            <w:r>
              <w:rPr>
                <w:rFonts w:hint="default"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比例混播，撒播密度为</w:t>
            </w:r>
            <w:r>
              <w:rPr>
                <w:rFonts w:hint="default" w:ascii="Times New Roman" w:hAnsi="Times New Roman" w:eastAsia="宋体" w:cs="Times New Roman"/>
                <w:color w:val="auto"/>
                <w:sz w:val="24"/>
                <w:lang w:val="en-US" w:eastAsia="zh-CN"/>
              </w:rPr>
              <w:t>200kg/hm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，复垦为灌木林地的面积为</w:t>
            </w:r>
            <w:r>
              <w:rPr>
                <w:rFonts w:hint="default" w:ascii="Times New Roman" w:hAnsi="Times New Roman" w:eastAsia="宋体" w:cs="Times New Roman"/>
                <w:color w:val="auto"/>
                <w:sz w:val="24"/>
                <w:lang w:val="en-US" w:eastAsia="zh-CN"/>
              </w:rPr>
              <w:t>12.7112hm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，灌木种选用金露梅，种植密度为</w:t>
            </w:r>
            <w:r>
              <w:rPr>
                <w:rFonts w:hint="default" w:ascii="Times New Roman" w:hAnsi="Times New Roman" w:eastAsia="宋体" w:cs="Times New Roman"/>
                <w:color w:val="auto"/>
                <w:sz w:val="24"/>
                <w:lang w:val="en-US" w:eastAsia="zh-CN"/>
              </w:rPr>
              <w:t>3000</w:t>
            </w:r>
            <w:r>
              <w:rPr>
                <w:rFonts w:hint="eastAsia" w:ascii="Times New Roman" w:hAnsi="Times New Roman" w:eastAsia="宋体" w:cs="Times New Roman"/>
                <w:color w:val="auto"/>
                <w:sz w:val="24"/>
                <w:lang w:val="en-US" w:eastAsia="zh-CN"/>
              </w:rPr>
              <w:t>株</w:t>
            </w:r>
            <w:r>
              <w:rPr>
                <w:rFonts w:hint="default" w:ascii="Times New Roman" w:hAnsi="Times New Roman" w:eastAsia="宋体" w:cs="Times New Roman"/>
                <w:color w:val="auto"/>
                <w:sz w:val="24"/>
                <w:lang w:val="en-US" w:eastAsia="zh-CN"/>
              </w:rPr>
              <w:t>/hm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，则露天采场灌木林地复垦区需要金露梅约</w:t>
            </w:r>
            <w:r>
              <w:rPr>
                <w:rFonts w:hint="default" w:ascii="Times New Roman" w:hAnsi="Times New Roman" w:eastAsia="宋体" w:cs="Times New Roman"/>
                <w:color w:val="auto"/>
                <w:sz w:val="24"/>
                <w:lang w:val="en-US" w:eastAsia="zh-CN"/>
              </w:rPr>
              <w:t>12.7112hm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×3000=38134</w:t>
            </w:r>
            <w:r>
              <w:rPr>
                <w:rFonts w:hint="eastAsia" w:ascii="Times New Roman" w:hAnsi="Times New Roman" w:eastAsia="宋体" w:cs="Times New Roman"/>
                <w:color w:val="auto"/>
                <w:sz w:val="24"/>
                <w:lang w:val="en-US" w:eastAsia="zh-CN"/>
              </w:rPr>
              <w:t>株。同时对灌木林地复垦区进行草籽撒播。</w:t>
            </w:r>
          </w:p>
          <w:p w14:paraId="413F32DE">
            <w:pPr>
              <w:pageBreakBefore w:val="0"/>
              <w:widowControl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olor w:val="auto"/>
                <w:sz w:val="24"/>
                <w:lang w:val="en-US" w:eastAsia="zh-CN"/>
              </w:rPr>
            </w:pPr>
            <w:r>
              <w:rPr>
                <w:rFonts w:hint="eastAsia"/>
                <w:color w:val="auto"/>
                <w:sz w:val="24"/>
                <w:lang w:val="en-US" w:eastAsia="zh-CN"/>
              </w:rPr>
              <w:t>（2）边坡恢复治理工程</w:t>
            </w:r>
          </w:p>
          <w:p w14:paraId="5EEB0299">
            <w:pPr>
              <w:pageBreakBefore w:val="0"/>
              <w:widowControl w:val="0"/>
              <w:kinsoku/>
              <w:wordWrap/>
              <w:overflowPunct/>
              <w:topLinePunct w:val="0"/>
              <w:autoSpaceDE/>
              <w:autoSpaceDN/>
              <w:bidi w:val="0"/>
              <w:spacing w:beforeAutospacing="0" w:afterAutospacing="0" w:line="360" w:lineRule="auto"/>
              <w:ind w:firstLine="480" w:firstLineChars="200"/>
              <w:jc w:val="left"/>
              <w:textAlignment w:val="auto"/>
              <w:rPr>
                <w:rFonts w:hint="eastAsia" w:ascii="Times New Roman" w:hAnsi="Times New Roman"/>
                <w:color w:val="auto"/>
                <w:sz w:val="24"/>
                <w:lang w:eastAsia="zh-CN"/>
              </w:rPr>
            </w:pPr>
            <w:r>
              <w:rPr>
                <w:rFonts w:hint="eastAsia" w:ascii="Times New Roman" w:hAnsi="Times New Roman"/>
                <w:color w:val="auto"/>
                <w:sz w:val="24"/>
                <w:lang w:eastAsia="zh-CN"/>
              </w:rPr>
              <w:t>植被恢复：项目露天采场区15°以下缓坡地底板耕松、挖高垫低，采用剥离表土进行植被恢复或撒播草种植被恢复；15°以上30°以下坡度的区域，根据实际情况通过挖穴填土、砌筑植生槽等方法营造植被恢复条件，采用剥离表土进行植被恢复并播撒芨芨草、针茅草等草种。且台阶坡面进行平整，剥离的表土用作采空区回填覆土，覆土厚度约25cm，采用生态袋、植草袋等进行治理，坡度较大的区域可探索经削坡整理后通过喷浆、彩绘等方式，以确保与周边景观的协调性。</w:t>
            </w:r>
            <w:bookmarkStart w:id="26" w:name="_GoBack"/>
            <w:bookmarkEnd w:id="26"/>
          </w:p>
          <w:p w14:paraId="398C0B1C">
            <w:pPr>
              <w:pageBreakBefore w:val="0"/>
              <w:widowControl w:val="0"/>
              <w:kinsoku/>
              <w:wordWrap/>
              <w:overflowPunct/>
              <w:topLinePunct w:val="0"/>
              <w:autoSpaceDE/>
              <w:autoSpaceDN/>
              <w:bidi w:val="0"/>
              <w:spacing w:beforeAutospacing="0" w:afterAutospacing="0" w:line="360" w:lineRule="auto"/>
              <w:ind w:firstLine="480" w:firstLineChars="200"/>
              <w:jc w:val="left"/>
              <w:textAlignment w:val="auto"/>
              <w:rPr>
                <w:rFonts w:hint="eastAsia" w:ascii="Times New Roman" w:hAnsi="Times New Roman"/>
                <w:color w:val="auto"/>
                <w:sz w:val="24"/>
                <w:lang w:eastAsia="zh-CN"/>
              </w:rPr>
            </w:pPr>
            <w:r>
              <w:rPr>
                <w:rFonts w:hint="eastAsia" w:ascii="Times New Roman" w:hAnsi="Times New Roman"/>
                <w:color w:val="auto"/>
                <w:sz w:val="24"/>
                <w:lang w:eastAsia="zh-CN"/>
              </w:rPr>
              <w:t>土壤改良：由于矿山开采过程中可能导致土壤结构破坏和养分流失，因此需要对土壤进行改良，可有机物质、矿质肥料和微生物制剂等，以提高土壤的保水能力、通气性和生物活性，通过土壤改良，可以为植被的生长提供良好的土壤环境，促进生态恢复。</w:t>
            </w:r>
          </w:p>
          <w:p w14:paraId="5F06FB76">
            <w:pPr>
              <w:pageBreakBefore w:val="0"/>
              <w:widowControl w:val="0"/>
              <w:kinsoku/>
              <w:wordWrap/>
              <w:overflowPunct/>
              <w:topLinePunct w:val="0"/>
              <w:autoSpaceDE/>
              <w:autoSpaceDN/>
              <w:bidi w:val="0"/>
              <w:spacing w:beforeAutospacing="0" w:afterAutospacing="0" w:line="360" w:lineRule="auto"/>
              <w:ind w:firstLine="480" w:firstLineChars="200"/>
              <w:jc w:val="left"/>
              <w:textAlignment w:val="auto"/>
              <w:rPr>
                <w:rFonts w:hint="eastAsia" w:ascii="Times New Roman" w:hAnsi="Times New Roman"/>
                <w:color w:val="auto"/>
                <w:sz w:val="24"/>
                <w:lang w:eastAsia="zh-CN"/>
              </w:rPr>
            </w:pPr>
            <w:r>
              <w:rPr>
                <w:rFonts w:hint="eastAsia" w:ascii="Times New Roman" w:hAnsi="Times New Roman"/>
                <w:color w:val="auto"/>
                <w:sz w:val="24"/>
                <w:lang w:eastAsia="zh-CN"/>
              </w:rPr>
              <w:t>工程加固：在边坡修复过程中，可以采用锚杆、挡土墙、抗滑桩等来增强边坡的稳定性，可以有效地防止边坡滑坡、崩塌等灾害的发生。</w:t>
            </w:r>
          </w:p>
          <w:p w14:paraId="7B33EA09">
            <w:pPr>
              <w:pageBreakBefore w:val="0"/>
              <w:widowControl w:val="0"/>
              <w:kinsoku/>
              <w:wordWrap/>
              <w:overflowPunct/>
              <w:topLinePunct w:val="0"/>
              <w:autoSpaceDE/>
              <w:autoSpaceDN/>
              <w:bidi w:val="0"/>
              <w:spacing w:beforeAutospacing="0" w:afterAutospacing="0" w:line="360" w:lineRule="auto"/>
              <w:ind w:firstLine="480" w:firstLineChars="200"/>
              <w:jc w:val="left"/>
              <w:textAlignment w:val="auto"/>
              <w:rPr>
                <w:rFonts w:hint="eastAsia" w:ascii="Times New Roman" w:hAnsi="Times New Roman"/>
                <w:color w:val="0000FF"/>
                <w:sz w:val="24"/>
                <w:lang w:eastAsia="zh-CN"/>
              </w:rPr>
            </w:pPr>
            <w:r>
              <w:rPr>
                <w:rFonts w:hint="eastAsia" w:ascii="Times New Roman" w:hAnsi="Times New Roman"/>
                <w:color w:val="0000FF"/>
                <w:sz w:val="24"/>
                <w:lang w:eastAsia="zh-CN"/>
              </w:rPr>
              <w:t>生态监测：通过对边坡生态系统（土壤质量监测、植被生长监测、水文监测）等方面的定期监测，可以及时了解边坡修复的效果和存在的问题，为后续的修复工作提供科学依据，可以帮助修复人员及时发现和解决问题，确保修复工作的顺利进行。</w:t>
            </w:r>
          </w:p>
          <w:p w14:paraId="3CF94DE9">
            <w:pPr>
              <w:pageBreakBefore w:val="0"/>
              <w:widowControl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eastAsia="宋体" w:cs="Times New Roman"/>
                <w:color w:val="0000FC"/>
                <w:sz w:val="24"/>
                <w:lang w:val="en-US" w:eastAsia="zh-CN"/>
              </w:rPr>
            </w:pPr>
            <w:r>
              <w:rPr>
                <w:rFonts w:hint="eastAsia" w:ascii="Times New Roman" w:hAnsi="Times New Roman" w:eastAsia="宋体" w:cs="Times New Roman"/>
                <w:color w:val="0000FC"/>
                <w:sz w:val="24"/>
                <w:lang w:val="en-US" w:eastAsia="zh-CN"/>
              </w:rPr>
              <w:t>综上所述，待闭矿后，露天采场</w:t>
            </w:r>
            <w:r>
              <w:rPr>
                <w:rFonts w:hint="eastAsia" w:cs="Times New Roman"/>
                <w:color w:val="0000FC"/>
                <w:sz w:val="24"/>
                <w:lang w:val="en-US" w:eastAsia="zh-CN"/>
              </w:rPr>
              <w:t>和边坡</w:t>
            </w:r>
            <w:r>
              <w:rPr>
                <w:rFonts w:hint="eastAsia" w:ascii="Times New Roman" w:hAnsi="Times New Roman" w:eastAsia="宋体" w:cs="Times New Roman"/>
                <w:color w:val="0000FC"/>
                <w:sz w:val="24"/>
                <w:lang w:val="en-US" w:eastAsia="zh-CN"/>
              </w:rPr>
              <w:t>采取以上恢复措施，加强植被维护及管理，保证幼苗的成活率，</w:t>
            </w:r>
            <w:r>
              <w:rPr>
                <w:rFonts w:hint="default" w:ascii="Times New Roman" w:hAnsi="Times New Roman" w:eastAsia="宋体" w:cs="Times New Roman"/>
                <w:color w:val="0000FC"/>
                <w:sz w:val="24"/>
                <w:lang w:val="en-US" w:eastAsia="zh-CN"/>
              </w:rPr>
              <w:t>改善林木生长发育的环境条件，林木</w:t>
            </w:r>
            <w:r>
              <w:rPr>
                <w:rFonts w:hint="eastAsia" w:ascii="Times New Roman" w:hAnsi="Times New Roman" w:eastAsia="宋体" w:cs="Times New Roman"/>
                <w:color w:val="0000FC"/>
                <w:sz w:val="24"/>
                <w:lang w:val="en-US" w:eastAsia="zh-CN"/>
              </w:rPr>
              <w:t>和草类</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年之后的成活率应不低于</w:t>
            </w:r>
            <w:r>
              <w:rPr>
                <w:rFonts w:hint="default" w:ascii="Times New Roman" w:hAnsi="Times New Roman" w:eastAsia="宋体" w:cs="Times New Roman"/>
                <w:color w:val="0000FC"/>
                <w:sz w:val="24"/>
                <w:lang w:val="en-US" w:eastAsia="zh-CN"/>
              </w:rPr>
              <w:t>85%</w:t>
            </w:r>
            <w:r>
              <w:rPr>
                <w:rFonts w:hint="eastAsia" w:ascii="Times New Roman" w:hAnsi="Times New Roman" w:eastAsia="宋体" w:cs="Times New Roman"/>
                <w:color w:val="0000FC"/>
                <w:sz w:val="24"/>
                <w:lang w:val="en-US" w:eastAsia="zh-CN"/>
              </w:rPr>
              <w:t>，若成活率不达标，应在春秋两季进行补植，可将植被覆盖率达到55%以上，恢复至原有植被覆盖率，与周边环境相协调，可满足生态恢复的要求</w:t>
            </w:r>
            <w:r>
              <w:rPr>
                <w:rFonts w:hint="eastAsia" w:cs="Times New Roman"/>
                <w:color w:val="0000FC"/>
                <w:sz w:val="24"/>
                <w:lang w:val="en-US" w:eastAsia="zh-CN"/>
              </w:rPr>
              <w:t>，恢复治理措施可行</w:t>
            </w:r>
            <w:r>
              <w:rPr>
                <w:rFonts w:hint="eastAsia" w:ascii="Times New Roman" w:hAnsi="Times New Roman" w:eastAsia="宋体" w:cs="Times New Roman"/>
                <w:color w:val="0000FC"/>
                <w:sz w:val="24"/>
                <w:lang w:val="en-US" w:eastAsia="zh-CN"/>
              </w:rPr>
              <w:t>。</w:t>
            </w:r>
          </w:p>
          <w:p w14:paraId="1486A786">
            <w:pPr>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ascii="Times New Roman" w:hAnsi="Times New Roman" w:eastAsia="宋体"/>
                <w:b/>
                <w:bCs/>
                <w:color w:val="FF0000"/>
                <w:sz w:val="24"/>
                <w:highlight w:val="yellow"/>
              </w:rPr>
            </w:pPr>
            <w:r>
              <w:rPr>
                <w:rFonts w:hint="eastAsia"/>
                <w:b/>
                <w:bCs/>
                <w:color w:val="FF0000"/>
                <w:sz w:val="24"/>
                <w:highlight w:val="none"/>
                <w:lang w:val="en-US" w:eastAsia="zh-CN"/>
              </w:rPr>
              <w:t>2.2.2</w:t>
            </w:r>
            <w:r>
              <w:rPr>
                <w:rFonts w:ascii="Times New Roman" w:hAnsi="Times New Roman" w:eastAsia="宋体"/>
                <w:b/>
                <w:bCs/>
                <w:color w:val="FF0000"/>
                <w:sz w:val="24"/>
                <w:highlight w:val="none"/>
              </w:rPr>
              <w:t>矿山道路</w:t>
            </w:r>
            <w:r>
              <w:rPr>
                <w:rFonts w:hint="eastAsia" w:ascii="Times New Roman" w:hAnsi="Times New Roman" w:eastAsia="宋体"/>
                <w:b/>
                <w:bCs/>
                <w:color w:val="FF0000"/>
                <w:sz w:val="24"/>
                <w:lang w:eastAsia="zh-CN"/>
              </w:rPr>
              <w:t>恢复</w:t>
            </w:r>
            <w:r>
              <w:rPr>
                <w:rFonts w:hint="eastAsia" w:ascii="Times New Roman" w:hAnsi="Times New Roman" w:eastAsia="宋体"/>
                <w:b/>
                <w:bCs/>
                <w:color w:val="FF0000"/>
                <w:sz w:val="24"/>
              </w:rPr>
              <w:t>治理工程</w:t>
            </w:r>
          </w:p>
          <w:p w14:paraId="45606284">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矿区与G227之间有乡村道路相通，由矿区西南侧原有乡村道路</w:t>
            </w:r>
            <w:r>
              <w:rPr>
                <w:rFonts w:hint="eastAsia" w:cs="Times New Roman"/>
                <w:color w:val="FF0000"/>
                <w:sz w:val="24"/>
                <w:lang w:val="en-US" w:eastAsia="zh-CN"/>
              </w:rPr>
              <w:t>开辟</w:t>
            </w:r>
            <w:r>
              <w:rPr>
                <w:rFonts w:hint="eastAsia" w:ascii="Times New Roman" w:hAnsi="Times New Roman" w:eastAsia="宋体" w:cs="Times New Roman"/>
                <w:color w:val="FF0000"/>
                <w:sz w:val="24"/>
                <w:lang w:val="en-US" w:eastAsia="zh-CN"/>
              </w:rPr>
              <w:t>道路引线至生产加工区和生活办公区，道路至生产加工区和生活办公区之后分东北侧及北侧两个方向沿地形分别修建道路到达矿区两处采区。</w:t>
            </w:r>
          </w:p>
          <w:p w14:paraId="58E14313">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矿山道路为简易碎石路面，占地面积为</w:t>
            </w:r>
            <w:r>
              <w:rPr>
                <w:rFonts w:hint="default" w:ascii="Times New Roman" w:hAnsi="Times New Roman" w:eastAsia="宋体" w:cs="Times New Roman"/>
                <w:color w:val="FF0000"/>
                <w:sz w:val="24"/>
                <w:lang w:val="en-US" w:eastAsia="zh-CN"/>
              </w:rPr>
              <w:t>0.4838hm</w:t>
            </w:r>
            <w:r>
              <w:rPr>
                <w:rFonts w:hint="default" w:ascii="Times New Roman" w:hAnsi="Times New Roman" w:eastAsia="宋体" w:cs="Times New Roman"/>
                <w:color w:val="FF0000"/>
                <w:sz w:val="24"/>
                <w:vertAlign w:val="superscript"/>
                <w:lang w:val="en-US" w:eastAsia="zh-CN"/>
              </w:rPr>
              <w:t>2</w:t>
            </w:r>
            <w:r>
              <w:rPr>
                <w:rFonts w:hint="eastAsia" w:ascii="Times New Roman" w:hAnsi="Times New Roman" w:eastAsia="宋体" w:cs="Times New Roman"/>
                <w:color w:val="FF0000"/>
                <w:sz w:val="24"/>
                <w:lang w:val="en-US" w:eastAsia="zh-CN"/>
              </w:rPr>
              <w:t>，复垦方向为天然牧草地，采取的措施主要为场地清理、覆土平整、植被重建、土壤培肥等工程</w:t>
            </w:r>
            <w:r>
              <w:rPr>
                <w:rFonts w:hint="eastAsia" w:cs="Times New Roman"/>
                <w:color w:val="FF0000"/>
                <w:sz w:val="24"/>
                <w:lang w:val="en-US" w:eastAsia="zh-CN"/>
              </w:rPr>
              <w:t>。</w:t>
            </w:r>
          </w:p>
          <w:p w14:paraId="29EE53BE">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FC"/>
                <w:sz w:val="24"/>
                <w:lang w:val="en-US" w:eastAsia="zh-CN"/>
              </w:rPr>
            </w:pPr>
            <w:r>
              <w:rPr>
                <w:rFonts w:hint="eastAsia" w:ascii="Times New Roman" w:hAnsi="Times New Roman" w:eastAsia="宋体" w:cs="Times New Roman"/>
                <w:color w:val="0000FC"/>
                <w:sz w:val="24"/>
                <w:lang w:val="en-US" w:eastAsia="zh-CN"/>
              </w:rPr>
              <w:t>矿山</w:t>
            </w:r>
            <w:r>
              <w:rPr>
                <w:rFonts w:hint="eastAsia" w:cs="Times New Roman"/>
                <w:color w:val="0000FC"/>
                <w:sz w:val="24"/>
                <w:lang w:val="en-US" w:eastAsia="zh-CN"/>
              </w:rPr>
              <w:t>闭矿</w:t>
            </w:r>
            <w:r>
              <w:rPr>
                <w:rFonts w:hint="eastAsia" w:ascii="Times New Roman" w:hAnsi="Times New Roman" w:eastAsia="宋体" w:cs="Times New Roman"/>
                <w:color w:val="0000FC"/>
                <w:sz w:val="24"/>
                <w:lang w:val="en-US" w:eastAsia="zh-CN"/>
              </w:rPr>
              <w:t>后，对矿山道路废石及因运输掉落的矿石和边坡废渣进行清理，清理后可回填至露天采场。矿山道路面积</w:t>
            </w:r>
            <w:r>
              <w:rPr>
                <w:rFonts w:hint="eastAsia" w:cs="Times New Roman"/>
                <w:color w:val="0000FC"/>
                <w:sz w:val="24"/>
                <w:lang w:val="en-US" w:eastAsia="zh-CN"/>
              </w:rPr>
              <w:t>约</w:t>
            </w:r>
            <w:r>
              <w:rPr>
                <w:rFonts w:hint="eastAsia" w:ascii="Times New Roman" w:hAnsi="Times New Roman" w:eastAsia="宋体" w:cs="Times New Roman"/>
                <w:color w:val="0000FC"/>
                <w:sz w:val="24"/>
                <w:lang w:val="en-US" w:eastAsia="zh-CN"/>
              </w:rPr>
              <w:t>为</w:t>
            </w:r>
            <w:r>
              <w:rPr>
                <w:rFonts w:hint="default" w:ascii="Times New Roman" w:hAnsi="Times New Roman" w:eastAsia="宋体" w:cs="Times New Roman"/>
                <w:color w:val="0000FC"/>
                <w:sz w:val="24"/>
                <w:lang w:val="en-US" w:eastAsia="zh-CN"/>
              </w:rPr>
              <w:t>0.4838hm</w:t>
            </w:r>
            <w:r>
              <w:rPr>
                <w:rFonts w:hint="default" w:ascii="Times New Roman" w:hAnsi="Times New Roman" w:eastAsia="宋体" w:cs="Times New Roman"/>
                <w:color w:val="0000FC"/>
                <w:sz w:val="24"/>
                <w:vertAlign w:val="superscript"/>
                <w:lang w:val="en-US" w:eastAsia="zh-CN"/>
              </w:rPr>
              <w:t>2</w:t>
            </w:r>
            <w:r>
              <w:rPr>
                <w:rFonts w:hint="eastAsia" w:ascii="Times New Roman" w:hAnsi="Times New Roman" w:eastAsia="宋体" w:cs="Times New Roman"/>
                <w:color w:val="0000FC"/>
                <w:sz w:val="24"/>
                <w:lang w:val="en-US" w:eastAsia="zh-CN"/>
              </w:rPr>
              <w:t>，场地清理后覆土平整，覆土厚度为</w:t>
            </w:r>
            <w:r>
              <w:rPr>
                <w:rFonts w:hint="default" w:ascii="Times New Roman" w:hAnsi="Times New Roman" w:eastAsia="宋体" w:cs="Times New Roman"/>
                <w:color w:val="0000FC"/>
                <w:sz w:val="24"/>
                <w:lang w:val="en-US" w:eastAsia="zh-CN"/>
              </w:rPr>
              <w:t>0.25m</w:t>
            </w:r>
            <w:r>
              <w:rPr>
                <w:rFonts w:hint="eastAsia" w:ascii="Times New Roman" w:hAnsi="Times New Roman" w:eastAsia="宋体" w:cs="Times New Roman"/>
                <w:color w:val="0000FC"/>
                <w:sz w:val="24"/>
                <w:lang w:val="en-US" w:eastAsia="zh-CN"/>
              </w:rPr>
              <w:t>，需土方量</w:t>
            </w:r>
            <w:r>
              <w:rPr>
                <w:rFonts w:hint="default" w:ascii="Times New Roman" w:hAnsi="Times New Roman" w:eastAsia="宋体" w:cs="Times New Roman"/>
                <w:color w:val="0000FC"/>
                <w:sz w:val="24"/>
                <w:lang w:val="en-US" w:eastAsia="zh-CN"/>
              </w:rPr>
              <w:t>1209.5m</w:t>
            </w:r>
            <w:r>
              <w:rPr>
                <w:rFonts w:hint="default" w:ascii="Times New Roman" w:hAnsi="Times New Roman" w:eastAsia="宋体" w:cs="Times New Roman"/>
                <w:color w:val="0000FC"/>
                <w:sz w:val="24"/>
                <w:vertAlign w:val="superscript"/>
                <w:lang w:val="en-US" w:eastAsia="zh-CN"/>
              </w:rPr>
              <w:t>3</w:t>
            </w:r>
            <w:r>
              <w:rPr>
                <w:rFonts w:hint="eastAsia" w:ascii="Times New Roman" w:hAnsi="Times New Roman" w:eastAsia="宋体" w:cs="Times New Roman"/>
                <w:color w:val="0000FC"/>
                <w:sz w:val="24"/>
                <w:lang w:val="en-US" w:eastAsia="zh-CN"/>
              </w:rPr>
              <w:t>，调运表土的运距为</w:t>
            </w:r>
            <w:r>
              <w:rPr>
                <w:rFonts w:hint="default" w:ascii="Times New Roman" w:hAnsi="Times New Roman" w:eastAsia="宋体" w:cs="Times New Roman"/>
                <w:color w:val="0000FC"/>
                <w:sz w:val="24"/>
                <w:lang w:val="en-US" w:eastAsia="zh-CN"/>
              </w:rPr>
              <w:t>0.5</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1km</w:t>
            </w:r>
            <w:r>
              <w:rPr>
                <w:rFonts w:hint="eastAsia" w:ascii="Times New Roman" w:hAnsi="Times New Roman" w:eastAsia="宋体" w:cs="Times New Roman"/>
                <w:color w:val="0000FC"/>
                <w:sz w:val="24"/>
                <w:lang w:val="en-US" w:eastAsia="zh-CN"/>
              </w:rPr>
              <w:t>。与草种播种的同时施入底肥，施入的底肥为商品有机肥，增加土壤有机质和养分，施肥量为</w:t>
            </w:r>
            <w:r>
              <w:rPr>
                <w:rFonts w:hint="default" w:ascii="Times New Roman" w:hAnsi="Times New Roman" w:eastAsia="宋体" w:cs="Times New Roman"/>
                <w:color w:val="0000FC"/>
                <w:sz w:val="24"/>
                <w:lang w:val="en-US" w:eastAsia="zh-CN"/>
              </w:rPr>
              <w:t>4500kg/hm</w:t>
            </w:r>
            <w:r>
              <w:rPr>
                <w:rFonts w:hint="default" w:ascii="Times New Roman" w:hAnsi="Times New Roman" w:eastAsia="宋体" w:cs="Times New Roman"/>
                <w:color w:val="0000FC"/>
                <w:sz w:val="24"/>
                <w:vertAlign w:val="superscript"/>
                <w:lang w:val="en-US" w:eastAsia="zh-CN"/>
              </w:rPr>
              <w:t>2</w:t>
            </w:r>
            <w:r>
              <w:rPr>
                <w:rFonts w:hint="eastAsia" w:ascii="Times New Roman" w:hAnsi="Times New Roman" w:eastAsia="宋体" w:cs="Times New Roman"/>
                <w:color w:val="0000FC"/>
                <w:sz w:val="24"/>
                <w:lang w:val="en-US" w:eastAsia="zh-CN"/>
              </w:rPr>
              <w:t>，矿山道路需有机肥</w:t>
            </w:r>
            <w:r>
              <w:rPr>
                <w:rFonts w:hint="default" w:ascii="Times New Roman" w:hAnsi="Times New Roman" w:eastAsia="宋体" w:cs="Times New Roman"/>
                <w:color w:val="0000FC"/>
                <w:sz w:val="24"/>
                <w:lang w:val="en-US" w:eastAsia="zh-CN"/>
              </w:rPr>
              <w:t>2177.1kg</w:t>
            </w:r>
            <w:r>
              <w:rPr>
                <w:rFonts w:hint="eastAsia" w:ascii="Times New Roman" w:hAnsi="Times New Roman" w:eastAsia="宋体" w:cs="Times New Roman"/>
                <w:color w:val="0000FC"/>
                <w:sz w:val="24"/>
                <w:lang w:val="en-US" w:eastAsia="zh-CN"/>
              </w:rPr>
              <w:t>。</w:t>
            </w:r>
          </w:p>
          <w:p w14:paraId="0C952781">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FC"/>
                <w:sz w:val="24"/>
                <w:lang w:val="en-US" w:eastAsia="zh-CN"/>
              </w:rPr>
            </w:pPr>
            <w:r>
              <w:rPr>
                <w:rFonts w:hint="eastAsia" w:ascii="Times New Roman" w:hAnsi="Times New Roman" w:eastAsia="宋体" w:cs="Times New Roman"/>
                <w:color w:val="0000FC"/>
                <w:sz w:val="24"/>
                <w:lang w:val="en-US" w:eastAsia="zh-CN"/>
              </w:rPr>
              <w:t>本单元复垦为天然牧草地，采用撒播草籽的方式进行植被恢复，种子选取垂穗披碱草、同德小花碱茅、青海冷地早熟禾和扁穗冰草，按重量比</w:t>
            </w:r>
            <w:r>
              <w:rPr>
                <w:rFonts w:hint="default" w:ascii="Times New Roman" w:hAnsi="Times New Roman" w:eastAsia="宋体" w:cs="Times New Roman"/>
                <w:color w:val="0000FC"/>
                <w:sz w:val="24"/>
                <w:lang w:val="en-US" w:eastAsia="zh-CN"/>
              </w:rPr>
              <w:t>4</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比例混播，撒播密度为</w:t>
            </w:r>
            <w:r>
              <w:rPr>
                <w:rFonts w:hint="default" w:ascii="Times New Roman" w:hAnsi="Times New Roman" w:eastAsia="宋体" w:cs="Times New Roman"/>
                <w:color w:val="0000FC"/>
                <w:sz w:val="24"/>
                <w:lang w:val="en-US" w:eastAsia="zh-CN"/>
              </w:rPr>
              <w:t>100kg/hm</w:t>
            </w:r>
            <w:r>
              <w:rPr>
                <w:rFonts w:hint="default" w:ascii="Times New Roman" w:hAnsi="Times New Roman" w:eastAsia="宋体" w:cs="Times New Roman"/>
                <w:color w:val="0000FC"/>
                <w:sz w:val="24"/>
                <w:vertAlign w:val="superscript"/>
                <w:lang w:val="en-US" w:eastAsia="zh-CN"/>
              </w:rPr>
              <w:t>2</w:t>
            </w:r>
            <w:r>
              <w:rPr>
                <w:rFonts w:hint="eastAsia" w:ascii="Times New Roman" w:hAnsi="Times New Roman" w:eastAsia="宋体" w:cs="Times New Roman"/>
                <w:color w:val="0000FC"/>
                <w:sz w:val="24"/>
                <w:lang w:val="en-US" w:eastAsia="zh-CN"/>
              </w:rPr>
              <w:t>。草籽和商品有机肥播撒完成后，整个植被恢复区域采用无纺布进行覆盖，保持温度及湿度。要求无纺布覆盖平整贴合，</w:t>
            </w:r>
            <w:r>
              <w:rPr>
                <w:rFonts w:hint="default" w:ascii="Times New Roman" w:hAnsi="Times New Roman" w:eastAsia="宋体" w:cs="Times New Roman"/>
                <w:color w:val="0000FC"/>
                <w:sz w:val="24"/>
                <w:lang w:val="en-US" w:eastAsia="zh-CN"/>
              </w:rPr>
              <w:t>2</w:t>
            </w:r>
            <w:r>
              <w:rPr>
                <w:rFonts w:hint="eastAsia" w:ascii="Times New Roman" w:hAnsi="Times New Roman" w:eastAsia="宋体" w:cs="Times New Roman"/>
                <w:color w:val="0000FC"/>
                <w:sz w:val="24"/>
                <w:lang w:val="en-US" w:eastAsia="zh-CN"/>
              </w:rPr>
              <w:t>幅之间重叠</w:t>
            </w:r>
            <w:r>
              <w:rPr>
                <w:rFonts w:hint="default" w:ascii="Times New Roman" w:hAnsi="Times New Roman" w:eastAsia="宋体" w:cs="Times New Roman"/>
                <w:color w:val="0000FC"/>
                <w:sz w:val="24"/>
                <w:lang w:val="en-US" w:eastAsia="zh-CN"/>
              </w:rPr>
              <w:t>10cm</w:t>
            </w:r>
            <w:r>
              <w:rPr>
                <w:rFonts w:hint="eastAsia" w:ascii="Times New Roman" w:hAnsi="Times New Roman" w:eastAsia="宋体" w:cs="Times New Roman"/>
                <w:color w:val="0000FC"/>
                <w:sz w:val="24"/>
                <w:lang w:val="en-US" w:eastAsia="zh-CN"/>
              </w:rPr>
              <w:t>并用块砂土进行固定，无纺布选用草绿色可降解植草护坡专用无纺布，规格为</w:t>
            </w:r>
            <w:r>
              <w:rPr>
                <w:rFonts w:hint="default" w:ascii="Times New Roman" w:hAnsi="Times New Roman" w:eastAsia="宋体" w:cs="Times New Roman"/>
                <w:color w:val="0000FC"/>
                <w:sz w:val="24"/>
                <w:lang w:val="en-US" w:eastAsia="zh-CN"/>
              </w:rPr>
              <w:t>30g/m</w:t>
            </w:r>
            <w:r>
              <w:rPr>
                <w:rFonts w:hint="eastAsia" w:ascii="Times New Roman" w:hAnsi="Times New Roman" w:eastAsia="宋体" w:cs="Times New Roman"/>
                <w:color w:val="0000FC"/>
                <w:sz w:val="24"/>
                <w:lang w:val="en-US" w:eastAsia="zh-CN"/>
              </w:rPr>
              <w:t>。</w:t>
            </w:r>
          </w:p>
          <w:p w14:paraId="6C0BBDAF">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0000FC"/>
                <w:sz w:val="24"/>
                <w:lang w:val="en-US" w:eastAsia="zh-CN"/>
              </w:rPr>
              <w:t>综上所述，矿山道路采取以上恢复措施，加强植被维护及管理，草类</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年之后的成活率应不低于</w:t>
            </w:r>
            <w:r>
              <w:rPr>
                <w:rFonts w:hint="default" w:ascii="Times New Roman" w:hAnsi="Times New Roman" w:eastAsia="宋体" w:cs="Times New Roman"/>
                <w:color w:val="0000FC"/>
                <w:sz w:val="24"/>
                <w:lang w:val="en-US" w:eastAsia="zh-CN"/>
              </w:rPr>
              <w:t>85%</w:t>
            </w:r>
            <w:r>
              <w:rPr>
                <w:rFonts w:hint="eastAsia" w:ascii="Times New Roman" w:hAnsi="Times New Roman" w:eastAsia="宋体" w:cs="Times New Roman"/>
                <w:color w:val="0000FC"/>
                <w:sz w:val="24"/>
                <w:lang w:val="en-US" w:eastAsia="zh-CN"/>
              </w:rPr>
              <w:t>，若成活率不达标，应在春秋两季进行补植，可将植被覆盖率达到55%以上，恢复至原有植被覆盖率，与周边环境相协调，可满足生态恢复的要求</w:t>
            </w:r>
            <w:r>
              <w:rPr>
                <w:rFonts w:hint="eastAsia" w:cs="Times New Roman"/>
                <w:color w:val="0000FC"/>
                <w:sz w:val="24"/>
                <w:lang w:val="en-US" w:eastAsia="zh-CN"/>
              </w:rPr>
              <w:t>，恢复治理措施可行</w:t>
            </w:r>
            <w:r>
              <w:rPr>
                <w:rFonts w:hint="eastAsia" w:ascii="Times New Roman" w:hAnsi="Times New Roman" w:eastAsia="宋体" w:cs="Times New Roman"/>
                <w:color w:val="0000FC"/>
                <w:sz w:val="24"/>
                <w:lang w:val="en-US" w:eastAsia="zh-CN"/>
              </w:rPr>
              <w:t>。</w:t>
            </w:r>
          </w:p>
          <w:p w14:paraId="7A56ACC4">
            <w:pPr>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ascii="Times New Roman" w:hAnsi="Times New Roman" w:eastAsia="宋体" w:cs="Times New Roman"/>
                <w:b/>
                <w:bCs/>
                <w:color w:val="FF0000"/>
                <w:sz w:val="24"/>
              </w:rPr>
            </w:pPr>
            <w:r>
              <w:rPr>
                <w:rFonts w:hint="eastAsia" w:cs="Times New Roman"/>
                <w:b/>
                <w:bCs/>
                <w:color w:val="FF0000"/>
                <w:sz w:val="24"/>
                <w:lang w:val="en-US" w:eastAsia="zh-CN"/>
              </w:rPr>
              <w:t>2.2.3</w:t>
            </w:r>
            <w:r>
              <w:rPr>
                <w:rFonts w:ascii="Times New Roman" w:hAnsi="Times New Roman" w:eastAsia="宋体" w:cs="Times New Roman"/>
                <w:b/>
                <w:bCs/>
                <w:color w:val="FF0000"/>
                <w:sz w:val="24"/>
              </w:rPr>
              <w:t>办公生活区</w:t>
            </w:r>
            <w:r>
              <w:rPr>
                <w:rFonts w:hint="eastAsia" w:ascii="Times New Roman" w:hAnsi="Times New Roman" w:eastAsia="宋体"/>
                <w:b/>
                <w:bCs/>
                <w:color w:val="FF0000"/>
                <w:sz w:val="24"/>
                <w:lang w:eastAsia="zh-CN"/>
              </w:rPr>
              <w:t>恢复</w:t>
            </w:r>
            <w:r>
              <w:rPr>
                <w:rFonts w:hint="eastAsia" w:ascii="Times New Roman" w:hAnsi="Times New Roman" w:eastAsia="宋体"/>
                <w:b/>
                <w:bCs/>
                <w:color w:val="FF0000"/>
                <w:sz w:val="24"/>
              </w:rPr>
              <w:t>治理工程</w:t>
            </w:r>
          </w:p>
          <w:p w14:paraId="6044427C">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因矿区地形特殊，生活办公区设于矿区外围生产加工区北侧临时用地范围内地势平缓处，主要为矿山职工食宿、停车与办公场地</w:t>
            </w:r>
            <w:r>
              <w:rPr>
                <w:rFonts w:ascii="Times New Roman" w:hAnsi="Times New Roman" w:eastAsia="宋体"/>
                <w:color w:val="FF0000"/>
                <w:sz w:val="24"/>
              </w:rPr>
              <w:t>，办公生活区的建筑物、硬化地</w:t>
            </w:r>
            <w:r>
              <w:rPr>
                <w:rFonts w:hint="eastAsia" w:ascii="Times New Roman" w:hAnsi="Times New Roman" w:eastAsia="宋体"/>
                <w:color w:val="FF0000"/>
                <w:sz w:val="24"/>
                <w:lang w:eastAsia="zh-CN"/>
              </w:rPr>
              <w:t>面</w:t>
            </w:r>
            <w:r>
              <w:rPr>
                <w:rFonts w:ascii="Times New Roman" w:hAnsi="Times New Roman" w:eastAsia="宋体"/>
                <w:color w:val="FF0000"/>
                <w:sz w:val="24"/>
              </w:rPr>
              <w:t>、厕所、</w:t>
            </w:r>
            <w:r>
              <w:rPr>
                <w:rFonts w:hint="eastAsia" w:ascii="Times New Roman" w:hAnsi="Times New Roman" w:eastAsia="宋体"/>
                <w:color w:val="FF0000"/>
                <w:sz w:val="24"/>
                <w:lang w:eastAsia="zh-CN"/>
              </w:rPr>
              <w:t>车辆冲洗平台、</w:t>
            </w:r>
            <w:r>
              <w:rPr>
                <w:rFonts w:hint="eastAsia" w:ascii="Times New Roman" w:hAnsi="Times New Roman" w:eastAsia="宋体"/>
                <w:color w:val="FF0000"/>
                <w:sz w:val="24"/>
                <w:lang w:val="en-US" w:eastAsia="zh-CN"/>
              </w:rPr>
              <w:t>危险废物贮存库</w:t>
            </w:r>
            <w:r>
              <w:rPr>
                <w:rFonts w:ascii="Times New Roman" w:hAnsi="Times New Roman" w:eastAsia="宋体"/>
                <w:color w:val="FF0000"/>
                <w:sz w:val="24"/>
              </w:rPr>
              <w:t>等设施及时拆除</w:t>
            </w:r>
            <w:r>
              <w:rPr>
                <w:rFonts w:hint="default" w:ascii="Times New Roman" w:hAnsi="Times New Roman" w:eastAsia="宋体" w:cs="Times New Roman"/>
                <w:color w:val="FF0000"/>
                <w:sz w:val="24"/>
                <w:lang w:val="en-US" w:eastAsia="zh-CN"/>
              </w:rPr>
              <w:t>。复垦方向为天然牧草地，采取的措施主要为场地清理、覆土平整、植被重建、土壤培肥等工程</w:t>
            </w:r>
            <w:r>
              <w:rPr>
                <w:rFonts w:hint="eastAsia" w:cs="Times New Roman"/>
                <w:color w:val="FF0000"/>
                <w:sz w:val="24"/>
                <w:lang w:val="en-US" w:eastAsia="zh-CN"/>
              </w:rPr>
              <w:t>。</w:t>
            </w:r>
          </w:p>
          <w:p w14:paraId="0C35EEA4">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FC"/>
                <w:sz w:val="24"/>
                <w:lang w:val="en-US" w:eastAsia="zh-CN"/>
              </w:rPr>
            </w:pPr>
            <w:r>
              <w:rPr>
                <w:rFonts w:hint="default" w:ascii="Times New Roman" w:hAnsi="Times New Roman" w:eastAsia="宋体" w:cs="Times New Roman"/>
                <w:color w:val="0000FC"/>
                <w:sz w:val="24"/>
                <w:lang w:val="en-US" w:eastAsia="zh-CN"/>
              </w:rPr>
              <w:t>矿山</w:t>
            </w:r>
            <w:r>
              <w:rPr>
                <w:rFonts w:hint="eastAsia" w:cs="Times New Roman"/>
                <w:color w:val="0000FC"/>
                <w:sz w:val="24"/>
                <w:lang w:val="en-US" w:eastAsia="zh-CN"/>
              </w:rPr>
              <w:t>闭矿</w:t>
            </w:r>
            <w:r>
              <w:rPr>
                <w:rFonts w:hint="default" w:ascii="Times New Roman" w:hAnsi="Times New Roman" w:eastAsia="宋体" w:cs="Times New Roman"/>
                <w:color w:val="0000FC"/>
                <w:sz w:val="24"/>
                <w:lang w:val="en-US" w:eastAsia="zh-CN"/>
              </w:rPr>
              <w:t>后，对生活办公区所有建（构）筑物进行拆除，建筑物均为单层彩钢结构，对于可重复利用部分进行二次利用，拆除量按经验值建筑体积的 20%计算。生活办公区建筑面积为0.1hm</w:t>
            </w:r>
            <w:r>
              <w:rPr>
                <w:rFonts w:hint="default" w:ascii="Times New Roman" w:hAnsi="Times New Roman" w:eastAsia="宋体" w:cs="Times New Roman"/>
                <w:color w:val="0000FC"/>
                <w:sz w:val="24"/>
                <w:vertAlign w:val="superscript"/>
                <w:lang w:val="en-US" w:eastAsia="zh-CN"/>
              </w:rPr>
              <w:t>2</w:t>
            </w:r>
            <w:r>
              <w:rPr>
                <w:rFonts w:hint="default" w:ascii="Times New Roman" w:hAnsi="Times New Roman" w:eastAsia="宋体" w:cs="Times New Roman"/>
                <w:color w:val="0000FC"/>
                <w:sz w:val="24"/>
                <w:lang w:val="en-US" w:eastAsia="zh-CN"/>
              </w:rPr>
              <w:t>，为单层彩钢结构，高3m，则拆除物总量600m</w:t>
            </w:r>
            <w:r>
              <w:rPr>
                <w:rFonts w:hint="default" w:ascii="Times New Roman" w:hAnsi="Times New Roman" w:eastAsia="宋体" w:cs="Times New Roman"/>
                <w:color w:val="0000FC"/>
                <w:sz w:val="24"/>
                <w:vertAlign w:val="superscript"/>
                <w:lang w:val="en-US" w:eastAsia="zh-CN"/>
              </w:rPr>
              <w:t>3</w:t>
            </w:r>
            <w:r>
              <w:rPr>
                <w:rFonts w:hint="default" w:ascii="Times New Roman" w:hAnsi="Times New Roman" w:eastAsia="宋体" w:cs="Times New Roman"/>
                <w:color w:val="0000FC"/>
                <w:sz w:val="24"/>
                <w:lang w:val="en-US" w:eastAsia="zh-CN"/>
              </w:rPr>
              <w:t>。建筑垃圾等固体废物分类集中处理，不得遗弃在工程占地范围内。</w:t>
            </w:r>
          </w:p>
          <w:p w14:paraId="529F27DB">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FC"/>
                <w:sz w:val="24"/>
                <w:lang w:val="en-US" w:eastAsia="zh-CN"/>
              </w:rPr>
            </w:pPr>
            <w:r>
              <w:rPr>
                <w:rFonts w:hint="default" w:ascii="Times New Roman" w:hAnsi="Times New Roman" w:eastAsia="宋体" w:cs="Times New Roman"/>
                <w:color w:val="0000FC"/>
                <w:sz w:val="24"/>
                <w:lang w:val="en-US" w:eastAsia="zh-CN"/>
              </w:rPr>
              <w:t>生活办公区面积为0.</w:t>
            </w:r>
            <w:r>
              <w:rPr>
                <w:rFonts w:hint="eastAsia" w:ascii="Times New Roman" w:hAnsi="Times New Roman" w:cs="Times New Roman"/>
                <w:color w:val="0000FC"/>
                <w:sz w:val="24"/>
                <w:lang w:val="en-US" w:eastAsia="zh-CN"/>
              </w:rPr>
              <w:t>2171</w:t>
            </w:r>
            <w:r>
              <w:rPr>
                <w:rFonts w:hint="default" w:ascii="Times New Roman" w:hAnsi="Times New Roman" w:eastAsia="宋体" w:cs="Times New Roman"/>
                <w:color w:val="0000FC"/>
                <w:sz w:val="24"/>
                <w:lang w:val="en-US" w:eastAsia="zh-CN"/>
              </w:rPr>
              <w:t>hm</w:t>
            </w:r>
            <w:r>
              <w:rPr>
                <w:rFonts w:hint="default" w:ascii="Times New Roman" w:hAnsi="Times New Roman" w:eastAsia="宋体" w:cs="Times New Roman"/>
                <w:color w:val="0000FC"/>
                <w:sz w:val="24"/>
                <w:vertAlign w:val="superscript"/>
                <w:lang w:val="en-US" w:eastAsia="zh-CN"/>
              </w:rPr>
              <w:t>2</w:t>
            </w:r>
            <w:r>
              <w:rPr>
                <w:rFonts w:hint="default" w:ascii="Times New Roman" w:hAnsi="Times New Roman" w:eastAsia="宋体" w:cs="Times New Roman"/>
                <w:color w:val="0000FC"/>
                <w:sz w:val="24"/>
                <w:lang w:val="en-US" w:eastAsia="zh-CN"/>
              </w:rPr>
              <w:t>，场地清理后覆土平整，覆土厚度为0.25m，需土方量</w:t>
            </w:r>
            <w:r>
              <w:rPr>
                <w:rFonts w:hint="eastAsia" w:ascii="Times New Roman" w:hAnsi="Times New Roman" w:cs="Times New Roman"/>
                <w:color w:val="0000FC"/>
                <w:sz w:val="24"/>
                <w:lang w:val="en-US" w:eastAsia="zh-CN"/>
              </w:rPr>
              <w:t>542.75</w:t>
            </w:r>
            <w:r>
              <w:rPr>
                <w:rFonts w:hint="default" w:ascii="Times New Roman" w:hAnsi="Times New Roman" w:eastAsia="宋体" w:cs="Times New Roman"/>
                <w:color w:val="0000FC"/>
                <w:sz w:val="24"/>
                <w:lang w:val="en-US" w:eastAsia="zh-CN"/>
              </w:rPr>
              <w:t>m</w:t>
            </w:r>
            <w:r>
              <w:rPr>
                <w:rFonts w:hint="default" w:ascii="Times New Roman" w:hAnsi="Times New Roman" w:eastAsia="宋体" w:cs="Times New Roman"/>
                <w:color w:val="0000FC"/>
                <w:sz w:val="24"/>
                <w:vertAlign w:val="superscript"/>
                <w:lang w:val="en-US" w:eastAsia="zh-CN"/>
              </w:rPr>
              <w:t>3</w:t>
            </w:r>
            <w:r>
              <w:rPr>
                <w:rFonts w:hint="default" w:ascii="Times New Roman" w:hAnsi="Times New Roman" w:eastAsia="宋体" w:cs="Times New Roman"/>
                <w:color w:val="0000FC"/>
                <w:sz w:val="24"/>
                <w:lang w:val="en-US" w:eastAsia="zh-CN"/>
              </w:rPr>
              <w:t>，调运表土的运距为0.5～1km。与草种播种的同时施入底肥，施入的底肥为商品有机肥，增加土壤有机质和养分，施肥量为4500kg/hm</w:t>
            </w:r>
            <w:r>
              <w:rPr>
                <w:rFonts w:hint="default" w:ascii="Times New Roman" w:hAnsi="Times New Roman" w:eastAsia="宋体" w:cs="Times New Roman"/>
                <w:color w:val="0000FC"/>
                <w:sz w:val="24"/>
                <w:vertAlign w:val="superscript"/>
                <w:lang w:val="en-US" w:eastAsia="zh-CN"/>
              </w:rPr>
              <w:t>2</w:t>
            </w:r>
            <w:r>
              <w:rPr>
                <w:rFonts w:hint="default" w:ascii="Times New Roman" w:hAnsi="Times New Roman" w:eastAsia="宋体" w:cs="Times New Roman"/>
                <w:color w:val="0000FC"/>
                <w:sz w:val="24"/>
                <w:lang w:val="en-US" w:eastAsia="zh-CN"/>
              </w:rPr>
              <w:t>，生活办公区需有机肥</w:t>
            </w:r>
            <w:r>
              <w:rPr>
                <w:rFonts w:hint="eastAsia" w:ascii="Times New Roman" w:hAnsi="Times New Roman" w:cs="Times New Roman"/>
                <w:color w:val="0000FC"/>
                <w:sz w:val="24"/>
                <w:lang w:val="en-US" w:eastAsia="zh-CN"/>
              </w:rPr>
              <w:t>976.95</w:t>
            </w:r>
            <w:r>
              <w:rPr>
                <w:rFonts w:hint="default" w:ascii="Times New Roman" w:hAnsi="Times New Roman" w:eastAsia="宋体" w:cs="Times New Roman"/>
                <w:color w:val="0000FC"/>
                <w:sz w:val="24"/>
                <w:lang w:val="en-US" w:eastAsia="zh-CN"/>
              </w:rPr>
              <w:t>kg。</w:t>
            </w:r>
          </w:p>
          <w:p w14:paraId="2CBEF757">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FC"/>
                <w:sz w:val="24"/>
                <w:lang w:val="en-US" w:eastAsia="zh-CN"/>
              </w:rPr>
            </w:pPr>
            <w:r>
              <w:rPr>
                <w:rFonts w:hint="default" w:ascii="Times New Roman" w:hAnsi="Times New Roman" w:eastAsia="宋体" w:cs="Times New Roman"/>
                <w:color w:val="0000FC"/>
                <w:sz w:val="24"/>
                <w:lang w:val="en-US" w:eastAsia="zh-CN"/>
              </w:rPr>
              <w:t>本单元复垦为天然牧草地，采用撒播草籽的方式进行植被恢复，种子选取垂穗披碱草、同德小花碱茅、青海冷地早熟禾和扁穗冰草，按重量比4：1：1：1比例混播，撒播密度为100kg/hm</w:t>
            </w:r>
            <w:r>
              <w:rPr>
                <w:rFonts w:hint="default" w:ascii="Times New Roman" w:hAnsi="Times New Roman" w:eastAsia="宋体" w:cs="Times New Roman"/>
                <w:color w:val="0000FC"/>
                <w:sz w:val="24"/>
                <w:vertAlign w:val="superscript"/>
                <w:lang w:val="en-US" w:eastAsia="zh-CN"/>
              </w:rPr>
              <w:t>2</w:t>
            </w:r>
            <w:r>
              <w:rPr>
                <w:rFonts w:hint="default" w:ascii="Times New Roman" w:hAnsi="Times New Roman" w:eastAsia="宋体" w:cs="Times New Roman"/>
                <w:color w:val="0000FC"/>
                <w:sz w:val="24"/>
                <w:lang w:val="en-US" w:eastAsia="zh-CN"/>
              </w:rPr>
              <w:t>。草籽和商品有机肥播撒完成后，整个植被恢复区域采用无纺布进行覆盖，保持温度及湿度。要求无纺布覆盖平整贴合，2幅之间重叠10cm并用块砂土进行固定，无纺布选用草绿色可降解植草护坡专用无纺布，规格为30g/m。</w:t>
            </w:r>
          </w:p>
          <w:p w14:paraId="2E10BB49">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0000FC"/>
                <w:sz w:val="24"/>
                <w:lang w:val="en-US" w:eastAsia="zh-CN"/>
              </w:rPr>
              <w:t>综上所述，办公生活区采取以上恢复措施，加强植被维护及管理，保证成活率，</w:t>
            </w:r>
            <w:r>
              <w:rPr>
                <w:rFonts w:hint="default" w:ascii="Times New Roman" w:hAnsi="Times New Roman" w:eastAsia="宋体" w:cs="Times New Roman"/>
                <w:color w:val="0000FC"/>
                <w:sz w:val="24"/>
                <w:lang w:val="en-US" w:eastAsia="zh-CN"/>
              </w:rPr>
              <w:t>改善</w:t>
            </w:r>
            <w:r>
              <w:rPr>
                <w:rFonts w:hint="eastAsia" w:ascii="Times New Roman" w:hAnsi="Times New Roman" w:eastAsia="宋体" w:cs="Times New Roman"/>
                <w:color w:val="0000FC"/>
                <w:sz w:val="24"/>
                <w:lang w:val="en-US" w:eastAsia="zh-CN"/>
              </w:rPr>
              <w:t>植被</w:t>
            </w:r>
            <w:r>
              <w:rPr>
                <w:rFonts w:hint="default" w:ascii="Times New Roman" w:hAnsi="Times New Roman" w:eastAsia="宋体" w:cs="Times New Roman"/>
                <w:color w:val="0000FC"/>
                <w:sz w:val="24"/>
                <w:lang w:val="en-US" w:eastAsia="zh-CN"/>
              </w:rPr>
              <w:t>生长发育的环境条件，1</w:t>
            </w:r>
            <w:r>
              <w:rPr>
                <w:rFonts w:hint="eastAsia" w:ascii="Times New Roman" w:hAnsi="Times New Roman" w:eastAsia="宋体" w:cs="Times New Roman"/>
                <w:color w:val="0000FC"/>
                <w:sz w:val="24"/>
                <w:lang w:val="en-US" w:eastAsia="zh-CN"/>
              </w:rPr>
              <w:t>年之后的成活率应不低于</w:t>
            </w:r>
            <w:r>
              <w:rPr>
                <w:rFonts w:hint="default" w:ascii="Times New Roman" w:hAnsi="Times New Roman" w:eastAsia="宋体" w:cs="Times New Roman"/>
                <w:color w:val="0000FC"/>
                <w:sz w:val="24"/>
                <w:lang w:val="en-US" w:eastAsia="zh-CN"/>
              </w:rPr>
              <w:t>85%</w:t>
            </w:r>
            <w:r>
              <w:rPr>
                <w:rFonts w:hint="eastAsia" w:ascii="Times New Roman" w:hAnsi="Times New Roman" w:eastAsia="宋体" w:cs="Times New Roman"/>
                <w:color w:val="0000FC"/>
                <w:sz w:val="24"/>
                <w:lang w:val="en-US" w:eastAsia="zh-CN"/>
              </w:rPr>
              <w:t>，若成活率不达标，应在春秋两季进行补植，可将植被覆盖率达到55%以上，恢复至原有植被覆盖率，与周边环境相协调，可满足生态恢复的要求</w:t>
            </w:r>
            <w:r>
              <w:rPr>
                <w:rFonts w:hint="eastAsia" w:cs="Times New Roman"/>
                <w:color w:val="0000FC"/>
                <w:sz w:val="24"/>
                <w:lang w:val="en-US" w:eastAsia="zh-CN"/>
              </w:rPr>
              <w:t>，恢复治理措施可行</w:t>
            </w:r>
            <w:r>
              <w:rPr>
                <w:rFonts w:hint="eastAsia" w:ascii="Times New Roman" w:hAnsi="Times New Roman" w:eastAsia="宋体" w:cs="Times New Roman"/>
                <w:color w:val="0000FC"/>
                <w:sz w:val="24"/>
                <w:lang w:val="en-US" w:eastAsia="zh-CN"/>
              </w:rPr>
              <w:t>。</w:t>
            </w:r>
          </w:p>
          <w:p w14:paraId="2BB28060">
            <w:pPr>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ascii="Times New Roman" w:hAnsi="Times New Roman" w:eastAsia="宋体"/>
                <w:color w:val="FF0000"/>
                <w:sz w:val="24"/>
              </w:rPr>
            </w:pPr>
            <w:r>
              <w:rPr>
                <w:rFonts w:hint="eastAsia"/>
                <w:b/>
                <w:bCs/>
                <w:color w:val="FF0000"/>
                <w:sz w:val="24"/>
                <w:lang w:val="en-US" w:eastAsia="zh-CN"/>
              </w:rPr>
              <w:t>2.2.4</w:t>
            </w:r>
            <w:r>
              <w:rPr>
                <w:rFonts w:hint="eastAsia" w:ascii="Times New Roman" w:hAnsi="Times New Roman" w:eastAsia="宋体"/>
                <w:b/>
                <w:bCs/>
                <w:color w:val="FF0000"/>
                <w:sz w:val="24"/>
              </w:rPr>
              <w:t>排土场</w:t>
            </w:r>
            <w:r>
              <w:rPr>
                <w:rFonts w:hint="eastAsia" w:ascii="Times New Roman" w:hAnsi="Times New Roman" w:eastAsia="宋体"/>
                <w:b/>
                <w:bCs/>
                <w:color w:val="FF0000"/>
                <w:sz w:val="24"/>
                <w:lang w:eastAsia="zh-CN"/>
              </w:rPr>
              <w:t>恢复</w:t>
            </w:r>
            <w:r>
              <w:rPr>
                <w:rFonts w:hint="eastAsia" w:ascii="Times New Roman" w:hAnsi="Times New Roman" w:eastAsia="宋体"/>
                <w:b/>
                <w:bCs/>
                <w:color w:val="FF0000"/>
                <w:sz w:val="24"/>
              </w:rPr>
              <w:t>治理工程</w:t>
            </w:r>
          </w:p>
          <w:p w14:paraId="142E6DAB">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FF0000"/>
                <w:sz w:val="24"/>
                <w:lang w:val="en-US" w:eastAsia="zh-CN"/>
              </w:rPr>
            </w:pPr>
            <w:r>
              <w:rPr>
                <w:rFonts w:hint="eastAsia" w:ascii="Times New Roman" w:hAnsi="Times New Roman" w:cs="Times New Roman"/>
                <w:color w:val="FF0000"/>
                <w:sz w:val="24"/>
                <w:lang w:val="en-US" w:eastAsia="zh-CN"/>
              </w:rPr>
              <w:t>排土场</w:t>
            </w:r>
            <w:r>
              <w:rPr>
                <w:rFonts w:hint="eastAsia" w:ascii="Times New Roman" w:hAnsi="Times New Roman" w:eastAsia="宋体" w:cs="Times New Roman"/>
                <w:color w:val="FF0000"/>
                <w:sz w:val="24"/>
                <w:lang w:val="en-US" w:eastAsia="zh-CN"/>
              </w:rPr>
              <w:t>复垦方向为天然牧草地，采取的措施主要为场地清理、覆土平整、植被重建、土壤培肥等工程</w:t>
            </w:r>
            <w:r>
              <w:rPr>
                <w:rFonts w:hint="eastAsia" w:cs="Times New Roman"/>
                <w:color w:val="FF0000"/>
                <w:sz w:val="24"/>
                <w:lang w:val="en-US" w:eastAsia="zh-CN"/>
              </w:rPr>
              <w:t>。</w:t>
            </w:r>
          </w:p>
          <w:p w14:paraId="586A6E0C">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FC"/>
                <w:sz w:val="24"/>
                <w:lang w:val="en-US" w:eastAsia="zh-CN"/>
              </w:rPr>
            </w:pPr>
            <w:r>
              <w:rPr>
                <w:rFonts w:hint="eastAsia" w:ascii="Times New Roman" w:hAnsi="Times New Roman" w:eastAsia="宋体" w:cs="Times New Roman"/>
                <w:color w:val="0000FC"/>
                <w:sz w:val="24"/>
                <w:lang w:val="en-US" w:eastAsia="zh-CN"/>
              </w:rPr>
              <w:t>矿山</w:t>
            </w:r>
            <w:r>
              <w:rPr>
                <w:rFonts w:hint="eastAsia" w:cs="Times New Roman"/>
                <w:color w:val="0000FC"/>
                <w:sz w:val="24"/>
                <w:lang w:val="en-US" w:eastAsia="zh-CN"/>
              </w:rPr>
              <w:t>闭矿</w:t>
            </w:r>
            <w:r>
              <w:rPr>
                <w:rFonts w:hint="eastAsia" w:ascii="Times New Roman" w:hAnsi="Times New Roman" w:eastAsia="宋体" w:cs="Times New Roman"/>
                <w:color w:val="0000FC"/>
                <w:sz w:val="24"/>
                <w:lang w:val="en-US" w:eastAsia="zh-CN"/>
              </w:rPr>
              <w:t>后，对</w:t>
            </w:r>
            <w:r>
              <w:rPr>
                <w:rFonts w:hint="eastAsia" w:ascii="Times New Roman" w:hAnsi="Times New Roman" w:cs="Times New Roman"/>
                <w:color w:val="0000FC"/>
                <w:sz w:val="24"/>
                <w:lang w:val="en-US" w:eastAsia="zh-CN"/>
              </w:rPr>
              <w:t>排土场</w:t>
            </w:r>
            <w:r>
              <w:rPr>
                <w:rFonts w:hint="eastAsia" w:ascii="Times New Roman" w:hAnsi="Times New Roman" w:eastAsia="宋体" w:cs="Times New Roman"/>
                <w:color w:val="0000FC"/>
                <w:sz w:val="24"/>
                <w:lang w:val="en-US" w:eastAsia="zh-CN"/>
              </w:rPr>
              <w:t>废石</w:t>
            </w:r>
            <w:r>
              <w:rPr>
                <w:rFonts w:hint="eastAsia" w:ascii="Times New Roman" w:hAnsi="Times New Roman" w:cs="Times New Roman"/>
                <w:color w:val="0000FC"/>
                <w:sz w:val="24"/>
                <w:lang w:val="en-US" w:eastAsia="zh-CN"/>
              </w:rPr>
              <w:t>及剥离表土及时回填恢复</w:t>
            </w:r>
            <w:r>
              <w:rPr>
                <w:rFonts w:hint="eastAsia" w:ascii="Times New Roman" w:hAnsi="Times New Roman" w:eastAsia="宋体" w:cs="Times New Roman"/>
                <w:color w:val="0000FC"/>
                <w:sz w:val="24"/>
                <w:lang w:val="en-US" w:eastAsia="zh-CN"/>
              </w:rPr>
              <w:t>进行清理。</w:t>
            </w:r>
            <w:r>
              <w:rPr>
                <w:rFonts w:hint="eastAsia" w:ascii="Times New Roman" w:hAnsi="Times New Roman" w:cs="Times New Roman"/>
                <w:color w:val="0000FC"/>
                <w:sz w:val="24"/>
                <w:lang w:val="en-US" w:eastAsia="zh-CN"/>
              </w:rPr>
              <w:t>排土场</w:t>
            </w:r>
            <w:r>
              <w:rPr>
                <w:rFonts w:hint="eastAsia" w:ascii="Times New Roman" w:hAnsi="Times New Roman" w:eastAsia="宋体" w:cs="Times New Roman"/>
                <w:color w:val="0000FC"/>
                <w:sz w:val="24"/>
                <w:lang w:val="en-US" w:eastAsia="zh-CN"/>
              </w:rPr>
              <w:t>面积为</w:t>
            </w:r>
            <w:r>
              <w:rPr>
                <w:rFonts w:hint="default" w:ascii="Times New Roman" w:hAnsi="Times New Roman" w:eastAsia="宋体" w:cs="Times New Roman"/>
                <w:color w:val="0000FC"/>
                <w:sz w:val="24"/>
                <w:lang w:val="en-US" w:eastAsia="zh-CN"/>
              </w:rPr>
              <w:t>4</w:t>
            </w:r>
            <w:r>
              <w:rPr>
                <w:rFonts w:hint="eastAsia" w:ascii="Times New Roman" w:hAnsi="Times New Roman" w:cs="Times New Roman"/>
                <w:color w:val="0000FC"/>
                <w:sz w:val="24"/>
                <w:lang w:val="en-US" w:eastAsia="zh-CN"/>
              </w:rPr>
              <w:t>.9343</w:t>
            </w:r>
            <w:r>
              <w:rPr>
                <w:rFonts w:hint="default" w:ascii="Times New Roman" w:hAnsi="Times New Roman" w:eastAsia="宋体" w:cs="Times New Roman"/>
                <w:color w:val="0000FC"/>
                <w:sz w:val="24"/>
                <w:lang w:val="en-US" w:eastAsia="zh-CN"/>
              </w:rPr>
              <w:t>hm</w:t>
            </w:r>
            <w:r>
              <w:rPr>
                <w:rFonts w:hint="default" w:ascii="Times New Roman" w:hAnsi="Times New Roman" w:eastAsia="宋体" w:cs="Times New Roman"/>
                <w:color w:val="0000FC"/>
                <w:sz w:val="24"/>
                <w:vertAlign w:val="superscript"/>
                <w:lang w:val="en-US" w:eastAsia="zh-CN"/>
              </w:rPr>
              <w:t>2</w:t>
            </w:r>
            <w:r>
              <w:rPr>
                <w:rFonts w:hint="eastAsia" w:ascii="宋体" w:hAnsi="宋体" w:eastAsia="宋体" w:cs="宋体"/>
                <w:color w:val="0000FC"/>
                <w:kern w:val="0"/>
                <w:sz w:val="28"/>
                <w:szCs w:val="28"/>
                <w:lang w:val="en-US" w:eastAsia="zh-CN" w:bidi="ar"/>
              </w:rPr>
              <w:t>，</w:t>
            </w:r>
            <w:r>
              <w:rPr>
                <w:rFonts w:hint="eastAsia" w:ascii="Times New Roman" w:hAnsi="Times New Roman" w:eastAsia="宋体" w:cs="Times New Roman"/>
                <w:color w:val="0000FC"/>
                <w:sz w:val="24"/>
                <w:lang w:val="en-US" w:eastAsia="zh-CN"/>
              </w:rPr>
              <w:t>场地清理后覆土平整，覆土厚度为</w:t>
            </w:r>
            <w:r>
              <w:rPr>
                <w:rFonts w:hint="default" w:ascii="Times New Roman" w:hAnsi="Times New Roman" w:eastAsia="宋体" w:cs="Times New Roman"/>
                <w:color w:val="0000FC"/>
                <w:sz w:val="24"/>
                <w:lang w:val="en-US" w:eastAsia="zh-CN"/>
              </w:rPr>
              <w:t>0.25m</w:t>
            </w:r>
            <w:r>
              <w:rPr>
                <w:rFonts w:hint="eastAsia" w:ascii="Times New Roman" w:hAnsi="Times New Roman" w:eastAsia="宋体" w:cs="Times New Roman"/>
                <w:color w:val="0000FC"/>
                <w:sz w:val="24"/>
                <w:lang w:val="en-US" w:eastAsia="zh-CN"/>
              </w:rPr>
              <w:t>，需土方量</w:t>
            </w:r>
            <w:r>
              <w:rPr>
                <w:rFonts w:hint="eastAsia" w:ascii="Times New Roman" w:hAnsi="Times New Roman" w:cs="Times New Roman"/>
                <w:color w:val="0000FC"/>
                <w:sz w:val="24"/>
                <w:lang w:val="en-US" w:eastAsia="zh-CN"/>
              </w:rPr>
              <w:t>12335.8</w:t>
            </w:r>
            <w:r>
              <w:rPr>
                <w:rFonts w:hint="default" w:ascii="Times New Roman" w:hAnsi="Times New Roman" w:eastAsia="宋体" w:cs="Times New Roman"/>
                <w:color w:val="0000FC"/>
                <w:sz w:val="24"/>
                <w:lang w:val="en-US" w:eastAsia="zh-CN"/>
              </w:rPr>
              <w:t>m</w:t>
            </w:r>
            <w:r>
              <w:rPr>
                <w:rFonts w:hint="eastAsia" w:ascii="Times New Roman" w:hAnsi="Times New Roman" w:cs="Times New Roman"/>
                <w:color w:val="0000FC"/>
                <w:sz w:val="24"/>
                <w:vertAlign w:val="superscript"/>
                <w:lang w:val="en-US" w:eastAsia="zh-CN"/>
              </w:rPr>
              <w:t>3</w:t>
            </w:r>
            <w:r>
              <w:rPr>
                <w:rFonts w:hint="eastAsia" w:ascii="Times New Roman" w:hAnsi="Times New Roman" w:eastAsia="宋体" w:cs="Times New Roman"/>
                <w:color w:val="0000FC"/>
                <w:sz w:val="24"/>
                <w:lang w:val="en-US" w:eastAsia="zh-CN"/>
              </w:rPr>
              <w:t>，调运表土的运距为</w:t>
            </w:r>
            <w:r>
              <w:rPr>
                <w:rFonts w:hint="default" w:ascii="Times New Roman" w:hAnsi="Times New Roman" w:eastAsia="宋体" w:cs="Times New Roman"/>
                <w:color w:val="0000FC"/>
                <w:sz w:val="24"/>
                <w:lang w:val="en-US" w:eastAsia="zh-CN"/>
              </w:rPr>
              <w:t>0.5</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1km</w:t>
            </w:r>
            <w:r>
              <w:rPr>
                <w:rFonts w:hint="eastAsia" w:ascii="Times New Roman" w:hAnsi="Times New Roman" w:eastAsia="宋体" w:cs="Times New Roman"/>
                <w:color w:val="0000FC"/>
                <w:sz w:val="24"/>
                <w:lang w:val="en-US" w:eastAsia="zh-CN"/>
              </w:rPr>
              <w:t>。与草种播种的同时施入底肥，施入的底肥为商品有机肥，增加土壤有机质和养分，施肥量为</w:t>
            </w:r>
            <w:r>
              <w:rPr>
                <w:rFonts w:hint="default" w:ascii="Times New Roman" w:hAnsi="Times New Roman" w:eastAsia="宋体" w:cs="Times New Roman"/>
                <w:color w:val="0000FC"/>
                <w:sz w:val="24"/>
                <w:lang w:val="en-US" w:eastAsia="zh-CN"/>
              </w:rPr>
              <w:t>4500kg/hm</w:t>
            </w:r>
            <w:r>
              <w:rPr>
                <w:rFonts w:hint="default" w:ascii="Times New Roman" w:hAnsi="Times New Roman" w:eastAsia="宋体" w:cs="Times New Roman"/>
                <w:color w:val="0000FC"/>
                <w:sz w:val="24"/>
                <w:vertAlign w:val="superscript"/>
                <w:lang w:val="en-US" w:eastAsia="zh-CN"/>
              </w:rPr>
              <w:t>2</w:t>
            </w:r>
            <w:r>
              <w:rPr>
                <w:rFonts w:hint="eastAsia" w:ascii="Times New Roman" w:hAnsi="Times New Roman" w:eastAsia="宋体" w:cs="Times New Roman"/>
                <w:color w:val="0000FC"/>
                <w:sz w:val="24"/>
                <w:lang w:val="en-US" w:eastAsia="zh-CN"/>
              </w:rPr>
              <w:t>，</w:t>
            </w:r>
            <w:r>
              <w:rPr>
                <w:rFonts w:hint="eastAsia" w:ascii="Times New Roman" w:hAnsi="Times New Roman" w:cs="Times New Roman"/>
                <w:color w:val="0000FC"/>
                <w:sz w:val="24"/>
                <w:lang w:val="en-US" w:eastAsia="zh-CN"/>
              </w:rPr>
              <w:t>排土场</w:t>
            </w:r>
            <w:r>
              <w:rPr>
                <w:rFonts w:hint="eastAsia" w:ascii="Times New Roman" w:hAnsi="Times New Roman" w:eastAsia="宋体" w:cs="Times New Roman"/>
                <w:color w:val="0000FC"/>
                <w:sz w:val="24"/>
                <w:lang w:val="en-US" w:eastAsia="zh-CN"/>
              </w:rPr>
              <w:t>需有机肥</w:t>
            </w:r>
            <w:r>
              <w:rPr>
                <w:rFonts w:hint="default" w:ascii="Times New Roman" w:hAnsi="Times New Roman" w:eastAsia="宋体" w:cs="Times New Roman"/>
                <w:color w:val="0000FC"/>
                <w:sz w:val="24"/>
                <w:lang w:val="en-US" w:eastAsia="zh-CN"/>
              </w:rPr>
              <w:t>2</w:t>
            </w:r>
            <w:r>
              <w:rPr>
                <w:rFonts w:hint="eastAsia" w:ascii="Times New Roman" w:hAnsi="Times New Roman" w:cs="Times New Roman"/>
                <w:color w:val="0000FC"/>
                <w:sz w:val="24"/>
                <w:lang w:val="en-US" w:eastAsia="zh-CN"/>
              </w:rPr>
              <w:t>2204.35</w:t>
            </w:r>
            <w:r>
              <w:rPr>
                <w:rFonts w:hint="default" w:ascii="Times New Roman" w:hAnsi="Times New Roman" w:eastAsia="宋体" w:cs="Times New Roman"/>
                <w:color w:val="0000FC"/>
                <w:sz w:val="24"/>
                <w:lang w:val="en-US" w:eastAsia="zh-CN"/>
              </w:rPr>
              <w:t>kg</w:t>
            </w:r>
            <w:r>
              <w:rPr>
                <w:rFonts w:hint="eastAsia" w:ascii="Times New Roman" w:hAnsi="Times New Roman" w:eastAsia="宋体" w:cs="Times New Roman"/>
                <w:color w:val="0000FC"/>
                <w:sz w:val="24"/>
                <w:lang w:val="en-US" w:eastAsia="zh-CN"/>
              </w:rPr>
              <w:t>。</w:t>
            </w:r>
          </w:p>
          <w:p w14:paraId="483CFD90">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0000FC"/>
                <w:sz w:val="24"/>
                <w:lang w:val="en-US" w:eastAsia="zh-CN"/>
              </w:rPr>
              <w:t>本单元复垦为天然牧草地，采用撒播草籽的方式进行植被恢复，种子选取垂穗披碱草、同德小花碱茅、青海冷地早熟禾和扁穗冰草，按重量比</w:t>
            </w:r>
            <w:r>
              <w:rPr>
                <w:rFonts w:hint="default" w:ascii="Times New Roman" w:hAnsi="Times New Roman" w:eastAsia="宋体" w:cs="Times New Roman"/>
                <w:color w:val="0000FC"/>
                <w:sz w:val="24"/>
                <w:lang w:val="en-US" w:eastAsia="zh-CN"/>
              </w:rPr>
              <w:t>4</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比例混播，撒播密度为</w:t>
            </w:r>
            <w:r>
              <w:rPr>
                <w:rFonts w:hint="default" w:ascii="Times New Roman" w:hAnsi="Times New Roman" w:eastAsia="宋体" w:cs="Times New Roman"/>
                <w:color w:val="0000FC"/>
                <w:sz w:val="24"/>
                <w:lang w:val="en-US" w:eastAsia="zh-CN"/>
              </w:rPr>
              <w:t>100kg/hm</w:t>
            </w:r>
            <w:r>
              <w:rPr>
                <w:rFonts w:hint="default" w:ascii="Times New Roman" w:hAnsi="Times New Roman" w:eastAsia="宋体" w:cs="Times New Roman"/>
                <w:color w:val="0000FC"/>
                <w:sz w:val="24"/>
                <w:vertAlign w:val="superscript"/>
                <w:lang w:val="en-US" w:eastAsia="zh-CN"/>
              </w:rPr>
              <w:t>2</w:t>
            </w:r>
            <w:r>
              <w:rPr>
                <w:rFonts w:hint="eastAsia" w:ascii="Times New Roman" w:hAnsi="Times New Roman" w:eastAsia="宋体" w:cs="Times New Roman"/>
                <w:color w:val="0000FC"/>
                <w:sz w:val="24"/>
                <w:lang w:val="en-US" w:eastAsia="zh-CN"/>
              </w:rPr>
              <w:t>。草籽和商品有机肥播撒完成后，整个植被恢复区域采用无纺布进行覆盖，保持温度及湿度。要求无纺布覆盖平整贴合，</w:t>
            </w:r>
            <w:r>
              <w:rPr>
                <w:rFonts w:hint="default" w:ascii="Times New Roman" w:hAnsi="Times New Roman" w:eastAsia="宋体" w:cs="Times New Roman"/>
                <w:color w:val="0000FC"/>
                <w:sz w:val="24"/>
                <w:lang w:val="en-US" w:eastAsia="zh-CN"/>
              </w:rPr>
              <w:t>2</w:t>
            </w:r>
            <w:r>
              <w:rPr>
                <w:rFonts w:hint="eastAsia" w:ascii="Times New Roman" w:hAnsi="Times New Roman" w:eastAsia="宋体" w:cs="Times New Roman"/>
                <w:color w:val="0000FC"/>
                <w:sz w:val="24"/>
                <w:lang w:val="en-US" w:eastAsia="zh-CN"/>
              </w:rPr>
              <w:t>幅之间重叠</w:t>
            </w:r>
            <w:r>
              <w:rPr>
                <w:rFonts w:hint="default" w:ascii="Times New Roman" w:hAnsi="Times New Roman" w:eastAsia="宋体" w:cs="Times New Roman"/>
                <w:color w:val="0000FC"/>
                <w:sz w:val="24"/>
                <w:lang w:val="en-US" w:eastAsia="zh-CN"/>
              </w:rPr>
              <w:t>10cm</w:t>
            </w:r>
            <w:r>
              <w:rPr>
                <w:rFonts w:hint="eastAsia" w:ascii="Times New Roman" w:hAnsi="Times New Roman" w:eastAsia="宋体" w:cs="Times New Roman"/>
                <w:color w:val="0000FC"/>
                <w:sz w:val="24"/>
                <w:lang w:val="en-US" w:eastAsia="zh-CN"/>
              </w:rPr>
              <w:t>并用块砂土进行固定，无纺布选用草绿色可降解植草护坡专用无纺布，规格为</w:t>
            </w:r>
            <w:r>
              <w:rPr>
                <w:rFonts w:hint="default" w:ascii="Times New Roman" w:hAnsi="Times New Roman" w:eastAsia="宋体" w:cs="Times New Roman"/>
                <w:color w:val="0000FC"/>
                <w:sz w:val="24"/>
                <w:lang w:val="en-US" w:eastAsia="zh-CN"/>
              </w:rPr>
              <w:t>30g/m</w:t>
            </w:r>
            <w:r>
              <w:rPr>
                <w:rFonts w:hint="eastAsia" w:ascii="Times New Roman" w:hAnsi="Times New Roman" w:eastAsia="宋体" w:cs="Times New Roman"/>
                <w:color w:val="0000FC"/>
                <w:sz w:val="24"/>
                <w:lang w:val="en-US" w:eastAsia="zh-CN"/>
              </w:rPr>
              <w:t>。</w:t>
            </w:r>
          </w:p>
          <w:p w14:paraId="43E5915E">
            <w:pPr>
              <w:keepNext w:val="0"/>
              <w:keepLines w:val="0"/>
              <w:widowControl/>
              <w:suppressLineNumbers w:val="0"/>
              <w:jc w:val="left"/>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0000FC"/>
                <w:sz w:val="24"/>
                <w:lang w:val="en-US" w:eastAsia="zh-CN"/>
              </w:rPr>
              <w:t>综上所述，排土场在闭矿后采取以上恢复措施，加强植被维护及管理，保证成活率，</w:t>
            </w:r>
            <w:r>
              <w:rPr>
                <w:rFonts w:hint="default" w:ascii="Times New Roman" w:hAnsi="Times New Roman" w:eastAsia="宋体" w:cs="Times New Roman"/>
                <w:color w:val="0000FC"/>
                <w:sz w:val="24"/>
                <w:lang w:val="en-US" w:eastAsia="zh-CN"/>
              </w:rPr>
              <w:t>改善</w:t>
            </w:r>
            <w:r>
              <w:rPr>
                <w:rFonts w:hint="eastAsia" w:ascii="Times New Roman" w:hAnsi="Times New Roman" w:eastAsia="宋体" w:cs="Times New Roman"/>
                <w:color w:val="0000FC"/>
                <w:sz w:val="24"/>
                <w:lang w:val="en-US" w:eastAsia="zh-CN"/>
              </w:rPr>
              <w:t>植被</w:t>
            </w:r>
            <w:r>
              <w:rPr>
                <w:rFonts w:hint="default" w:ascii="Times New Roman" w:hAnsi="Times New Roman" w:eastAsia="宋体" w:cs="Times New Roman"/>
                <w:color w:val="0000FC"/>
                <w:sz w:val="24"/>
                <w:lang w:val="en-US" w:eastAsia="zh-CN"/>
              </w:rPr>
              <w:t>生长发育的环境条件，1</w:t>
            </w:r>
            <w:r>
              <w:rPr>
                <w:rFonts w:hint="eastAsia" w:ascii="Times New Roman" w:hAnsi="Times New Roman" w:eastAsia="宋体" w:cs="Times New Roman"/>
                <w:color w:val="0000FC"/>
                <w:sz w:val="24"/>
                <w:lang w:val="en-US" w:eastAsia="zh-CN"/>
              </w:rPr>
              <w:t>年之后的成活率应不低于</w:t>
            </w:r>
            <w:r>
              <w:rPr>
                <w:rFonts w:hint="default" w:ascii="Times New Roman" w:hAnsi="Times New Roman" w:eastAsia="宋体" w:cs="Times New Roman"/>
                <w:color w:val="0000FC"/>
                <w:sz w:val="24"/>
                <w:lang w:val="en-US" w:eastAsia="zh-CN"/>
              </w:rPr>
              <w:t>85%</w:t>
            </w:r>
            <w:r>
              <w:rPr>
                <w:rFonts w:hint="eastAsia" w:ascii="Times New Roman" w:hAnsi="Times New Roman" w:eastAsia="宋体" w:cs="Times New Roman"/>
                <w:color w:val="0000FC"/>
                <w:sz w:val="24"/>
                <w:lang w:val="en-US" w:eastAsia="zh-CN"/>
              </w:rPr>
              <w:t>，若成活率不达标，应在春秋两季进行补植，可将植被覆盖率达到55%以上，恢复至原有植被覆盖率，与周边环境相协调，可满足生态恢复的要求</w:t>
            </w:r>
            <w:r>
              <w:rPr>
                <w:rFonts w:hint="eastAsia" w:cs="Times New Roman"/>
                <w:color w:val="0000FC"/>
                <w:sz w:val="24"/>
                <w:lang w:val="en-US" w:eastAsia="zh-CN"/>
              </w:rPr>
              <w:t>，恢复治理措施可行</w:t>
            </w:r>
            <w:r>
              <w:rPr>
                <w:rFonts w:hint="eastAsia" w:ascii="Times New Roman" w:hAnsi="Times New Roman" w:eastAsia="宋体" w:cs="Times New Roman"/>
                <w:color w:val="0000FC"/>
                <w:sz w:val="24"/>
                <w:lang w:val="en-US" w:eastAsia="zh-CN"/>
              </w:rPr>
              <w:t>。</w:t>
            </w:r>
          </w:p>
          <w:bookmarkEnd w:id="24"/>
          <w:bookmarkEnd w:id="25"/>
          <w:p w14:paraId="1E2F2936">
            <w:pPr>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ascii="Times New Roman" w:hAnsi="Times New Roman" w:eastAsia="宋体"/>
                <w:color w:val="FF0000"/>
                <w:sz w:val="24"/>
              </w:rPr>
            </w:pPr>
            <w:r>
              <w:rPr>
                <w:rFonts w:hint="eastAsia"/>
                <w:b/>
                <w:bCs/>
                <w:color w:val="FF0000"/>
                <w:sz w:val="24"/>
                <w:lang w:val="en-US" w:eastAsia="zh-CN"/>
              </w:rPr>
              <w:t>2.2.5</w:t>
            </w:r>
            <w:r>
              <w:rPr>
                <w:rFonts w:hint="eastAsia" w:ascii="Times New Roman" w:hAnsi="Times New Roman"/>
                <w:b/>
                <w:bCs/>
                <w:color w:val="FF0000"/>
                <w:sz w:val="24"/>
                <w:lang w:val="en-US" w:eastAsia="zh-CN"/>
              </w:rPr>
              <w:t>生产加工区</w:t>
            </w:r>
            <w:r>
              <w:rPr>
                <w:rFonts w:hint="eastAsia" w:ascii="Times New Roman" w:hAnsi="Times New Roman" w:eastAsia="宋体"/>
                <w:b/>
                <w:bCs/>
                <w:color w:val="FF0000"/>
                <w:sz w:val="24"/>
                <w:lang w:eastAsia="zh-CN"/>
              </w:rPr>
              <w:t>恢复</w:t>
            </w:r>
            <w:r>
              <w:rPr>
                <w:rFonts w:hint="eastAsia" w:ascii="Times New Roman" w:hAnsi="Times New Roman" w:eastAsia="宋体"/>
                <w:b/>
                <w:bCs/>
                <w:color w:val="FF0000"/>
                <w:sz w:val="24"/>
              </w:rPr>
              <w:t>治理工程</w:t>
            </w:r>
          </w:p>
          <w:p w14:paraId="352834C5">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生产加工区复垦的面积为</w:t>
            </w:r>
            <w:r>
              <w:rPr>
                <w:rFonts w:hint="default" w:ascii="Times New Roman" w:hAnsi="Times New Roman" w:eastAsia="宋体" w:cs="Times New Roman"/>
                <w:color w:val="FF0000"/>
                <w:sz w:val="24"/>
                <w:lang w:val="en-US" w:eastAsia="zh-CN"/>
              </w:rPr>
              <w:t>1.8691hm</w:t>
            </w:r>
            <w:r>
              <w:rPr>
                <w:rFonts w:hint="default" w:ascii="Times New Roman" w:hAnsi="Times New Roman" w:eastAsia="宋体" w:cs="Times New Roman"/>
                <w:color w:val="FF0000"/>
                <w:sz w:val="24"/>
                <w:vertAlign w:val="superscript"/>
                <w:lang w:val="en-US" w:eastAsia="zh-CN"/>
              </w:rPr>
              <w:t>2</w:t>
            </w:r>
            <w:r>
              <w:rPr>
                <w:rFonts w:hint="eastAsia" w:ascii="Times New Roman" w:hAnsi="Times New Roman" w:eastAsia="宋体" w:cs="Times New Roman"/>
                <w:color w:val="FF0000"/>
                <w:sz w:val="24"/>
                <w:lang w:val="en-US" w:eastAsia="zh-CN"/>
              </w:rPr>
              <w:t>，复垦方向为天然牧草地，采取的措施主要为场地清理、覆土平整、植被重建、土壤培肥等工程</w:t>
            </w:r>
            <w:r>
              <w:rPr>
                <w:rFonts w:hint="eastAsia" w:cs="Times New Roman"/>
                <w:color w:val="FF0000"/>
                <w:sz w:val="24"/>
                <w:lang w:val="en-US" w:eastAsia="zh-CN"/>
              </w:rPr>
              <w:t>。</w:t>
            </w:r>
          </w:p>
          <w:p w14:paraId="097F4F3E">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FC"/>
                <w:sz w:val="24"/>
                <w:lang w:val="en-US" w:eastAsia="zh-CN"/>
              </w:rPr>
            </w:pPr>
            <w:r>
              <w:rPr>
                <w:rFonts w:hint="eastAsia" w:ascii="Times New Roman" w:hAnsi="Times New Roman" w:eastAsia="宋体" w:cs="Times New Roman"/>
                <w:color w:val="0000FC"/>
                <w:sz w:val="24"/>
                <w:lang w:val="en-US" w:eastAsia="zh-CN"/>
              </w:rPr>
              <w:t>矿山</w:t>
            </w:r>
            <w:r>
              <w:rPr>
                <w:rFonts w:hint="eastAsia" w:cs="Times New Roman"/>
                <w:color w:val="0000FC"/>
                <w:sz w:val="24"/>
                <w:lang w:val="en-US" w:eastAsia="zh-CN"/>
              </w:rPr>
              <w:t>闭矿</w:t>
            </w:r>
            <w:r>
              <w:rPr>
                <w:rFonts w:hint="eastAsia" w:ascii="Times New Roman" w:hAnsi="Times New Roman" w:eastAsia="宋体" w:cs="Times New Roman"/>
                <w:color w:val="0000FC"/>
                <w:sz w:val="24"/>
                <w:lang w:val="en-US" w:eastAsia="zh-CN"/>
              </w:rPr>
              <w:t>后，对生产加工区所有设备设施、建（构）筑物进行拆除，建筑物均为单层彩钢结构，对于可重复利用部分进行二次利用，拆除量按经验值建筑体积的</w:t>
            </w:r>
            <w:r>
              <w:rPr>
                <w:rFonts w:hint="default" w:ascii="Times New Roman" w:hAnsi="Times New Roman" w:eastAsia="宋体" w:cs="Times New Roman"/>
                <w:color w:val="0000FC"/>
                <w:sz w:val="24"/>
                <w:lang w:val="en-US" w:eastAsia="zh-CN"/>
              </w:rPr>
              <w:t>20%</w:t>
            </w:r>
            <w:r>
              <w:rPr>
                <w:rFonts w:hint="eastAsia" w:ascii="Times New Roman" w:hAnsi="Times New Roman" w:eastAsia="宋体" w:cs="Times New Roman"/>
                <w:color w:val="0000FC"/>
                <w:sz w:val="24"/>
                <w:lang w:val="en-US" w:eastAsia="zh-CN"/>
              </w:rPr>
              <w:t>计算。生产加工区建筑面积</w:t>
            </w:r>
            <w:r>
              <w:rPr>
                <w:rFonts w:hint="eastAsia" w:ascii="Times New Roman" w:hAnsi="Times New Roman" w:cs="Times New Roman"/>
                <w:color w:val="0000FC"/>
                <w:sz w:val="24"/>
                <w:lang w:val="en-US" w:eastAsia="zh-CN"/>
              </w:rPr>
              <w:t>约</w:t>
            </w:r>
            <w:r>
              <w:rPr>
                <w:rFonts w:hint="eastAsia" w:ascii="Times New Roman" w:hAnsi="Times New Roman" w:eastAsia="宋体" w:cs="Times New Roman"/>
                <w:color w:val="0000FC"/>
                <w:sz w:val="24"/>
                <w:lang w:val="en-US" w:eastAsia="zh-CN"/>
              </w:rPr>
              <w:t>为</w:t>
            </w:r>
            <w:r>
              <w:rPr>
                <w:rFonts w:hint="default" w:ascii="Times New Roman" w:hAnsi="Times New Roman" w:eastAsia="宋体" w:cs="Times New Roman"/>
                <w:color w:val="0000FC"/>
                <w:sz w:val="24"/>
                <w:lang w:val="en-US" w:eastAsia="zh-CN"/>
              </w:rPr>
              <w:t>0.02hm</w:t>
            </w:r>
            <w:r>
              <w:rPr>
                <w:rFonts w:hint="default" w:ascii="Times New Roman" w:hAnsi="Times New Roman" w:eastAsia="宋体" w:cs="Times New Roman"/>
                <w:color w:val="0000FC"/>
                <w:sz w:val="24"/>
                <w:vertAlign w:val="superscript"/>
                <w:lang w:val="en-US" w:eastAsia="zh-CN"/>
              </w:rPr>
              <w:t>2</w:t>
            </w:r>
            <w:r>
              <w:rPr>
                <w:rFonts w:hint="eastAsia" w:ascii="Times New Roman" w:hAnsi="Times New Roman" w:eastAsia="宋体" w:cs="Times New Roman"/>
                <w:color w:val="0000FC"/>
                <w:sz w:val="24"/>
                <w:lang w:val="en-US" w:eastAsia="zh-CN"/>
              </w:rPr>
              <w:t>，为单层彩钢结构，高</w:t>
            </w:r>
            <w:r>
              <w:rPr>
                <w:rFonts w:hint="default" w:ascii="Times New Roman" w:hAnsi="Times New Roman" w:eastAsia="宋体" w:cs="Times New Roman"/>
                <w:color w:val="0000FC"/>
                <w:sz w:val="24"/>
                <w:lang w:val="en-US" w:eastAsia="zh-CN"/>
              </w:rPr>
              <w:t>3m</w:t>
            </w:r>
            <w:r>
              <w:rPr>
                <w:rFonts w:hint="eastAsia" w:ascii="Times New Roman" w:hAnsi="Times New Roman" w:eastAsia="宋体" w:cs="Times New Roman"/>
                <w:color w:val="0000FC"/>
                <w:sz w:val="24"/>
                <w:lang w:val="en-US" w:eastAsia="zh-CN"/>
              </w:rPr>
              <w:t>，则拆除物总量</w:t>
            </w:r>
            <w:r>
              <w:rPr>
                <w:rFonts w:hint="default" w:ascii="Times New Roman" w:hAnsi="Times New Roman" w:eastAsia="宋体" w:cs="Times New Roman"/>
                <w:color w:val="0000FC"/>
                <w:sz w:val="24"/>
                <w:lang w:val="en-US" w:eastAsia="zh-CN"/>
              </w:rPr>
              <w:t>120m</w:t>
            </w:r>
            <w:r>
              <w:rPr>
                <w:rFonts w:hint="default" w:ascii="Times New Roman" w:hAnsi="Times New Roman" w:eastAsia="宋体" w:cs="Times New Roman"/>
                <w:color w:val="0000FC"/>
                <w:sz w:val="24"/>
                <w:vertAlign w:val="superscript"/>
                <w:lang w:val="en-US" w:eastAsia="zh-CN"/>
              </w:rPr>
              <w:t>3</w:t>
            </w:r>
            <w:r>
              <w:rPr>
                <w:rFonts w:hint="eastAsia" w:ascii="Times New Roman" w:hAnsi="Times New Roman" w:eastAsia="宋体" w:cs="Times New Roman"/>
                <w:color w:val="0000FC"/>
                <w:sz w:val="24"/>
                <w:lang w:val="en-US" w:eastAsia="zh-CN"/>
              </w:rPr>
              <w:t>。建筑垃圾等固体废物分类集中处理，不得遗弃在工程占地范围内。</w:t>
            </w:r>
          </w:p>
          <w:p w14:paraId="2814266E">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FC"/>
                <w:sz w:val="24"/>
                <w:lang w:val="en-US" w:eastAsia="zh-CN"/>
              </w:rPr>
            </w:pPr>
            <w:r>
              <w:rPr>
                <w:rFonts w:hint="eastAsia" w:ascii="Times New Roman" w:hAnsi="Times New Roman" w:eastAsia="宋体" w:cs="Times New Roman"/>
                <w:color w:val="0000FC"/>
                <w:sz w:val="24"/>
                <w:lang w:val="en-US" w:eastAsia="zh-CN"/>
              </w:rPr>
              <w:t>生产加工区面积为</w:t>
            </w:r>
            <w:r>
              <w:rPr>
                <w:rFonts w:hint="default" w:ascii="Times New Roman" w:hAnsi="Times New Roman" w:eastAsia="宋体" w:cs="Times New Roman"/>
                <w:color w:val="0000FC"/>
                <w:sz w:val="24"/>
                <w:lang w:val="en-US" w:eastAsia="zh-CN"/>
              </w:rPr>
              <w:t>1.8691hm</w:t>
            </w:r>
            <w:r>
              <w:rPr>
                <w:rFonts w:hint="default" w:ascii="Times New Roman" w:hAnsi="Times New Roman" w:eastAsia="宋体" w:cs="Times New Roman"/>
                <w:color w:val="0000FC"/>
                <w:sz w:val="24"/>
                <w:vertAlign w:val="superscript"/>
                <w:lang w:val="en-US" w:eastAsia="zh-CN"/>
              </w:rPr>
              <w:t>2</w:t>
            </w:r>
            <w:r>
              <w:rPr>
                <w:rFonts w:hint="eastAsia" w:ascii="Times New Roman" w:hAnsi="Times New Roman" w:eastAsia="宋体" w:cs="Times New Roman"/>
                <w:color w:val="0000FC"/>
                <w:sz w:val="24"/>
                <w:lang w:val="en-US" w:eastAsia="zh-CN"/>
              </w:rPr>
              <w:t>，场地清理后覆土平整，覆土厚度为</w:t>
            </w:r>
            <w:r>
              <w:rPr>
                <w:rFonts w:hint="default" w:ascii="Times New Roman" w:hAnsi="Times New Roman" w:eastAsia="宋体" w:cs="Times New Roman"/>
                <w:color w:val="0000FC"/>
                <w:sz w:val="24"/>
                <w:lang w:val="en-US" w:eastAsia="zh-CN"/>
              </w:rPr>
              <w:t>0.25m</w:t>
            </w:r>
            <w:r>
              <w:rPr>
                <w:rFonts w:hint="eastAsia" w:ascii="Times New Roman" w:hAnsi="Times New Roman" w:eastAsia="宋体" w:cs="Times New Roman"/>
                <w:color w:val="0000FC"/>
                <w:sz w:val="24"/>
                <w:lang w:val="en-US" w:eastAsia="zh-CN"/>
              </w:rPr>
              <w:t>，需土方量</w:t>
            </w:r>
            <w:r>
              <w:rPr>
                <w:rFonts w:hint="default" w:ascii="Times New Roman" w:hAnsi="Times New Roman" w:eastAsia="宋体" w:cs="Times New Roman"/>
                <w:color w:val="0000FC"/>
                <w:sz w:val="24"/>
                <w:lang w:val="en-US" w:eastAsia="zh-CN"/>
              </w:rPr>
              <w:t>4672.75m</w:t>
            </w:r>
            <w:r>
              <w:rPr>
                <w:rFonts w:hint="default" w:ascii="Times New Roman" w:hAnsi="Times New Roman" w:eastAsia="宋体" w:cs="Times New Roman"/>
                <w:color w:val="0000FC"/>
                <w:sz w:val="24"/>
                <w:vertAlign w:val="superscript"/>
                <w:lang w:val="en-US" w:eastAsia="zh-CN"/>
              </w:rPr>
              <w:t>3</w:t>
            </w:r>
            <w:r>
              <w:rPr>
                <w:rFonts w:hint="eastAsia" w:ascii="Times New Roman" w:hAnsi="Times New Roman" w:eastAsia="宋体" w:cs="Times New Roman"/>
                <w:color w:val="0000FC"/>
                <w:sz w:val="24"/>
                <w:lang w:val="en-US" w:eastAsia="zh-CN"/>
              </w:rPr>
              <w:t>，调运表土的运距为</w:t>
            </w:r>
            <w:r>
              <w:rPr>
                <w:rFonts w:hint="default" w:ascii="Times New Roman" w:hAnsi="Times New Roman" w:eastAsia="宋体" w:cs="Times New Roman"/>
                <w:color w:val="0000FC"/>
                <w:sz w:val="24"/>
                <w:lang w:val="en-US" w:eastAsia="zh-CN"/>
              </w:rPr>
              <w:t>0.5</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1km</w:t>
            </w:r>
            <w:r>
              <w:rPr>
                <w:rFonts w:hint="eastAsia" w:ascii="Times New Roman" w:hAnsi="Times New Roman" w:eastAsia="宋体" w:cs="Times New Roman"/>
                <w:color w:val="0000FC"/>
                <w:sz w:val="24"/>
                <w:lang w:val="en-US" w:eastAsia="zh-CN"/>
              </w:rPr>
              <w:t>。与草种播种的同时施入底肥，施入的底肥为商品有机肥，增加土壤有机质和养分，施肥量为</w:t>
            </w:r>
            <w:r>
              <w:rPr>
                <w:rFonts w:hint="default" w:ascii="Times New Roman" w:hAnsi="Times New Roman" w:eastAsia="宋体" w:cs="Times New Roman"/>
                <w:color w:val="0000FC"/>
                <w:sz w:val="24"/>
                <w:lang w:val="en-US" w:eastAsia="zh-CN"/>
              </w:rPr>
              <w:t>4500kg/hm</w:t>
            </w:r>
            <w:r>
              <w:rPr>
                <w:rFonts w:hint="default" w:ascii="Times New Roman" w:hAnsi="Times New Roman" w:eastAsia="宋体" w:cs="Times New Roman"/>
                <w:color w:val="0000FC"/>
                <w:sz w:val="24"/>
                <w:vertAlign w:val="superscript"/>
                <w:lang w:val="en-US" w:eastAsia="zh-CN"/>
              </w:rPr>
              <w:t>2</w:t>
            </w:r>
            <w:r>
              <w:rPr>
                <w:rFonts w:hint="eastAsia" w:ascii="Times New Roman" w:hAnsi="Times New Roman" w:eastAsia="宋体" w:cs="Times New Roman"/>
                <w:color w:val="0000FC"/>
                <w:sz w:val="24"/>
                <w:lang w:val="en-US" w:eastAsia="zh-CN"/>
              </w:rPr>
              <w:t xml:space="preserve">，生产加工区需有机肥 </w:t>
            </w:r>
            <w:r>
              <w:rPr>
                <w:rFonts w:hint="default" w:ascii="Times New Roman" w:hAnsi="Times New Roman" w:eastAsia="宋体" w:cs="Times New Roman"/>
                <w:color w:val="0000FC"/>
                <w:sz w:val="24"/>
                <w:lang w:val="en-US" w:eastAsia="zh-CN"/>
              </w:rPr>
              <w:t>8410.95kg</w:t>
            </w:r>
            <w:r>
              <w:rPr>
                <w:rFonts w:hint="eastAsia" w:ascii="Times New Roman" w:hAnsi="Times New Roman" w:eastAsia="宋体" w:cs="Times New Roman"/>
                <w:color w:val="0000FC"/>
                <w:sz w:val="24"/>
                <w:lang w:val="en-US" w:eastAsia="zh-CN"/>
              </w:rPr>
              <w:t xml:space="preserve">。 </w:t>
            </w:r>
          </w:p>
          <w:p w14:paraId="5DCDE38B">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FC"/>
                <w:sz w:val="24"/>
                <w:lang w:val="en-US" w:eastAsia="zh-CN"/>
              </w:rPr>
            </w:pPr>
            <w:r>
              <w:rPr>
                <w:rFonts w:hint="eastAsia" w:ascii="Times New Roman" w:hAnsi="Times New Roman" w:eastAsia="宋体" w:cs="Times New Roman"/>
                <w:color w:val="0000FC"/>
                <w:sz w:val="24"/>
                <w:lang w:val="en-US" w:eastAsia="zh-CN"/>
              </w:rPr>
              <w:t>本单元复垦为天然牧草地，采用撒播草籽的方式进行植被恢复，种子选取垂穗披碱草、同德小花碱茅、青海冷地早熟禾和扁穗冰草，按重量比</w:t>
            </w:r>
            <w:r>
              <w:rPr>
                <w:rFonts w:hint="default" w:ascii="Times New Roman" w:hAnsi="Times New Roman" w:eastAsia="宋体" w:cs="Times New Roman"/>
                <w:color w:val="0000FC"/>
                <w:sz w:val="24"/>
                <w:lang w:val="en-US" w:eastAsia="zh-CN"/>
              </w:rPr>
              <w:t>4</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w:t>
            </w:r>
            <w:r>
              <w:rPr>
                <w:rFonts w:hint="default" w:ascii="Times New Roman" w:hAnsi="Times New Roman" w:eastAsia="宋体" w:cs="Times New Roman"/>
                <w:color w:val="0000FC"/>
                <w:sz w:val="24"/>
                <w:lang w:val="en-US" w:eastAsia="zh-CN"/>
              </w:rPr>
              <w:t>1</w:t>
            </w:r>
            <w:r>
              <w:rPr>
                <w:rFonts w:hint="eastAsia" w:ascii="Times New Roman" w:hAnsi="Times New Roman" w:eastAsia="宋体" w:cs="Times New Roman"/>
                <w:color w:val="0000FC"/>
                <w:sz w:val="24"/>
                <w:lang w:val="en-US" w:eastAsia="zh-CN"/>
              </w:rPr>
              <w:t>比例混播，撒播密度为</w:t>
            </w:r>
            <w:r>
              <w:rPr>
                <w:rFonts w:hint="default" w:ascii="Times New Roman" w:hAnsi="Times New Roman" w:eastAsia="宋体" w:cs="Times New Roman"/>
                <w:color w:val="0000FC"/>
                <w:sz w:val="24"/>
                <w:lang w:val="en-US" w:eastAsia="zh-CN"/>
              </w:rPr>
              <w:t>100kg/hm</w:t>
            </w:r>
            <w:r>
              <w:rPr>
                <w:rFonts w:hint="default" w:ascii="Times New Roman" w:hAnsi="Times New Roman" w:eastAsia="宋体" w:cs="Times New Roman"/>
                <w:color w:val="0000FC"/>
                <w:sz w:val="24"/>
                <w:vertAlign w:val="superscript"/>
                <w:lang w:val="en-US" w:eastAsia="zh-CN"/>
              </w:rPr>
              <w:t>2</w:t>
            </w:r>
            <w:r>
              <w:rPr>
                <w:rFonts w:hint="eastAsia" w:ascii="Times New Roman" w:hAnsi="Times New Roman" w:eastAsia="宋体" w:cs="Times New Roman"/>
                <w:color w:val="0000FC"/>
                <w:sz w:val="24"/>
                <w:lang w:val="en-US" w:eastAsia="zh-CN"/>
              </w:rPr>
              <w:t>。草籽和商品有机肥播撒完成后，整个植被恢复区域采用无纺布进行覆盖，保持温度及湿度。要求无纺布覆盖平整贴合，</w:t>
            </w:r>
            <w:r>
              <w:rPr>
                <w:rFonts w:hint="default" w:ascii="Times New Roman" w:hAnsi="Times New Roman" w:eastAsia="宋体" w:cs="Times New Roman"/>
                <w:color w:val="0000FC"/>
                <w:sz w:val="24"/>
                <w:lang w:val="en-US" w:eastAsia="zh-CN"/>
              </w:rPr>
              <w:t>2</w:t>
            </w:r>
            <w:r>
              <w:rPr>
                <w:rFonts w:hint="eastAsia" w:ascii="Times New Roman" w:hAnsi="Times New Roman" w:eastAsia="宋体" w:cs="Times New Roman"/>
                <w:color w:val="0000FC"/>
                <w:sz w:val="24"/>
                <w:lang w:val="en-US" w:eastAsia="zh-CN"/>
              </w:rPr>
              <w:t>幅之间重叠</w:t>
            </w:r>
            <w:r>
              <w:rPr>
                <w:rFonts w:hint="default" w:ascii="Times New Roman" w:hAnsi="Times New Roman" w:eastAsia="宋体" w:cs="Times New Roman"/>
                <w:color w:val="0000FC"/>
                <w:sz w:val="24"/>
                <w:lang w:val="en-US" w:eastAsia="zh-CN"/>
              </w:rPr>
              <w:t>10cm</w:t>
            </w:r>
            <w:r>
              <w:rPr>
                <w:rFonts w:hint="eastAsia" w:ascii="Times New Roman" w:hAnsi="Times New Roman" w:eastAsia="宋体" w:cs="Times New Roman"/>
                <w:color w:val="0000FC"/>
                <w:sz w:val="24"/>
                <w:lang w:val="en-US" w:eastAsia="zh-CN"/>
              </w:rPr>
              <w:t>并用块砂土进行固定，无纺布选用草绿色可降解植草护坡专用无纺布，规格为</w:t>
            </w:r>
            <w:r>
              <w:rPr>
                <w:rFonts w:hint="default" w:ascii="Times New Roman" w:hAnsi="Times New Roman" w:eastAsia="宋体" w:cs="Times New Roman"/>
                <w:color w:val="0000FC"/>
                <w:sz w:val="24"/>
                <w:lang w:val="en-US" w:eastAsia="zh-CN"/>
              </w:rPr>
              <w:t>30g/m</w:t>
            </w:r>
            <w:r>
              <w:rPr>
                <w:rFonts w:hint="eastAsia" w:ascii="Times New Roman" w:hAnsi="Times New Roman" w:eastAsia="宋体" w:cs="Times New Roman"/>
                <w:color w:val="0000FC"/>
                <w:sz w:val="24"/>
                <w:lang w:val="en-US" w:eastAsia="zh-CN"/>
              </w:rPr>
              <w:t>。</w:t>
            </w:r>
          </w:p>
          <w:p w14:paraId="24823731">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0000FC"/>
                <w:sz w:val="24"/>
                <w:lang w:val="en-US" w:eastAsia="zh-CN"/>
              </w:rPr>
              <w:t>综上所述，生产加工区在闭矿后采取以上恢复措施，加强植被维护及管理，保证成活率，</w:t>
            </w:r>
            <w:r>
              <w:rPr>
                <w:rFonts w:hint="default" w:ascii="Times New Roman" w:hAnsi="Times New Roman" w:eastAsia="宋体" w:cs="Times New Roman"/>
                <w:color w:val="0000FC"/>
                <w:sz w:val="24"/>
                <w:lang w:val="en-US" w:eastAsia="zh-CN"/>
              </w:rPr>
              <w:t>改善</w:t>
            </w:r>
            <w:r>
              <w:rPr>
                <w:rFonts w:hint="eastAsia" w:ascii="Times New Roman" w:hAnsi="Times New Roman" w:eastAsia="宋体" w:cs="Times New Roman"/>
                <w:color w:val="0000FC"/>
                <w:sz w:val="24"/>
                <w:lang w:val="en-US" w:eastAsia="zh-CN"/>
              </w:rPr>
              <w:t>植被</w:t>
            </w:r>
            <w:r>
              <w:rPr>
                <w:rFonts w:hint="default" w:ascii="Times New Roman" w:hAnsi="Times New Roman" w:eastAsia="宋体" w:cs="Times New Roman"/>
                <w:color w:val="0000FC"/>
                <w:sz w:val="24"/>
                <w:lang w:val="en-US" w:eastAsia="zh-CN"/>
              </w:rPr>
              <w:t>生长发育的环境条件，1</w:t>
            </w:r>
            <w:r>
              <w:rPr>
                <w:rFonts w:hint="eastAsia" w:ascii="Times New Roman" w:hAnsi="Times New Roman" w:eastAsia="宋体" w:cs="Times New Roman"/>
                <w:color w:val="0000FC"/>
                <w:sz w:val="24"/>
                <w:lang w:val="en-US" w:eastAsia="zh-CN"/>
              </w:rPr>
              <w:t>年之后的成活率应不低于</w:t>
            </w:r>
            <w:r>
              <w:rPr>
                <w:rFonts w:hint="default" w:ascii="Times New Roman" w:hAnsi="Times New Roman" w:eastAsia="宋体" w:cs="Times New Roman"/>
                <w:color w:val="0000FC"/>
                <w:sz w:val="24"/>
                <w:lang w:val="en-US" w:eastAsia="zh-CN"/>
              </w:rPr>
              <w:t>85%</w:t>
            </w:r>
            <w:r>
              <w:rPr>
                <w:rFonts w:hint="eastAsia" w:ascii="Times New Roman" w:hAnsi="Times New Roman" w:eastAsia="宋体" w:cs="Times New Roman"/>
                <w:color w:val="0000FC"/>
                <w:sz w:val="24"/>
                <w:lang w:val="en-US" w:eastAsia="zh-CN"/>
              </w:rPr>
              <w:t>，若成活率不达标，应在春秋两季进行补植，可将植被覆盖率达到55%以上，恢复至原有植被覆盖率，与周边环境相协调，可满足生态恢复的要求</w:t>
            </w:r>
            <w:r>
              <w:rPr>
                <w:rFonts w:hint="eastAsia" w:cs="Times New Roman"/>
                <w:color w:val="0000FC"/>
                <w:sz w:val="24"/>
                <w:lang w:val="en-US" w:eastAsia="zh-CN"/>
              </w:rPr>
              <w:t>，恢复治理措施可行</w:t>
            </w:r>
            <w:r>
              <w:rPr>
                <w:rFonts w:hint="eastAsia" w:ascii="Times New Roman" w:hAnsi="Times New Roman" w:eastAsia="宋体" w:cs="Times New Roman"/>
                <w:color w:val="0000FC"/>
                <w:sz w:val="24"/>
                <w:lang w:val="en-US" w:eastAsia="zh-CN"/>
              </w:rPr>
              <w:t>。</w:t>
            </w:r>
          </w:p>
          <w:p w14:paraId="3BBFF393">
            <w:pPr>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ascii="Times New Roman" w:hAnsi="Times New Roman" w:eastAsia="宋体" w:cs="Times New Roman"/>
                <w:b/>
                <w:bCs/>
                <w:color w:val="FF0000"/>
                <w:sz w:val="24"/>
                <w:lang w:val="en-US" w:eastAsia="zh-CN"/>
              </w:rPr>
            </w:pPr>
            <w:r>
              <w:rPr>
                <w:rFonts w:hint="eastAsia" w:cs="Times New Roman"/>
                <w:b/>
                <w:bCs/>
                <w:color w:val="FF0000"/>
                <w:sz w:val="24"/>
                <w:lang w:val="en-US" w:eastAsia="zh-CN"/>
              </w:rPr>
              <w:t>2.2.6</w:t>
            </w:r>
            <w:r>
              <w:rPr>
                <w:rFonts w:hint="eastAsia" w:ascii="Times New Roman" w:hAnsi="Times New Roman" w:eastAsia="宋体" w:cs="Times New Roman"/>
                <w:b/>
                <w:bCs/>
                <w:color w:val="FF0000"/>
                <w:sz w:val="24"/>
                <w:lang w:val="en-US" w:eastAsia="zh-CN"/>
              </w:rPr>
              <w:t>成品堆场恢复治理工程</w:t>
            </w:r>
          </w:p>
          <w:p w14:paraId="16F1F53D">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FC"/>
                <w:sz w:val="24"/>
                <w:lang w:val="en-US" w:eastAsia="zh-CN"/>
              </w:rPr>
            </w:pPr>
            <w:r>
              <w:rPr>
                <w:rFonts w:hint="default" w:ascii="Times New Roman" w:hAnsi="Times New Roman" w:eastAsia="宋体" w:cs="Times New Roman"/>
                <w:color w:val="FF0000"/>
                <w:sz w:val="24"/>
                <w:lang w:val="en-US" w:eastAsia="zh-CN"/>
              </w:rPr>
              <w:t>矿山</w:t>
            </w:r>
            <w:r>
              <w:rPr>
                <w:rFonts w:hint="eastAsia" w:cs="Times New Roman"/>
                <w:color w:val="FF0000"/>
                <w:sz w:val="24"/>
                <w:lang w:val="en-US" w:eastAsia="zh-CN"/>
              </w:rPr>
              <w:t>闭矿</w:t>
            </w:r>
            <w:r>
              <w:rPr>
                <w:rFonts w:hint="default" w:ascii="Times New Roman" w:hAnsi="Times New Roman" w:eastAsia="宋体" w:cs="Times New Roman"/>
                <w:color w:val="FF0000"/>
                <w:sz w:val="24"/>
                <w:lang w:val="en-US" w:eastAsia="zh-CN"/>
              </w:rPr>
              <w:t>后，堆场内的成品矿石将全部销往用户所在地。对剩余贴地碎石进行清除，可填埋至露天采场，此项工程计入矿山生产成本。</w:t>
            </w:r>
            <w:r>
              <w:rPr>
                <w:rFonts w:hint="default" w:ascii="Times New Roman" w:hAnsi="Times New Roman" w:eastAsia="宋体" w:cs="Times New Roman"/>
                <w:color w:val="0000FC"/>
                <w:sz w:val="24"/>
                <w:lang w:val="en-US" w:eastAsia="zh-CN"/>
              </w:rPr>
              <w:t>建筑垃圾等固体废物分类集中处理，不得遗弃在工程占地范围内。</w:t>
            </w:r>
          </w:p>
          <w:p w14:paraId="5B94F53D">
            <w:pPr>
              <w:keepNext w:val="0"/>
              <w:keepLines w:val="0"/>
              <w:widowControl/>
              <w:suppressLineNumbers w:val="0"/>
              <w:jc w:val="left"/>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成品堆场面积为2</w:t>
            </w:r>
            <w:r>
              <w:rPr>
                <w:rFonts w:hint="eastAsia" w:ascii="Times New Roman" w:hAnsi="Times New Roman" w:eastAsia="宋体" w:cs="Times New Roman"/>
                <w:color w:val="FF0000"/>
                <w:sz w:val="24"/>
                <w:lang w:val="en-US" w:eastAsia="zh-CN"/>
              </w:rPr>
              <w:t>.</w:t>
            </w:r>
            <w:r>
              <w:rPr>
                <w:rFonts w:hint="default" w:ascii="Times New Roman" w:hAnsi="Times New Roman" w:eastAsia="宋体" w:cs="Times New Roman"/>
                <w:color w:val="FF0000"/>
                <w:sz w:val="24"/>
                <w:lang w:val="en-US" w:eastAsia="zh-CN"/>
              </w:rPr>
              <w:t>1066hm</w:t>
            </w:r>
            <w:r>
              <w:rPr>
                <w:rFonts w:hint="default" w:ascii="Times New Roman" w:hAnsi="Times New Roman" w:eastAsia="宋体" w:cs="Times New Roman"/>
                <w:color w:val="FF0000"/>
                <w:sz w:val="24"/>
                <w:vertAlign w:val="superscript"/>
                <w:lang w:val="en-US" w:eastAsia="zh-CN"/>
              </w:rPr>
              <w:t>2</w:t>
            </w:r>
            <w:r>
              <w:rPr>
                <w:rFonts w:hint="default" w:ascii="Times New Roman" w:hAnsi="Times New Roman" w:eastAsia="宋体" w:cs="Times New Roman"/>
                <w:color w:val="FF0000"/>
                <w:sz w:val="24"/>
                <w:lang w:val="en-US" w:eastAsia="zh-CN"/>
              </w:rPr>
              <w:t>，场地清理后覆土平整，覆土厚度为0.25m，需土方量</w:t>
            </w:r>
            <w:r>
              <w:rPr>
                <w:rFonts w:hint="eastAsia" w:ascii="Times New Roman" w:hAnsi="Times New Roman" w:cs="Times New Roman"/>
                <w:color w:val="FF0000"/>
                <w:sz w:val="24"/>
                <w:lang w:val="en-US" w:eastAsia="zh-CN"/>
              </w:rPr>
              <w:t>5266.5</w:t>
            </w:r>
            <w:r>
              <w:rPr>
                <w:rFonts w:hint="default" w:ascii="Times New Roman" w:hAnsi="Times New Roman" w:eastAsia="宋体" w:cs="Times New Roman"/>
                <w:color w:val="FF0000"/>
                <w:sz w:val="24"/>
                <w:lang w:val="en-US" w:eastAsia="zh-CN"/>
              </w:rPr>
              <w:t>m</w:t>
            </w:r>
            <w:r>
              <w:rPr>
                <w:rFonts w:hint="default" w:ascii="Times New Roman" w:hAnsi="Times New Roman" w:eastAsia="宋体" w:cs="Times New Roman"/>
                <w:color w:val="FF0000"/>
                <w:sz w:val="24"/>
                <w:vertAlign w:val="superscript"/>
                <w:lang w:val="en-US" w:eastAsia="zh-CN"/>
              </w:rPr>
              <w:t>3</w:t>
            </w:r>
            <w:r>
              <w:rPr>
                <w:rFonts w:hint="default" w:ascii="Times New Roman" w:hAnsi="Times New Roman" w:eastAsia="宋体" w:cs="Times New Roman"/>
                <w:color w:val="FF0000"/>
                <w:sz w:val="24"/>
                <w:lang w:val="en-US" w:eastAsia="zh-CN"/>
              </w:rPr>
              <w:t>，调运表土的运距为0.5～1km。与草种播种的同时施入底肥，施入的底肥为商品有机肥，增加土壤有机质和养分，施肥量为4500kg/hm</w:t>
            </w:r>
            <w:r>
              <w:rPr>
                <w:rFonts w:hint="default" w:ascii="Times New Roman" w:hAnsi="Times New Roman" w:eastAsia="宋体" w:cs="Times New Roman"/>
                <w:color w:val="FF0000"/>
                <w:sz w:val="24"/>
                <w:vertAlign w:val="superscript"/>
                <w:lang w:val="en-US" w:eastAsia="zh-CN"/>
              </w:rPr>
              <w:t>2</w:t>
            </w:r>
            <w:r>
              <w:rPr>
                <w:rFonts w:hint="default" w:ascii="Times New Roman" w:hAnsi="Times New Roman" w:eastAsia="宋体" w:cs="Times New Roman"/>
                <w:color w:val="FF0000"/>
                <w:sz w:val="24"/>
                <w:lang w:val="en-US" w:eastAsia="zh-CN"/>
              </w:rPr>
              <w:t>，成品堆场需有机肥9</w:t>
            </w:r>
            <w:r>
              <w:rPr>
                <w:rFonts w:hint="eastAsia" w:ascii="Times New Roman" w:hAnsi="Times New Roman" w:cs="Times New Roman"/>
                <w:color w:val="FF0000"/>
                <w:sz w:val="24"/>
                <w:lang w:val="en-US" w:eastAsia="zh-CN"/>
              </w:rPr>
              <w:t>479.7</w:t>
            </w:r>
            <w:r>
              <w:rPr>
                <w:rFonts w:hint="default" w:ascii="Times New Roman" w:hAnsi="Times New Roman" w:eastAsia="宋体" w:cs="Times New Roman"/>
                <w:color w:val="FF0000"/>
                <w:sz w:val="24"/>
                <w:lang w:val="en-US" w:eastAsia="zh-CN"/>
              </w:rPr>
              <w:t xml:space="preserve">kg。 </w:t>
            </w:r>
          </w:p>
          <w:p w14:paraId="5730C3AB">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本单元复垦为天然牧草地，采用撒播草籽的方式进行植被恢复，种子选取垂穗披碱草、同德小花碱茅、青海冷地早熟禾和扁穗冰草，按重量比4：1：1：1比例混播，撒播密度为100kg/hm</w:t>
            </w:r>
            <w:r>
              <w:rPr>
                <w:rFonts w:hint="default" w:ascii="Times New Roman" w:hAnsi="Times New Roman" w:eastAsia="宋体" w:cs="Times New Roman"/>
                <w:color w:val="FF0000"/>
                <w:sz w:val="24"/>
                <w:vertAlign w:val="superscript"/>
                <w:lang w:val="en-US" w:eastAsia="zh-CN"/>
              </w:rPr>
              <w:t>2</w:t>
            </w:r>
            <w:r>
              <w:rPr>
                <w:rFonts w:hint="default" w:ascii="Times New Roman" w:hAnsi="Times New Roman" w:eastAsia="宋体" w:cs="Times New Roman"/>
                <w:color w:val="FF0000"/>
                <w:sz w:val="24"/>
                <w:lang w:val="en-US" w:eastAsia="zh-CN"/>
              </w:rPr>
              <w:t>。草籽和商品有机肥播撒完成后，整个植被恢复区域采用无纺布进行覆盖，保持温度及湿度。要求无纺布覆盖平整贴合，2幅之间重叠10cm并用块砂土进行固定，无纺布选用草绿色可降解植草护坡专用无纺布，规格为30g/m。</w:t>
            </w:r>
          </w:p>
          <w:p w14:paraId="14512B40">
            <w:pPr>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宋体" w:hAnsi="宋体" w:eastAsia="宋体" w:cs="宋体"/>
                <w:b/>
                <w:bCs/>
                <w:color w:val="000000"/>
                <w:kern w:val="0"/>
                <w:sz w:val="24"/>
                <w:szCs w:val="24"/>
                <w:lang w:val="en-US" w:eastAsia="zh-CN" w:bidi="ar"/>
              </w:rPr>
            </w:pPr>
            <w:r>
              <w:rPr>
                <w:rFonts w:hint="eastAsia" w:ascii="Times New Roman" w:hAnsi="Times New Roman" w:eastAsia="宋体" w:cs="Times New Roman"/>
                <w:color w:val="0000FC"/>
                <w:sz w:val="24"/>
                <w:lang w:val="en-US" w:eastAsia="zh-CN"/>
              </w:rPr>
              <w:t>综上所述，成品堆场在闭矿后采取以上恢复措施，加强植被维护及管理，保证成活率，</w:t>
            </w:r>
            <w:r>
              <w:rPr>
                <w:rFonts w:hint="default" w:ascii="Times New Roman" w:hAnsi="Times New Roman" w:eastAsia="宋体" w:cs="Times New Roman"/>
                <w:color w:val="0000FC"/>
                <w:sz w:val="24"/>
                <w:lang w:val="en-US" w:eastAsia="zh-CN"/>
              </w:rPr>
              <w:t>改善</w:t>
            </w:r>
            <w:r>
              <w:rPr>
                <w:rFonts w:hint="eastAsia" w:ascii="Times New Roman" w:hAnsi="Times New Roman" w:eastAsia="宋体" w:cs="Times New Roman"/>
                <w:color w:val="0000FC"/>
                <w:sz w:val="24"/>
                <w:lang w:val="en-US" w:eastAsia="zh-CN"/>
              </w:rPr>
              <w:t>植被</w:t>
            </w:r>
            <w:r>
              <w:rPr>
                <w:rFonts w:hint="default" w:ascii="Times New Roman" w:hAnsi="Times New Roman" w:eastAsia="宋体" w:cs="Times New Roman"/>
                <w:color w:val="0000FC"/>
                <w:sz w:val="24"/>
                <w:lang w:val="en-US" w:eastAsia="zh-CN"/>
              </w:rPr>
              <w:t>生长发育的环境条件，1</w:t>
            </w:r>
            <w:r>
              <w:rPr>
                <w:rFonts w:hint="eastAsia" w:ascii="Times New Roman" w:hAnsi="Times New Roman" w:eastAsia="宋体" w:cs="Times New Roman"/>
                <w:color w:val="0000FC"/>
                <w:sz w:val="24"/>
                <w:lang w:val="en-US" w:eastAsia="zh-CN"/>
              </w:rPr>
              <w:t>年之后的成活率应不低于</w:t>
            </w:r>
            <w:r>
              <w:rPr>
                <w:rFonts w:hint="default" w:ascii="Times New Roman" w:hAnsi="Times New Roman" w:eastAsia="宋体" w:cs="Times New Roman"/>
                <w:color w:val="0000FC"/>
                <w:sz w:val="24"/>
                <w:lang w:val="en-US" w:eastAsia="zh-CN"/>
              </w:rPr>
              <w:t>85%</w:t>
            </w:r>
            <w:r>
              <w:rPr>
                <w:rFonts w:hint="eastAsia" w:ascii="Times New Roman" w:hAnsi="Times New Roman" w:eastAsia="宋体" w:cs="Times New Roman"/>
                <w:color w:val="0000FC"/>
                <w:sz w:val="24"/>
                <w:lang w:val="en-US" w:eastAsia="zh-CN"/>
              </w:rPr>
              <w:t>，若成活率不达标，应在春秋两季进行补植，可将植被覆盖率达到55%以上，恢复至原有植被覆盖率，与周边环境相协调，可满足生态恢复的要求</w:t>
            </w:r>
            <w:r>
              <w:rPr>
                <w:rFonts w:hint="eastAsia" w:cs="Times New Roman"/>
                <w:color w:val="0000FC"/>
                <w:sz w:val="24"/>
                <w:lang w:val="en-US" w:eastAsia="zh-CN"/>
              </w:rPr>
              <w:t>，恢复治理措施可行</w:t>
            </w:r>
            <w:r>
              <w:rPr>
                <w:rFonts w:hint="eastAsia" w:ascii="Times New Roman" w:hAnsi="Times New Roman" w:eastAsia="宋体" w:cs="Times New Roman"/>
                <w:color w:val="0000FC"/>
                <w:sz w:val="24"/>
                <w:lang w:val="en-US" w:eastAsia="zh-CN"/>
              </w:rPr>
              <w:t>。</w:t>
            </w:r>
          </w:p>
        </w:tc>
      </w:tr>
      <w:tr w14:paraId="6A0A4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9" w:hRule="atLeast"/>
          <w:jc w:val="center"/>
        </w:trPr>
        <w:tc>
          <w:tcPr>
            <w:tcW w:w="559" w:type="dxa"/>
            <w:noWrap w:val="0"/>
            <w:vAlign w:val="center"/>
          </w:tcPr>
          <w:p w14:paraId="61FC5F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bCs/>
                <w:spacing w:val="10"/>
                <w:szCs w:val="21"/>
              </w:rPr>
            </w:pPr>
            <w:r>
              <w:rPr>
                <w:rFonts w:hint="eastAsia" w:ascii="宋体" w:hAnsi="宋体"/>
                <w:bCs/>
                <w:szCs w:val="21"/>
              </w:rPr>
              <w:t>环保投资</w:t>
            </w:r>
          </w:p>
        </w:tc>
        <w:tc>
          <w:tcPr>
            <w:tcW w:w="8308" w:type="dxa"/>
            <w:noWrap w:val="0"/>
            <w:vAlign w:val="top"/>
          </w:tcPr>
          <w:p w14:paraId="22AFC35E">
            <w:pPr>
              <w:pStyle w:val="57"/>
              <w:pageBreakBefore w:val="0"/>
              <w:kinsoku/>
              <w:wordWrap/>
              <w:overflowPunct/>
              <w:topLinePunct w:val="0"/>
              <w:bidi w:val="0"/>
              <w:spacing w:beforeAutospacing="0" w:afterAutospacing="0" w:line="360" w:lineRule="auto"/>
              <w:ind w:firstLine="480" w:firstLineChars="200"/>
              <w:rPr>
                <w:rFonts w:ascii="Times New Roman" w:hAnsi="Times New Roman" w:eastAsia="宋体"/>
              </w:rPr>
            </w:pPr>
            <w:r>
              <w:rPr>
                <w:rFonts w:ascii="Times New Roman" w:hAnsi="Times New Roman" w:eastAsia="宋体"/>
              </w:rPr>
              <w:t>工程总投资</w:t>
            </w:r>
            <w:r>
              <w:rPr>
                <w:rFonts w:hint="eastAsia" w:ascii="Times New Roman" w:hAnsi="Times New Roman" w:eastAsia="宋体"/>
                <w:lang w:val="en-US" w:eastAsia="zh-CN"/>
              </w:rPr>
              <w:t>3518</w:t>
            </w:r>
            <w:r>
              <w:rPr>
                <w:rFonts w:ascii="Times New Roman" w:hAnsi="Times New Roman" w:eastAsia="宋体"/>
              </w:rPr>
              <w:t>万元，环保投资为</w:t>
            </w:r>
            <w:r>
              <w:rPr>
                <w:rFonts w:hint="eastAsia" w:ascii="Times New Roman" w:hAnsi="Times New Roman" w:eastAsia="宋体"/>
                <w:sz w:val="21"/>
                <w:szCs w:val="21"/>
                <w:lang w:val="en-US" w:eastAsia="zh-CN"/>
              </w:rPr>
              <w:t>1</w:t>
            </w:r>
            <w:r>
              <w:rPr>
                <w:rFonts w:hint="eastAsia"/>
                <w:sz w:val="21"/>
                <w:szCs w:val="21"/>
                <w:lang w:val="en-US" w:eastAsia="zh-CN"/>
              </w:rPr>
              <w:t>45</w:t>
            </w:r>
            <w:r>
              <w:rPr>
                <w:rFonts w:hint="eastAsia" w:ascii="Times New Roman" w:hAnsi="Times New Roman" w:eastAsia="宋体"/>
                <w:sz w:val="21"/>
                <w:szCs w:val="21"/>
                <w:lang w:val="en-US" w:eastAsia="zh-CN"/>
              </w:rPr>
              <w:t>.5</w:t>
            </w:r>
            <w:r>
              <w:rPr>
                <w:rFonts w:ascii="Times New Roman" w:hAnsi="Times New Roman" w:eastAsia="宋体"/>
              </w:rPr>
              <w:t>万元，占工程总投资的</w:t>
            </w:r>
            <w:r>
              <w:rPr>
                <w:rFonts w:hint="eastAsia"/>
                <w:lang w:val="en-US" w:eastAsia="zh-CN"/>
              </w:rPr>
              <w:t>4.14</w:t>
            </w:r>
            <w:r>
              <w:rPr>
                <w:rFonts w:hint="eastAsia" w:ascii="Times New Roman" w:hAnsi="Times New Roman" w:eastAsia="宋体"/>
                <w:lang w:val="en-US" w:eastAsia="zh-CN"/>
              </w:rPr>
              <w:t>%</w:t>
            </w:r>
            <w:r>
              <w:rPr>
                <w:rFonts w:ascii="Times New Roman" w:hAnsi="Times New Roman" w:eastAsia="宋体"/>
              </w:rPr>
              <w:t>，环保治理投资见下表</w:t>
            </w:r>
            <w:r>
              <w:rPr>
                <w:rFonts w:hint="eastAsia" w:ascii="Times New Roman" w:hAnsi="Times New Roman" w:eastAsia="宋体"/>
              </w:rPr>
              <w:t>：</w:t>
            </w:r>
          </w:p>
          <w:p w14:paraId="76586590">
            <w:pPr>
              <w:pStyle w:val="5"/>
              <w:bidi w:val="0"/>
              <w:rPr>
                <w:rFonts w:hint="default" w:ascii="Times New Roman" w:hAnsi="Times New Roman" w:eastAsia="宋体" w:cs="Times New Roman"/>
              </w:rPr>
            </w:pPr>
            <w:r>
              <w:rPr>
                <w:rFonts w:hint="default"/>
              </w:rPr>
              <w:t>表</w:t>
            </w:r>
            <w:r>
              <w:rPr>
                <w:rFonts w:hint="default"/>
                <w:lang w:val="en-US" w:eastAsia="zh-CN"/>
              </w:rPr>
              <w:t>5</w:t>
            </w:r>
            <w:r>
              <w:rPr>
                <w:rFonts w:hint="default"/>
              </w:rPr>
              <w:t>-</w:t>
            </w:r>
            <w:r>
              <w:rPr>
                <w:rFonts w:hint="default"/>
                <w:lang w:val="en-US" w:eastAsia="zh-CN"/>
              </w:rPr>
              <w:t xml:space="preserve">6 </w:t>
            </w:r>
            <w:r>
              <w:rPr>
                <w:rFonts w:hint="default"/>
              </w:rPr>
              <w:t xml:space="preserve"> 建设项目环境保护投资估</w:t>
            </w:r>
            <w:r>
              <w:rPr>
                <w:rFonts w:hint="default" w:ascii="Times New Roman" w:hAnsi="Times New Roman" w:eastAsia="宋体" w:cs="Times New Roman"/>
              </w:rPr>
              <w:t xml:space="preserve">算 </w:t>
            </w:r>
            <w:r>
              <w:rPr>
                <w:rFonts w:hint="eastAsia" w:ascii="Times New Roman" w:hAnsi="Times New Roman" w:eastAsia="宋体" w:cs="Times New Roman"/>
                <w:lang w:val="en-US" w:eastAsia="zh-CN"/>
              </w:rPr>
              <w:t>单位：</w:t>
            </w:r>
            <w:r>
              <w:rPr>
                <w:rFonts w:hint="default" w:ascii="Times New Roman" w:hAnsi="Times New Roman" w:eastAsia="宋体" w:cs="Times New Roman"/>
              </w:rPr>
              <w:t>（万元）</w:t>
            </w:r>
          </w:p>
          <w:tbl>
            <w:tblPr>
              <w:tblStyle w:val="2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414"/>
              <w:gridCol w:w="1205"/>
              <w:gridCol w:w="5002"/>
              <w:gridCol w:w="808"/>
            </w:tblGrid>
            <w:tr w14:paraId="641FF0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407" w:type="pct"/>
                  <w:tcBorders>
                    <w:tl2br w:val="nil"/>
                    <w:tr2bl w:val="nil"/>
                  </w:tcBorders>
                  <w:noWrap w:val="0"/>
                  <w:vAlign w:val="center"/>
                </w:tcPr>
                <w:p w14:paraId="6B749487">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类别</w:t>
                  </w:r>
                </w:p>
              </w:tc>
              <w:tc>
                <w:tcPr>
                  <w:tcW w:w="1000" w:type="pct"/>
                  <w:gridSpan w:val="2"/>
                  <w:tcBorders>
                    <w:tl2br w:val="nil"/>
                    <w:tr2bl w:val="nil"/>
                  </w:tcBorders>
                  <w:noWrap w:val="0"/>
                  <w:vAlign w:val="center"/>
                </w:tcPr>
                <w:p w14:paraId="7E512263">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主要污染源</w:t>
                  </w:r>
                </w:p>
              </w:tc>
              <w:tc>
                <w:tcPr>
                  <w:tcW w:w="3091" w:type="pct"/>
                  <w:tcBorders>
                    <w:tl2br w:val="nil"/>
                    <w:tr2bl w:val="nil"/>
                  </w:tcBorders>
                  <w:noWrap w:val="0"/>
                  <w:vAlign w:val="center"/>
                </w:tcPr>
                <w:p w14:paraId="5E8B16D2">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环保措施</w:t>
                  </w:r>
                </w:p>
              </w:tc>
              <w:tc>
                <w:tcPr>
                  <w:tcW w:w="499" w:type="pct"/>
                  <w:tcBorders>
                    <w:tl2br w:val="nil"/>
                    <w:tr2bl w:val="nil"/>
                  </w:tcBorders>
                  <w:noWrap w:val="0"/>
                  <w:vAlign w:val="center"/>
                </w:tcPr>
                <w:p w14:paraId="345AB673">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投资</w:t>
                  </w:r>
                </w:p>
              </w:tc>
            </w:tr>
            <w:tr w14:paraId="544C77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407" w:type="pct"/>
                  <w:vMerge w:val="restart"/>
                  <w:tcBorders>
                    <w:tl2br w:val="nil"/>
                    <w:tr2bl w:val="nil"/>
                  </w:tcBorders>
                  <w:noWrap w:val="0"/>
                  <w:vAlign w:val="center"/>
                </w:tcPr>
                <w:p w14:paraId="5C5FF1F9">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r>
                    <w:rPr>
                      <w:rFonts w:hint="default" w:ascii="Times New Roman" w:hAnsi="Times New Roman" w:eastAsia="宋体"/>
                      <w:sz w:val="21"/>
                      <w:szCs w:val="21"/>
                    </w:rPr>
                    <w:t>废气</w:t>
                  </w:r>
                </w:p>
              </w:tc>
              <w:tc>
                <w:tcPr>
                  <w:tcW w:w="255" w:type="pct"/>
                  <w:vMerge w:val="restart"/>
                  <w:tcBorders>
                    <w:tl2br w:val="nil"/>
                    <w:tr2bl w:val="nil"/>
                  </w:tcBorders>
                  <w:noWrap w:val="0"/>
                  <w:vAlign w:val="center"/>
                </w:tcPr>
                <w:p w14:paraId="07AFB6D0">
                  <w:pPr>
                    <w:pStyle w:val="49"/>
                    <w:keepNext w:val="0"/>
                    <w:keepLines w:val="0"/>
                    <w:pageBreakBefore w:val="0"/>
                    <w:widowControl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开采区</w:t>
                  </w:r>
                </w:p>
              </w:tc>
              <w:tc>
                <w:tcPr>
                  <w:tcW w:w="744" w:type="pct"/>
                  <w:tcBorders>
                    <w:tl2br w:val="nil"/>
                    <w:tr2bl w:val="nil"/>
                  </w:tcBorders>
                  <w:noWrap w:val="0"/>
                  <w:vAlign w:val="center"/>
                </w:tcPr>
                <w:p w14:paraId="6458B8FF">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开采粉尘</w:t>
                  </w:r>
                </w:p>
              </w:tc>
              <w:tc>
                <w:tcPr>
                  <w:tcW w:w="3091" w:type="pct"/>
                  <w:vMerge w:val="restart"/>
                  <w:tcBorders>
                    <w:tl2br w:val="nil"/>
                    <w:tr2bl w:val="nil"/>
                  </w:tcBorders>
                  <w:noWrap w:val="0"/>
                  <w:vAlign w:val="center"/>
                </w:tcPr>
                <w:p w14:paraId="1E75AD73">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配备洒水车1台，定期洒水降尘；配备雾炮机喷雾降尘；道路定期用砂石进行补修；采场矿区周围拉网围栏圈围，网围栏高度不低于1.5m</w:t>
                  </w:r>
                </w:p>
              </w:tc>
              <w:tc>
                <w:tcPr>
                  <w:tcW w:w="499" w:type="pct"/>
                  <w:vMerge w:val="restart"/>
                  <w:tcBorders>
                    <w:tl2br w:val="nil"/>
                    <w:tr2bl w:val="nil"/>
                  </w:tcBorders>
                  <w:noWrap w:val="0"/>
                  <w:vAlign w:val="center"/>
                </w:tcPr>
                <w:p w14:paraId="323ECC58">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eastAsia="zh-CN"/>
                    </w:rPr>
                    <w:t>.0</w:t>
                  </w:r>
                </w:p>
              </w:tc>
            </w:tr>
            <w:tr w14:paraId="521B9F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407" w:type="pct"/>
                  <w:vMerge w:val="continue"/>
                  <w:tcBorders>
                    <w:tl2br w:val="nil"/>
                    <w:tr2bl w:val="nil"/>
                  </w:tcBorders>
                  <w:noWrap w:val="0"/>
                  <w:vAlign w:val="center"/>
                </w:tcPr>
                <w:p w14:paraId="2EE9187F">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255" w:type="pct"/>
                  <w:vMerge w:val="continue"/>
                  <w:tcBorders>
                    <w:tl2br w:val="nil"/>
                    <w:tr2bl w:val="nil"/>
                  </w:tcBorders>
                  <w:noWrap w:val="0"/>
                  <w:vAlign w:val="center"/>
                </w:tcPr>
                <w:p w14:paraId="2AFDA686">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744" w:type="pct"/>
                  <w:tcBorders>
                    <w:tl2br w:val="nil"/>
                    <w:tr2bl w:val="nil"/>
                  </w:tcBorders>
                  <w:noWrap w:val="0"/>
                  <w:vAlign w:val="center"/>
                </w:tcPr>
                <w:p w14:paraId="67EB4D3C">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道路运输扬尘</w:t>
                  </w:r>
                </w:p>
              </w:tc>
              <w:tc>
                <w:tcPr>
                  <w:tcW w:w="3091" w:type="pct"/>
                  <w:vMerge w:val="continue"/>
                  <w:tcBorders>
                    <w:tl2br w:val="nil"/>
                    <w:tr2bl w:val="nil"/>
                  </w:tcBorders>
                  <w:noWrap w:val="0"/>
                  <w:vAlign w:val="center"/>
                </w:tcPr>
                <w:p w14:paraId="00F7B97A">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cs="Times New Roman"/>
                      <w:sz w:val="21"/>
                      <w:szCs w:val="21"/>
                      <w:lang w:val="en-US" w:eastAsia="zh-CN"/>
                    </w:rPr>
                  </w:pPr>
                </w:p>
              </w:tc>
              <w:tc>
                <w:tcPr>
                  <w:tcW w:w="499" w:type="pct"/>
                  <w:vMerge w:val="continue"/>
                  <w:tcBorders>
                    <w:tl2br w:val="nil"/>
                    <w:tr2bl w:val="nil"/>
                  </w:tcBorders>
                  <w:noWrap w:val="0"/>
                  <w:vAlign w:val="center"/>
                </w:tcPr>
                <w:p w14:paraId="4D3D2BC1">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p>
              </w:tc>
            </w:tr>
            <w:tr w14:paraId="5ED99A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07" w:type="pct"/>
                  <w:vMerge w:val="continue"/>
                  <w:tcBorders>
                    <w:tl2br w:val="nil"/>
                    <w:tr2bl w:val="nil"/>
                  </w:tcBorders>
                  <w:noWrap w:val="0"/>
                  <w:vAlign w:val="center"/>
                </w:tcPr>
                <w:p w14:paraId="21353961">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p>
              </w:tc>
              <w:tc>
                <w:tcPr>
                  <w:tcW w:w="1000" w:type="pct"/>
                  <w:gridSpan w:val="2"/>
                  <w:tcBorders>
                    <w:tl2br w:val="nil"/>
                    <w:tr2bl w:val="nil"/>
                  </w:tcBorders>
                  <w:noWrap w:val="0"/>
                  <w:vAlign w:val="center"/>
                </w:tcPr>
                <w:p w14:paraId="72BC91A6">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排土场</w:t>
                  </w:r>
                </w:p>
              </w:tc>
              <w:tc>
                <w:tcPr>
                  <w:tcW w:w="3091" w:type="pct"/>
                  <w:tcBorders>
                    <w:tl2br w:val="nil"/>
                    <w:tr2bl w:val="nil"/>
                  </w:tcBorders>
                  <w:noWrap w:val="0"/>
                  <w:vAlign w:val="center"/>
                </w:tcPr>
                <w:p w14:paraId="4991D1EB">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防尘网苫盖，定期洒水降尘、养护等</w:t>
                  </w:r>
                </w:p>
              </w:tc>
              <w:tc>
                <w:tcPr>
                  <w:tcW w:w="499" w:type="pct"/>
                  <w:tcBorders>
                    <w:tl2br w:val="nil"/>
                    <w:tr2bl w:val="nil"/>
                  </w:tcBorders>
                  <w:noWrap w:val="0"/>
                  <w:vAlign w:val="center"/>
                </w:tcPr>
                <w:p w14:paraId="58701848">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w:t>
                  </w:r>
                </w:p>
              </w:tc>
            </w:tr>
            <w:tr w14:paraId="275304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07" w:type="pct"/>
                  <w:vMerge w:val="continue"/>
                  <w:tcBorders>
                    <w:tl2br w:val="nil"/>
                    <w:tr2bl w:val="nil"/>
                  </w:tcBorders>
                  <w:noWrap w:val="0"/>
                  <w:vAlign w:val="center"/>
                </w:tcPr>
                <w:p w14:paraId="73A2927C">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p>
              </w:tc>
              <w:tc>
                <w:tcPr>
                  <w:tcW w:w="1000" w:type="pct"/>
                  <w:gridSpan w:val="2"/>
                  <w:tcBorders>
                    <w:tl2br w:val="nil"/>
                    <w:tr2bl w:val="nil"/>
                  </w:tcBorders>
                  <w:noWrap w:val="0"/>
                  <w:vAlign w:val="center"/>
                </w:tcPr>
                <w:p w14:paraId="50224762">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成品堆场</w:t>
                  </w:r>
                </w:p>
              </w:tc>
              <w:tc>
                <w:tcPr>
                  <w:tcW w:w="3091" w:type="pct"/>
                  <w:tcBorders>
                    <w:tl2br w:val="nil"/>
                    <w:tr2bl w:val="nil"/>
                  </w:tcBorders>
                  <w:noWrap w:val="0"/>
                  <w:vAlign w:val="center"/>
                </w:tcPr>
                <w:p w14:paraId="3AD97D09">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封闭车间，喷淋洒水</w:t>
                  </w:r>
                </w:p>
              </w:tc>
              <w:tc>
                <w:tcPr>
                  <w:tcW w:w="499" w:type="pct"/>
                  <w:tcBorders>
                    <w:tl2br w:val="nil"/>
                    <w:tr2bl w:val="nil"/>
                  </w:tcBorders>
                  <w:noWrap w:val="0"/>
                  <w:vAlign w:val="center"/>
                </w:tcPr>
                <w:p w14:paraId="7949352A">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20.0</w:t>
                  </w:r>
                </w:p>
              </w:tc>
            </w:tr>
            <w:tr w14:paraId="6BBBB9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07" w:type="pct"/>
                  <w:vMerge w:val="continue"/>
                  <w:tcBorders>
                    <w:tl2br w:val="nil"/>
                    <w:tr2bl w:val="nil"/>
                  </w:tcBorders>
                  <w:noWrap w:val="0"/>
                  <w:vAlign w:val="center"/>
                </w:tcPr>
                <w:p w14:paraId="161C5BDB">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p>
              </w:tc>
              <w:tc>
                <w:tcPr>
                  <w:tcW w:w="1000" w:type="pct"/>
                  <w:gridSpan w:val="2"/>
                  <w:tcBorders>
                    <w:tl2br w:val="nil"/>
                    <w:tr2bl w:val="nil"/>
                  </w:tcBorders>
                  <w:noWrap w:val="0"/>
                  <w:vAlign w:val="center"/>
                </w:tcPr>
                <w:p w14:paraId="5A28613F">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破碎、筛分车间</w:t>
                  </w:r>
                </w:p>
              </w:tc>
              <w:tc>
                <w:tcPr>
                  <w:tcW w:w="3091" w:type="pct"/>
                  <w:tcBorders>
                    <w:tl2br w:val="nil"/>
                    <w:tr2bl w:val="nil"/>
                  </w:tcBorders>
                  <w:noWrap w:val="0"/>
                  <w:vAlign w:val="center"/>
                </w:tcPr>
                <w:p w14:paraId="24FB25AF">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封闭车间，车间内设置喷淋装置；</w:t>
                  </w:r>
                  <w:r>
                    <w:rPr>
                      <w:rFonts w:hint="eastAsia" w:ascii="Times New Roman" w:hAnsi="Times New Roman" w:eastAsia="宋体" w:cs="Times New Roman"/>
                      <w:color w:val="0000FC"/>
                      <w:sz w:val="21"/>
                      <w:szCs w:val="21"/>
                      <w:lang w:val="en-US" w:eastAsia="zh-CN"/>
                    </w:rPr>
                    <w:t>输送皮带封闭</w:t>
                  </w:r>
                </w:p>
              </w:tc>
              <w:tc>
                <w:tcPr>
                  <w:tcW w:w="499" w:type="pct"/>
                  <w:tcBorders>
                    <w:tl2br w:val="nil"/>
                    <w:tr2bl w:val="nil"/>
                  </w:tcBorders>
                  <w:noWrap w:val="0"/>
                  <w:vAlign w:val="center"/>
                </w:tcPr>
                <w:p w14:paraId="4B46C933">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25.0</w:t>
                  </w:r>
                </w:p>
              </w:tc>
            </w:tr>
            <w:tr w14:paraId="19CA28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407" w:type="pct"/>
                  <w:vMerge w:val="continue"/>
                  <w:tcBorders>
                    <w:tl2br w:val="nil"/>
                    <w:tr2bl w:val="nil"/>
                  </w:tcBorders>
                  <w:noWrap w:val="0"/>
                  <w:vAlign w:val="center"/>
                </w:tcPr>
                <w:p w14:paraId="3BD34E8E">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p>
              </w:tc>
              <w:tc>
                <w:tcPr>
                  <w:tcW w:w="1000" w:type="pct"/>
                  <w:gridSpan w:val="2"/>
                  <w:tcBorders>
                    <w:tl2br w:val="nil"/>
                    <w:tr2bl w:val="nil"/>
                  </w:tcBorders>
                  <w:noWrap w:val="0"/>
                  <w:vAlign w:val="center"/>
                </w:tcPr>
                <w:p w14:paraId="3EF50D8F">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外部运输</w:t>
                  </w:r>
                </w:p>
              </w:tc>
              <w:tc>
                <w:tcPr>
                  <w:tcW w:w="3091" w:type="pct"/>
                  <w:tcBorders>
                    <w:tl2br w:val="nil"/>
                    <w:tr2bl w:val="nil"/>
                  </w:tcBorders>
                  <w:noWrap w:val="0"/>
                  <w:vAlign w:val="center"/>
                </w:tcPr>
                <w:p w14:paraId="5153E704">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设置车辆冲洗平台，出场车辆必须进行清洗</w:t>
                  </w:r>
                </w:p>
              </w:tc>
              <w:tc>
                <w:tcPr>
                  <w:tcW w:w="499" w:type="pct"/>
                  <w:tcBorders>
                    <w:tl2br w:val="nil"/>
                    <w:tr2bl w:val="nil"/>
                  </w:tcBorders>
                  <w:noWrap w:val="0"/>
                  <w:vAlign w:val="center"/>
                </w:tcPr>
                <w:p w14:paraId="67F96230">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r>
            <w:tr w14:paraId="51D2F4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407" w:type="pct"/>
                  <w:vMerge w:val="restart"/>
                  <w:tcBorders>
                    <w:tl2br w:val="nil"/>
                    <w:tr2bl w:val="nil"/>
                  </w:tcBorders>
                  <w:noWrap w:val="0"/>
                  <w:vAlign w:val="center"/>
                </w:tcPr>
                <w:p w14:paraId="39DB7249">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r>
                    <w:rPr>
                      <w:rFonts w:hint="default" w:ascii="Times New Roman" w:hAnsi="Times New Roman" w:eastAsia="宋体"/>
                      <w:sz w:val="21"/>
                      <w:szCs w:val="21"/>
                    </w:rPr>
                    <w:t>废水</w:t>
                  </w:r>
                </w:p>
              </w:tc>
              <w:tc>
                <w:tcPr>
                  <w:tcW w:w="1000" w:type="pct"/>
                  <w:gridSpan w:val="2"/>
                  <w:tcBorders>
                    <w:tl2br w:val="nil"/>
                    <w:tr2bl w:val="nil"/>
                  </w:tcBorders>
                  <w:noWrap w:val="0"/>
                  <w:vAlign w:val="center"/>
                </w:tcPr>
                <w:p w14:paraId="45776AE6">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职工</w:t>
                  </w:r>
                </w:p>
              </w:tc>
              <w:tc>
                <w:tcPr>
                  <w:tcW w:w="3091" w:type="pct"/>
                  <w:tcBorders>
                    <w:tl2br w:val="nil"/>
                    <w:tr2bl w:val="nil"/>
                  </w:tcBorders>
                  <w:noWrap w:val="0"/>
                  <w:vAlign w:val="center"/>
                </w:tcPr>
                <w:p w14:paraId="39C3DECD">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环保厕所1座，定期清掏拉运处置</w:t>
                  </w:r>
                </w:p>
              </w:tc>
              <w:tc>
                <w:tcPr>
                  <w:tcW w:w="499" w:type="pct"/>
                  <w:vMerge w:val="restart"/>
                  <w:tcBorders>
                    <w:tl2br w:val="nil"/>
                    <w:tr2bl w:val="nil"/>
                  </w:tcBorders>
                  <w:noWrap w:val="0"/>
                  <w:vAlign w:val="center"/>
                </w:tcPr>
                <w:p w14:paraId="658657DB">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r>
            <w:tr w14:paraId="10BE66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407" w:type="pct"/>
                  <w:vMerge w:val="continue"/>
                  <w:tcBorders>
                    <w:tl2br w:val="nil"/>
                    <w:tr2bl w:val="nil"/>
                  </w:tcBorders>
                  <w:noWrap w:val="0"/>
                  <w:vAlign w:val="center"/>
                </w:tcPr>
                <w:p w14:paraId="0F1C5F15">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ascii="Times New Roman" w:hAnsi="Times New Roman" w:eastAsia="宋体"/>
                      <w:sz w:val="21"/>
                      <w:szCs w:val="21"/>
                    </w:rPr>
                  </w:pPr>
                </w:p>
              </w:tc>
              <w:tc>
                <w:tcPr>
                  <w:tcW w:w="1000" w:type="pct"/>
                  <w:gridSpan w:val="2"/>
                  <w:tcBorders>
                    <w:tl2br w:val="nil"/>
                    <w:tr2bl w:val="nil"/>
                  </w:tcBorders>
                  <w:noWrap w:val="0"/>
                  <w:vAlign w:val="center"/>
                </w:tcPr>
                <w:p w14:paraId="75F8DE1A">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车辆清洗</w:t>
                  </w:r>
                </w:p>
              </w:tc>
              <w:tc>
                <w:tcPr>
                  <w:tcW w:w="3091" w:type="pct"/>
                  <w:tcBorders>
                    <w:tl2br w:val="nil"/>
                    <w:tr2bl w:val="nil"/>
                  </w:tcBorders>
                  <w:noWrap w:val="0"/>
                  <w:vAlign w:val="center"/>
                </w:tcPr>
                <w:p w14:paraId="732F2775">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车辆冲洗平台+沉淀池</w:t>
                  </w:r>
                </w:p>
              </w:tc>
              <w:tc>
                <w:tcPr>
                  <w:tcW w:w="499" w:type="pct"/>
                  <w:vMerge w:val="continue"/>
                  <w:tcBorders>
                    <w:tl2br w:val="nil"/>
                    <w:tr2bl w:val="nil"/>
                  </w:tcBorders>
                  <w:noWrap w:val="0"/>
                  <w:vAlign w:val="center"/>
                </w:tcPr>
                <w:p w14:paraId="2DA4E327">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p>
              </w:tc>
            </w:tr>
            <w:tr w14:paraId="581B0A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407" w:type="pct"/>
                  <w:vMerge w:val="restart"/>
                  <w:tcBorders>
                    <w:tl2br w:val="nil"/>
                    <w:tr2bl w:val="nil"/>
                  </w:tcBorders>
                  <w:noWrap w:val="0"/>
                  <w:vAlign w:val="center"/>
                </w:tcPr>
                <w:p w14:paraId="116A4BAF">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r>
                    <w:rPr>
                      <w:rFonts w:hint="default" w:ascii="Times New Roman" w:hAnsi="Times New Roman" w:eastAsia="宋体"/>
                      <w:sz w:val="21"/>
                      <w:szCs w:val="21"/>
                    </w:rPr>
                    <w:t>固废</w:t>
                  </w:r>
                </w:p>
              </w:tc>
              <w:tc>
                <w:tcPr>
                  <w:tcW w:w="1000" w:type="pct"/>
                  <w:gridSpan w:val="2"/>
                  <w:tcBorders>
                    <w:tl2br w:val="nil"/>
                    <w:tr2bl w:val="nil"/>
                  </w:tcBorders>
                  <w:noWrap w:val="0"/>
                  <w:vAlign w:val="center"/>
                </w:tcPr>
                <w:p w14:paraId="21A24828">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表土、废石</w:t>
                  </w:r>
                </w:p>
              </w:tc>
              <w:tc>
                <w:tcPr>
                  <w:tcW w:w="3091" w:type="pct"/>
                  <w:tcBorders>
                    <w:tl2br w:val="nil"/>
                    <w:tr2bl w:val="nil"/>
                  </w:tcBorders>
                  <w:noWrap w:val="0"/>
                  <w:vAlign w:val="center"/>
                </w:tcPr>
                <w:p w14:paraId="3AA7FAEE">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eastAsia="宋体" w:cs="Times New Roman"/>
                      <w:color w:val="000000"/>
                      <w:sz w:val="21"/>
                      <w:szCs w:val="21"/>
                      <w:highlight w:val="none"/>
                      <w:lang w:val="en-US" w:eastAsia="zh-CN"/>
                    </w:rPr>
                    <w:t>表土单独存放于排土场，妥善保存，与废石分开堆放，用于后期植被恢复；废石堆放至排土场，用于后期回填</w:t>
                  </w:r>
                </w:p>
              </w:tc>
              <w:tc>
                <w:tcPr>
                  <w:tcW w:w="499" w:type="pct"/>
                  <w:tcBorders>
                    <w:tl2br w:val="nil"/>
                    <w:tr2bl w:val="nil"/>
                  </w:tcBorders>
                  <w:noWrap w:val="0"/>
                  <w:vAlign w:val="center"/>
                </w:tcPr>
                <w:p w14:paraId="43FF5C23">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r>
            <w:tr w14:paraId="2132E2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407" w:type="pct"/>
                  <w:vMerge w:val="continue"/>
                  <w:tcBorders>
                    <w:tl2br w:val="nil"/>
                    <w:tr2bl w:val="nil"/>
                  </w:tcBorders>
                  <w:noWrap w:val="0"/>
                  <w:vAlign w:val="center"/>
                </w:tcPr>
                <w:p w14:paraId="537DE678">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p>
              </w:tc>
              <w:tc>
                <w:tcPr>
                  <w:tcW w:w="1000" w:type="pct"/>
                  <w:gridSpan w:val="2"/>
                  <w:tcBorders>
                    <w:tl2br w:val="nil"/>
                    <w:tr2bl w:val="nil"/>
                  </w:tcBorders>
                  <w:noWrap w:val="0"/>
                  <w:vAlign w:val="center"/>
                </w:tcPr>
                <w:p w14:paraId="391A3EA5">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冲洗平台沉淀池污泥</w:t>
                  </w:r>
                </w:p>
              </w:tc>
              <w:tc>
                <w:tcPr>
                  <w:tcW w:w="3091" w:type="pct"/>
                  <w:tcBorders>
                    <w:tl2br w:val="nil"/>
                    <w:tr2bl w:val="nil"/>
                  </w:tcBorders>
                  <w:noWrap w:val="0"/>
                  <w:vAlign w:val="center"/>
                </w:tcPr>
                <w:p w14:paraId="3F0C44C9">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定期清掏至排土场，用于后期土地复垦回填</w:t>
                  </w:r>
                </w:p>
              </w:tc>
              <w:tc>
                <w:tcPr>
                  <w:tcW w:w="499" w:type="pct"/>
                  <w:tcBorders>
                    <w:tl2br w:val="nil"/>
                    <w:tr2bl w:val="nil"/>
                  </w:tcBorders>
                  <w:noWrap w:val="0"/>
                  <w:vAlign w:val="center"/>
                </w:tcPr>
                <w:p w14:paraId="191D90F3">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r>
            <w:tr w14:paraId="7B3948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407" w:type="pct"/>
                  <w:vMerge w:val="continue"/>
                  <w:tcBorders>
                    <w:tl2br w:val="nil"/>
                    <w:tr2bl w:val="nil"/>
                  </w:tcBorders>
                  <w:noWrap w:val="0"/>
                  <w:vAlign w:val="center"/>
                </w:tcPr>
                <w:p w14:paraId="2AB7EF5A">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p>
              </w:tc>
              <w:tc>
                <w:tcPr>
                  <w:tcW w:w="1000" w:type="pct"/>
                  <w:gridSpan w:val="2"/>
                  <w:tcBorders>
                    <w:tl2br w:val="nil"/>
                    <w:tr2bl w:val="nil"/>
                  </w:tcBorders>
                  <w:noWrap w:val="0"/>
                  <w:vAlign w:val="center"/>
                </w:tcPr>
                <w:p w14:paraId="35109821">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生活垃圾</w:t>
                  </w:r>
                </w:p>
              </w:tc>
              <w:tc>
                <w:tcPr>
                  <w:tcW w:w="3091" w:type="pct"/>
                  <w:tcBorders>
                    <w:tl2br w:val="nil"/>
                    <w:tr2bl w:val="nil"/>
                  </w:tcBorders>
                  <w:noWrap w:val="0"/>
                  <w:vAlign w:val="center"/>
                </w:tcPr>
                <w:p w14:paraId="2FFB7F34">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设置生活垃圾箱，由当地环卫部门统一清运</w:t>
                  </w:r>
                </w:p>
              </w:tc>
              <w:tc>
                <w:tcPr>
                  <w:tcW w:w="499" w:type="pct"/>
                  <w:tcBorders>
                    <w:tl2br w:val="nil"/>
                    <w:tr2bl w:val="nil"/>
                  </w:tcBorders>
                  <w:noWrap w:val="0"/>
                  <w:vAlign w:val="center"/>
                </w:tcPr>
                <w:p w14:paraId="3DCAF80A">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r>
                    <w:rPr>
                      <w:rFonts w:hint="default" w:ascii="Times New Roman" w:hAnsi="Times New Roman" w:eastAsia="宋体"/>
                      <w:sz w:val="21"/>
                      <w:szCs w:val="21"/>
                    </w:rPr>
                    <w:t>0.5</w:t>
                  </w:r>
                </w:p>
              </w:tc>
            </w:tr>
            <w:tr w14:paraId="38FF0F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407" w:type="pct"/>
                  <w:vMerge w:val="continue"/>
                  <w:tcBorders>
                    <w:tl2br w:val="nil"/>
                    <w:tr2bl w:val="nil"/>
                  </w:tcBorders>
                  <w:noWrap w:val="0"/>
                  <w:vAlign w:val="center"/>
                </w:tcPr>
                <w:p w14:paraId="1177FE66">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p>
              </w:tc>
              <w:tc>
                <w:tcPr>
                  <w:tcW w:w="1000" w:type="pct"/>
                  <w:gridSpan w:val="2"/>
                  <w:tcBorders>
                    <w:tl2br w:val="nil"/>
                    <w:tr2bl w:val="nil"/>
                  </w:tcBorders>
                  <w:noWrap w:val="0"/>
                  <w:vAlign w:val="center"/>
                </w:tcPr>
                <w:p w14:paraId="560A9DD1">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废机油和废机油桶</w:t>
                  </w:r>
                </w:p>
              </w:tc>
              <w:tc>
                <w:tcPr>
                  <w:tcW w:w="3091" w:type="pct"/>
                  <w:tcBorders>
                    <w:tl2br w:val="nil"/>
                    <w:tr2bl w:val="nil"/>
                  </w:tcBorders>
                  <w:noWrap w:val="0"/>
                  <w:vAlign w:val="center"/>
                </w:tcPr>
                <w:p w14:paraId="4D6998C4">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default" w:ascii="Times New Roman" w:hAnsi="Times New Roman" w:eastAsia="宋体"/>
                      <w:sz w:val="21"/>
                      <w:szCs w:val="21"/>
                    </w:rPr>
                    <w:t>设置</w:t>
                  </w:r>
                  <w:r>
                    <w:rPr>
                      <w:rFonts w:hint="eastAsia" w:ascii="Times New Roman" w:hAnsi="Times New Roman" w:eastAsia="宋体"/>
                      <w:sz w:val="21"/>
                      <w:szCs w:val="21"/>
                      <w:lang w:eastAsia="zh-CN"/>
                    </w:rPr>
                    <w:t>危险废物贮存库</w:t>
                  </w:r>
                  <w:r>
                    <w:rPr>
                      <w:rFonts w:hint="default" w:ascii="Times New Roman" w:hAnsi="Times New Roman" w:eastAsia="宋体"/>
                      <w:sz w:val="21"/>
                      <w:szCs w:val="21"/>
                    </w:rPr>
                    <w:t>，</w:t>
                  </w:r>
                  <w:r>
                    <w:rPr>
                      <w:rFonts w:hint="default" w:ascii="Times New Roman" w:hAnsi="Times New Roman" w:eastAsia="宋体"/>
                      <w:sz w:val="21"/>
                      <w:szCs w:val="21"/>
                      <w:lang w:eastAsia="zh-CN"/>
                    </w:rPr>
                    <w:t>约为</w:t>
                  </w:r>
                  <w:r>
                    <w:rPr>
                      <w:rFonts w:hint="default" w:ascii="Times New Roman" w:hAnsi="Times New Roman" w:eastAsia="宋体"/>
                      <w:sz w:val="21"/>
                      <w:szCs w:val="21"/>
                      <w:lang w:val="en-US" w:eastAsia="zh-CN"/>
                    </w:rPr>
                    <w:t>10m</w:t>
                  </w:r>
                  <w:r>
                    <w:rPr>
                      <w:rFonts w:hint="default" w:ascii="Times New Roman" w:hAnsi="Times New Roman" w:eastAsia="宋体"/>
                      <w:sz w:val="21"/>
                      <w:szCs w:val="21"/>
                      <w:vertAlign w:val="superscript"/>
                      <w:lang w:val="en-US" w:eastAsia="zh-CN"/>
                    </w:rPr>
                    <w:t>3</w:t>
                  </w:r>
                  <w:r>
                    <w:rPr>
                      <w:rFonts w:hint="eastAsia" w:ascii="Times New Roman" w:hAnsi="Times New Roman" w:eastAsia="宋体"/>
                      <w:sz w:val="21"/>
                      <w:szCs w:val="21"/>
                      <w:vertAlign w:val="baseline"/>
                      <w:lang w:val="en-US" w:eastAsia="zh-CN"/>
                    </w:rPr>
                    <w:t>，定期交由有资质的单位进行处置</w:t>
                  </w:r>
                </w:p>
              </w:tc>
              <w:tc>
                <w:tcPr>
                  <w:tcW w:w="499" w:type="pct"/>
                  <w:tcBorders>
                    <w:tl2br w:val="nil"/>
                    <w:tr2bl w:val="nil"/>
                  </w:tcBorders>
                  <w:noWrap w:val="0"/>
                  <w:vAlign w:val="center"/>
                </w:tcPr>
                <w:p w14:paraId="238D3BD7">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14:paraId="413EC4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3" w:hRule="atLeast"/>
                <w:jc w:val="center"/>
              </w:trPr>
              <w:tc>
                <w:tcPr>
                  <w:tcW w:w="407" w:type="pct"/>
                  <w:tcBorders>
                    <w:tl2br w:val="nil"/>
                    <w:tr2bl w:val="nil"/>
                  </w:tcBorders>
                  <w:noWrap w:val="0"/>
                  <w:vAlign w:val="center"/>
                </w:tcPr>
                <w:p w14:paraId="2C97D829">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r>
                    <w:rPr>
                      <w:rFonts w:hint="default" w:ascii="Times New Roman" w:hAnsi="Times New Roman" w:eastAsia="宋体"/>
                      <w:sz w:val="21"/>
                      <w:szCs w:val="21"/>
                    </w:rPr>
                    <w:t>噪声</w:t>
                  </w:r>
                </w:p>
              </w:tc>
              <w:tc>
                <w:tcPr>
                  <w:tcW w:w="1000" w:type="pct"/>
                  <w:gridSpan w:val="2"/>
                  <w:tcBorders>
                    <w:tl2br w:val="nil"/>
                    <w:tr2bl w:val="nil"/>
                  </w:tcBorders>
                  <w:noWrap w:val="0"/>
                  <w:vAlign w:val="center"/>
                </w:tcPr>
                <w:p w14:paraId="25E008E2">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机械设备</w:t>
                  </w:r>
                </w:p>
              </w:tc>
              <w:tc>
                <w:tcPr>
                  <w:tcW w:w="3091" w:type="pct"/>
                  <w:tcBorders>
                    <w:tl2br w:val="nil"/>
                    <w:tr2bl w:val="nil"/>
                  </w:tcBorders>
                  <w:noWrap w:val="0"/>
                  <w:vAlign w:val="center"/>
                </w:tcPr>
                <w:p w14:paraId="34B037F6">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eastAsia="zh-CN"/>
                    </w:rPr>
                  </w:pPr>
                  <w:r>
                    <w:rPr>
                      <w:rFonts w:hint="eastAsia" w:ascii="Times New Roman" w:hAnsi="Times New Roman" w:eastAsia="宋体"/>
                      <w:sz w:val="21"/>
                      <w:szCs w:val="21"/>
                    </w:rPr>
                    <w:t>基础减振、定期维修</w:t>
                  </w:r>
                </w:p>
              </w:tc>
              <w:tc>
                <w:tcPr>
                  <w:tcW w:w="499" w:type="pct"/>
                  <w:tcBorders>
                    <w:tl2br w:val="nil"/>
                    <w:tr2bl w:val="nil"/>
                  </w:tcBorders>
                  <w:noWrap w:val="0"/>
                  <w:vAlign w:val="center"/>
                </w:tcPr>
                <w:p w14:paraId="188A5F19">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rPr>
                  </w:pPr>
                  <w:r>
                    <w:rPr>
                      <w:rFonts w:hint="eastAsia" w:ascii="Times New Roman" w:hAnsi="Times New Roman" w:eastAsia="宋体"/>
                      <w:sz w:val="21"/>
                      <w:szCs w:val="21"/>
                      <w:lang w:val="en-US" w:eastAsia="zh-CN"/>
                    </w:rPr>
                    <w:t>5.0</w:t>
                  </w:r>
                </w:p>
              </w:tc>
            </w:tr>
            <w:tr w14:paraId="4B889F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3" w:hRule="atLeast"/>
                <w:jc w:val="center"/>
              </w:trPr>
              <w:tc>
                <w:tcPr>
                  <w:tcW w:w="407" w:type="pct"/>
                  <w:vMerge w:val="restart"/>
                  <w:tcBorders>
                    <w:tl2br w:val="nil"/>
                    <w:tr2bl w:val="nil"/>
                  </w:tcBorders>
                  <w:noWrap w:val="0"/>
                  <w:vAlign w:val="center"/>
                </w:tcPr>
                <w:p w14:paraId="205CCDFE">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生态</w:t>
                  </w:r>
                </w:p>
              </w:tc>
              <w:tc>
                <w:tcPr>
                  <w:tcW w:w="1000" w:type="pct"/>
                  <w:gridSpan w:val="2"/>
                  <w:tcBorders>
                    <w:tl2br w:val="nil"/>
                    <w:tr2bl w:val="nil"/>
                  </w:tcBorders>
                  <w:noWrap w:val="0"/>
                  <w:vAlign w:val="center"/>
                </w:tcPr>
                <w:p w14:paraId="636F38ED">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施工期</w:t>
                  </w:r>
                </w:p>
              </w:tc>
              <w:tc>
                <w:tcPr>
                  <w:tcW w:w="3091" w:type="pct"/>
                  <w:tcBorders>
                    <w:tl2br w:val="nil"/>
                    <w:tr2bl w:val="nil"/>
                  </w:tcBorders>
                  <w:noWrap w:val="0"/>
                  <w:vAlign w:val="center"/>
                </w:tcPr>
                <w:p w14:paraId="224B6C19">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olor w:val="000000"/>
                      <w:sz w:val="21"/>
                    </w:rPr>
                    <w:t>矿区运输道路两侧修建导排水沟、露天开采区周边修建雨水截洪沟；矿山坡脚沿边以及生活用房周边修建雨水收集沟；施工期结束后，对生活区、</w:t>
                  </w:r>
                  <w:r>
                    <w:rPr>
                      <w:rFonts w:hint="eastAsia" w:ascii="Times New Roman" w:hAnsi="Times New Roman" w:eastAsia="宋体"/>
                      <w:color w:val="000000"/>
                      <w:sz w:val="21"/>
                      <w:lang w:val="en-US" w:eastAsia="zh-CN"/>
                    </w:rPr>
                    <w:t>开采</w:t>
                  </w:r>
                  <w:r>
                    <w:rPr>
                      <w:rFonts w:hint="eastAsia" w:ascii="Times New Roman" w:hAnsi="Times New Roman" w:eastAsia="宋体"/>
                      <w:color w:val="000000"/>
                      <w:sz w:val="21"/>
                    </w:rPr>
                    <w:t>区、矿区道路沿线等造成的临时占地进行</w:t>
                  </w:r>
                  <w:r>
                    <w:rPr>
                      <w:rFonts w:hint="eastAsia" w:ascii="Times New Roman" w:hAnsi="Times New Roman" w:eastAsia="宋体"/>
                      <w:color w:val="000000"/>
                      <w:sz w:val="21"/>
                      <w:lang w:val="en-US" w:eastAsia="zh-CN"/>
                    </w:rPr>
                    <w:t>恢复</w:t>
                  </w:r>
                </w:p>
              </w:tc>
              <w:tc>
                <w:tcPr>
                  <w:tcW w:w="499" w:type="pct"/>
                  <w:tcBorders>
                    <w:tl2br w:val="nil"/>
                    <w:tr2bl w:val="nil"/>
                  </w:tcBorders>
                  <w:noWrap w:val="0"/>
                  <w:vAlign w:val="center"/>
                </w:tcPr>
                <w:p w14:paraId="017B58A1">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r>
            <w:tr w14:paraId="6E2CF4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3" w:hRule="atLeast"/>
                <w:jc w:val="center"/>
              </w:trPr>
              <w:tc>
                <w:tcPr>
                  <w:tcW w:w="407" w:type="pct"/>
                  <w:vMerge w:val="continue"/>
                  <w:tcBorders>
                    <w:tl2br w:val="nil"/>
                    <w:tr2bl w:val="nil"/>
                  </w:tcBorders>
                  <w:noWrap w:val="0"/>
                  <w:vAlign w:val="center"/>
                </w:tcPr>
                <w:p w14:paraId="47673618">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p>
              </w:tc>
              <w:tc>
                <w:tcPr>
                  <w:tcW w:w="1000" w:type="pct"/>
                  <w:gridSpan w:val="2"/>
                  <w:tcBorders>
                    <w:tl2br w:val="nil"/>
                    <w:tr2bl w:val="nil"/>
                  </w:tcBorders>
                  <w:noWrap w:val="0"/>
                  <w:vAlign w:val="center"/>
                </w:tcPr>
                <w:p w14:paraId="777CA9FC">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运营期</w:t>
                  </w:r>
                </w:p>
              </w:tc>
              <w:tc>
                <w:tcPr>
                  <w:tcW w:w="3091" w:type="pct"/>
                  <w:tcBorders>
                    <w:tl2br w:val="nil"/>
                    <w:tr2bl w:val="nil"/>
                  </w:tcBorders>
                  <w:noWrap w:val="0"/>
                  <w:vAlign w:val="center"/>
                </w:tcPr>
                <w:p w14:paraId="5ADDEFB9">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olor w:val="000000"/>
                      <w:sz w:val="21"/>
                    </w:rPr>
                    <w:t>每个开采平台上设置雨水收集沟；不定期对出场运输道路不平整的路面进行平整铺填以及压实处理；及时清理滚落碎石避免对周边草地的占压影响；采取“边开采边恢复”的措施</w:t>
                  </w:r>
                  <w:r>
                    <w:rPr>
                      <w:rFonts w:hint="eastAsia"/>
                      <w:color w:val="000000"/>
                      <w:sz w:val="21"/>
                      <w:lang w:eastAsia="zh-CN"/>
                    </w:rPr>
                    <w:t>；</w:t>
                  </w:r>
                  <w:r>
                    <w:rPr>
                      <w:rFonts w:hint="eastAsia" w:ascii="Times New Roman" w:hAnsi="Times New Roman" w:eastAsia="宋体"/>
                      <w:color w:val="FF0000"/>
                      <w:sz w:val="21"/>
                    </w:rPr>
                    <w:t>采场</w:t>
                  </w:r>
                  <w:r>
                    <w:rPr>
                      <w:rFonts w:ascii="Times New Roman" w:hAnsi="Times New Roman" w:eastAsia="宋体"/>
                      <w:color w:val="FF0000"/>
                      <w:sz w:val="21"/>
                    </w:rPr>
                    <w:t>矿区周围拉网围栏圈围，网围栏高度不低于1.5m；采场底部、顶部设立警示牌</w:t>
                  </w:r>
                  <w:r>
                    <w:rPr>
                      <w:rFonts w:hint="eastAsia" w:ascii="Times New Roman" w:hAnsi="Times New Roman" w:eastAsia="宋体"/>
                      <w:color w:val="FF0000"/>
                      <w:sz w:val="21"/>
                    </w:rPr>
                    <w:t>；</w:t>
                  </w:r>
                  <w:r>
                    <w:rPr>
                      <w:rFonts w:ascii="Times New Roman" w:hAnsi="Times New Roman" w:eastAsia="宋体"/>
                      <w:color w:val="FF0000"/>
                      <w:sz w:val="21"/>
                    </w:rPr>
                    <w:t>露天采场顶级平台后缘处设置排泄通畅的截洪沟</w:t>
                  </w:r>
                  <w:r>
                    <w:rPr>
                      <w:rFonts w:hint="eastAsia" w:ascii="Times New Roman" w:hAnsi="Times New Roman" w:eastAsia="宋体"/>
                      <w:color w:val="FF0000"/>
                      <w:sz w:val="21"/>
                    </w:rPr>
                    <w:t>，</w:t>
                  </w:r>
                  <w:r>
                    <w:rPr>
                      <w:rFonts w:ascii="Times New Roman" w:hAnsi="Times New Roman" w:eastAsia="宋体"/>
                      <w:color w:val="FF0000"/>
                      <w:sz w:val="21"/>
                    </w:rPr>
                    <w:t>采场底端边坡角处设置导排水沟</w:t>
                  </w:r>
                </w:p>
              </w:tc>
              <w:tc>
                <w:tcPr>
                  <w:tcW w:w="499" w:type="pct"/>
                  <w:tcBorders>
                    <w:tl2br w:val="nil"/>
                    <w:tr2bl w:val="nil"/>
                  </w:tcBorders>
                  <w:noWrap w:val="0"/>
                  <w:vAlign w:val="center"/>
                </w:tcPr>
                <w:p w14:paraId="0CC687C0">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sz w:val="21"/>
                      <w:szCs w:val="21"/>
                      <w:lang w:val="en-US" w:eastAsia="zh-CN"/>
                    </w:rPr>
                    <w:t>10</w:t>
                  </w:r>
                  <w:r>
                    <w:rPr>
                      <w:rFonts w:hint="eastAsia" w:ascii="Times New Roman" w:hAnsi="Times New Roman" w:eastAsia="宋体"/>
                      <w:sz w:val="21"/>
                      <w:szCs w:val="21"/>
                      <w:lang w:val="en-US" w:eastAsia="zh-CN"/>
                    </w:rPr>
                    <w:t>.0</w:t>
                  </w:r>
                </w:p>
              </w:tc>
            </w:tr>
            <w:tr w14:paraId="4B90E7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55" w:hRule="atLeast"/>
                <w:jc w:val="center"/>
              </w:trPr>
              <w:tc>
                <w:tcPr>
                  <w:tcW w:w="407" w:type="pct"/>
                  <w:vMerge w:val="continue"/>
                  <w:tcBorders>
                    <w:tl2br w:val="nil"/>
                    <w:tr2bl w:val="nil"/>
                  </w:tcBorders>
                  <w:noWrap w:val="0"/>
                  <w:vAlign w:val="center"/>
                </w:tcPr>
                <w:p w14:paraId="3051A1C0">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sz w:val="21"/>
                      <w:szCs w:val="21"/>
                      <w:lang w:val="en-US" w:eastAsia="zh-CN"/>
                    </w:rPr>
                  </w:pPr>
                </w:p>
              </w:tc>
              <w:tc>
                <w:tcPr>
                  <w:tcW w:w="1000" w:type="pct"/>
                  <w:gridSpan w:val="2"/>
                  <w:tcBorders>
                    <w:tl2br w:val="nil"/>
                    <w:tr2bl w:val="nil"/>
                  </w:tcBorders>
                  <w:noWrap w:val="0"/>
                  <w:vAlign w:val="center"/>
                </w:tcPr>
                <w:p w14:paraId="56E7445E">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服务期满</w:t>
                  </w:r>
                </w:p>
                <w:p w14:paraId="70068772">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eastAsia" w:ascii="Times New Roman" w:hAnsi="Times New Roman" w:eastAsia="宋体" w:cs="Times New Roman"/>
                      <w:color w:val="000000"/>
                      <w:sz w:val="21"/>
                      <w:lang w:val="en-US" w:eastAsia="zh-CN"/>
                    </w:rPr>
                  </w:pPr>
                  <w:r>
                    <w:rPr>
                      <w:rFonts w:hint="default" w:ascii="Times New Roman" w:hAnsi="Times New Roman" w:eastAsia="宋体" w:cs="Times New Roman"/>
                      <w:color w:val="000000"/>
                      <w:sz w:val="21"/>
                    </w:rPr>
                    <w:t>生态</w:t>
                  </w:r>
                  <w:r>
                    <w:rPr>
                      <w:rFonts w:hint="default" w:ascii="Times New Roman" w:hAnsi="Times New Roman" w:eastAsia="宋体" w:cs="Times New Roman"/>
                      <w:color w:val="000000"/>
                      <w:sz w:val="21"/>
                      <w:lang w:eastAsia="zh-CN"/>
                    </w:rPr>
                    <w:t>恢复</w:t>
                  </w:r>
                </w:p>
              </w:tc>
              <w:tc>
                <w:tcPr>
                  <w:tcW w:w="3091" w:type="pct"/>
                  <w:tcBorders>
                    <w:tl2br w:val="nil"/>
                    <w:tr2bl w:val="nil"/>
                  </w:tcBorders>
                  <w:noWrap w:val="0"/>
                  <w:vAlign w:val="center"/>
                </w:tcPr>
                <w:p w14:paraId="289D3A2C">
                  <w:pPr>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sz w:val="21"/>
                      <w:szCs w:val="21"/>
                      <w:lang w:val="en-US" w:eastAsia="zh-CN"/>
                    </w:rPr>
                    <w:t>矿区恢复为天然牧草地和灌木林地，采用撒播草籽的方式进行植被恢复，种子选取垂穗披碱草、同德小花碱茅、青海冷地早熟禾和扁穗冰草，灌木种选用金露梅，</w:t>
                  </w:r>
                  <w:r>
                    <w:rPr>
                      <w:rFonts w:hint="default" w:ascii="Times New Roman" w:hAnsi="Times New Roman" w:eastAsia="宋体" w:cs="Times New Roman"/>
                      <w:sz w:val="21"/>
                      <w:szCs w:val="21"/>
                      <w:lang w:val="en-US" w:eastAsia="zh-CN"/>
                    </w:rPr>
                    <w:t>台阶坡面进行平整，</w:t>
                  </w:r>
                  <w:r>
                    <w:rPr>
                      <w:rFonts w:hint="eastAsia" w:ascii="Times New Roman" w:hAnsi="Times New Roman" w:eastAsia="宋体" w:cs="Times New Roman"/>
                      <w:sz w:val="21"/>
                      <w:szCs w:val="21"/>
                      <w:lang w:val="en-US" w:eastAsia="zh-CN"/>
                    </w:rPr>
                    <w:t>剥离的表土用作采空区回填覆土，</w:t>
                  </w:r>
                  <w:r>
                    <w:rPr>
                      <w:rFonts w:hint="default" w:ascii="Times New Roman" w:hAnsi="Times New Roman" w:eastAsia="宋体" w:cs="Times New Roman"/>
                      <w:sz w:val="21"/>
                      <w:szCs w:val="21"/>
                      <w:lang w:val="en-US" w:eastAsia="zh-CN"/>
                    </w:rPr>
                    <w:t>覆土</w:t>
                  </w:r>
                  <w:r>
                    <w:rPr>
                      <w:rFonts w:hint="eastAsia" w:ascii="Times New Roman" w:hAnsi="Times New Roman" w:eastAsia="宋体" w:cs="Times New Roman"/>
                      <w:sz w:val="21"/>
                      <w:szCs w:val="21"/>
                      <w:lang w:val="en-US" w:eastAsia="zh-CN"/>
                    </w:rPr>
                    <w:t>厚度</w:t>
                  </w:r>
                  <w:r>
                    <w:rPr>
                      <w:rFonts w:hint="default" w:ascii="Times New Roman" w:hAnsi="Times New Roman" w:eastAsia="宋体" w:cs="Times New Roman"/>
                      <w:sz w:val="21"/>
                      <w:szCs w:val="21"/>
                      <w:lang w:val="en-US" w:eastAsia="zh-CN"/>
                    </w:rPr>
                    <w:t>约2</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cm，采用生</w:t>
                  </w:r>
                  <w:r>
                    <w:rPr>
                      <w:rFonts w:hint="eastAsia" w:ascii="Times New Roman" w:hAnsi="Times New Roman" w:eastAsia="宋体" w:cs="Times New Roman"/>
                      <w:sz w:val="21"/>
                      <w:szCs w:val="21"/>
                      <w:lang w:val="en-US" w:eastAsia="zh-CN"/>
                    </w:rPr>
                    <w:t>态</w:t>
                  </w:r>
                  <w:r>
                    <w:rPr>
                      <w:rFonts w:hint="default" w:ascii="Times New Roman" w:hAnsi="Times New Roman" w:eastAsia="宋体" w:cs="Times New Roman"/>
                      <w:sz w:val="21"/>
                      <w:szCs w:val="21"/>
                      <w:lang w:val="en-US" w:eastAsia="zh-CN"/>
                    </w:rPr>
                    <w:t>袋</w:t>
                  </w:r>
                  <w:r>
                    <w:rPr>
                      <w:rFonts w:hint="eastAsia" w:ascii="Times New Roman" w:hAnsi="Times New Roman" w:eastAsia="宋体" w:cs="Times New Roman"/>
                      <w:sz w:val="21"/>
                      <w:szCs w:val="21"/>
                      <w:lang w:val="en-US" w:eastAsia="zh-CN"/>
                    </w:rPr>
                    <w:t>、植草袋等</w:t>
                  </w:r>
                  <w:r>
                    <w:rPr>
                      <w:rFonts w:hint="default" w:ascii="Times New Roman" w:hAnsi="Times New Roman" w:eastAsia="宋体" w:cs="Times New Roman"/>
                      <w:sz w:val="21"/>
                      <w:szCs w:val="21"/>
                      <w:lang w:val="en-US" w:eastAsia="zh-CN"/>
                    </w:rPr>
                    <w:t>进行治理</w:t>
                  </w:r>
                  <w:r>
                    <w:rPr>
                      <w:rFonts w:hint="eastAsia" w:ascii="Times New Roman" w:hAnsi="Times New Roman" w:cs="Times New Roman"/>
                      <w:sz w:val="21"/>
                      <w:szCs w:val="21"/>
                      <w:lang w:val="en-US" w:eastAsia="zh-CN"/>
                    </w:rPr>
                    <w:t>；</w:t>
                  </w:r>
                  <w:r>
                    <w:rPr>
                      <w:rFonts w:hint="eastAsia" w:ascii="Times New Roman" w:hAnsi="Times New Roman" w:eastAsia="宋体"/>
                      <w:sz w:val="21"/>
                      <w:szCs w:val="21"/>
                      <w:lang w:val="en-US" w:eastAsia="zh-CN"/>
                    </w:rPr>
                    <w:t>对整个矿山道路进行平整并覆土撒播草种，道路内侧沿边留设导排水沟</w:t>
                  </w:r>
                  <w:r>
                    <w:rPr>
                      <w:rFonts w:hint="eastAsia" w:ascii="Times New Roman" w:hAnsi="Times New Roman"/>
                      <w:sz w:val="21"/>
                      <w:szCs w:val="21"/>
                      <w:lang w:val="en-US" w:eastAsia="zh-CN"/>
                    </w:rPr>
                    <w:t>；</w:t>
                  </w:r>
                  <w:r>
                    <w:rPr>
                      <w:rFonts w:ascii="Times New Roman" w:hAnsi="Times New Roman" w:eastAsia="宋体"/>
                      <w:color w:val="000000"/>
                      <w:sz w:val="21"/>
                    </w:rPr>
                    <w:t>办公生活区建筑物、硬化地板等</w:t>
                  </w:r>
                  <w:r>
                    <w:rPr>
                      <w:rFonts w:hint="eastAsia" w:ascii="Times New Roman" w:hAnsi="Times New Roman" w:eastAsia="宋体"/>
                      <w:color w:val="000000"/>
                      <w:sz w:val="21"/>
                    </w:rPr>
                    <w:t>全部</w:t>
                  </w:r>
                  <w:r>
                    <w:rPr>
                      <w:rFonts w:ascii="Times New Roman" w:hAnsi="Times New Roman" w:eastAsia="宋体"/>
                      <w:color w:val="000000"/>
                      <w:sz w:val="21"/>
                    </w:rPr>
                    <w:t>设施及时拆除，</w:t>
                  </w:r>
                  <w:r>
                    <w:rPr>
                      <w:rFonts w:hint="eastAsia" w:ascii="Times New Roman" w:hAnsi="Times New Roman" w:eastAsia="宋体"/>
                      <w:color w:val="000000"/>
                      <w:sz w:val="21"/>
                    </w:rPr>
                    <w:t>占用地面</w:t>
                  </w:r>
                  <w:r>
                    <w:rPr>
                      <w:rFonts w:ascii="Times New Roman" w:hAnsi="Times New Roman" w:eastAsia="宋体"/>
                      <w:color w:val="000000"/>
                      <w:sz w:val="21"/>
                    </w:rPr>
                    <w:t>翻松平整，</w:t>
                  </w:r>
                  <w:r>
                    <w:rPr>
                      <w:rFonts w:hint="eastAsia" w:ascii="Times New Roman" w:hAnsi="Times New Roman" w:eastAsia="宋体"/>
                      <w:color w:val="000000"/>
                      <w:sz w:val="21"/>
                    </w:rPr>
                    <w:t>然后覆土恢复植被</w:t>
                  </w:r>
                  <w:r>
                    <w:rPr>
                      <w:rFonts w:hint="eastAsia" w:ascii="Times New Roman" w:hAnsi="Times New Roman"/>
                      <w:color w:val="000000"/>
                      <w:sz w:val="21"/>
                      <w:lang w:eastAsia="zh-CN"/>
                    </w:rPr>
                    <w:t>；</w:t>
                  </w:r>
                  <w:r>
                    <w:rPr>
                      <w:rFonts w:hint="eastAsia" w:ascii="Times New Roman" w:hAnsi="Times New Roman" w:eastAsia="宋体" w:cs="Times New Roman"/>
                      <w:color w:val="000000"/>
                      <w:sz w:val="21"/>
                      <w:lang w:val="en-US" w:eastAsia="zh-CN"/>
                    </w:rPr>
                    <w:t>开采区</w:t>
                  </w:r>
                  <w:r>
                    <w:rPr>
                      <w:rFonts w:hint="eastAsia" w:ascii="Times New Roman" w:hAnsi="Times New Roman" w:eastAsia="宋体" w:cs="Times New Roman"/>
                      <w:color w:val="000000"/>
                      <w:sz w:val="21"/>
                    </w:rPr>
                    <w:t>建筑物等全部设施及时拆除，占用地面翻松平整，然后覆土恢复植被</w:t>
                  </w:r>
                  <w:r>
                    <w:rPr>
                      <w:rFonts w:hint="eastAsia" w:ascii="Times New Roman" w:hAnsi="Times New Roman" w:eastAsia="宋体" w:cs="Times New Roman"/>
                      <w:color w:val="000000"/>
                      <w:sz w:val="21"/>
                      <w:lang w:eastAsia="zh-CN"/>
                    </w:rPr>
                    <w:t>；</w:t>
                  </w:r>
                  <w:r>
                    <w:rPr>
                      <w:rFonts w:hint="eastAsia" w:ascii="Times New Roman" w:hAnsi="Times New Roman" w:eastAsia="宋体" w:cs="Times New Roman"/>
                      <w:color w:val="000000"/>
                      <w:sz w:val="21"/>
                    </w:rPr>
                    <w:t>排土场占地平整翻松，并覆土后恢复植被。</w:t>
                  </w:r>
                  <w:r>
                    <w:rPr>
                      <w:rFonts w:hint="default" w:ascii="Times New Roman" w:hAnsi="Times New Roman" w:eastAsia="宋体" w:cs="Times New Roman"/>
                      <w:color w:val="000000"/>
                      <w:sz w:val="21"/>
                      <w:lang w:val="en-US" w:eastAsia="zh-CN"/>
                    </w:rPr>
                    <w:t>根据项目区植被分布、生长情况，</w:t>
                  </w:r>
                  <w:r>
                    <w:rPr>
                      <w:rFonts w:hint="eastAsia" w:ascii="Times New Roman" w:hAnsi="Times New Roman" w:eastAsia="宋体" w:cs="Times New Roman"/>
                      <w:color w:val="000000"/>
                      <w:sz w:val="21"/>
                      <w:lang w:val="en-US" w:eastAsia="zh-CN"/>
                    </w:rPr>
                    <w:t>已编制《矿山地质环境保护与土地复垦方案》，</w:t>
                  </w:r>
                  <w:r>
                    <w:rPr>
                      <w:rFonts w:hint="default" w:ascii="Times New Roman" w:hAnsi="Times New Roman" w:eastAsia="宋体" w:cs="Times New Roman"/>
                      <w:color w:val="0000FC"/>
                      <w:sz w:val="21"/>
                      <w:lang w:val="en-US" w:eastAsia="zh-CN"/>
                    </w:rPr>
                    <w:t>进行</w:t>
                  </w:r>
                  <w:r>
                    <w:rPr>
                      <w:rFonts w:hint="eastAsia" w:cs="Times New Roman"/>
                      <w:color w:val="0000FC"/>
                      <w:sz w:val="21"/>
                      <w:lang w:val="en-US" w:eastAsia="zh-CN"/>
                    </w:rPr>
                    <w:t>覆土后</w:t>
                  </w:r>
                  <w:r>
                    <w:rPr>
                      <w:rFonts w:hint="eastAsia" w:ascii="Times New Roman" w:hAnsi="Times New Roman" w:eastAsia="宋体" w:cs="Times New Roman"/>
                      <w:color w:val="0000FC"/>
                      <w:sz w:val="21"/>
                      <w:lang w:val="en-US" w:eastAsia="zh-CN"/>
                    </w:rPr>
                    <w:t>草籽</w:t>
                  </w:r>
                  <w:r>
                    <w:rPr>
                      <w:rFonts w:hint="default" w:ascii="Times New Roman" w:hAnsi="Times New Roman" w:eastAsia="宋体" w:cs="Times New Roman"/>
                      <w:color w:val="0000FC"/>
                      <w:sz w:val="21"/>
                      <w:lang w:val="en-US" w:eastAsia="zh-CN"/>
                    </w:rPr>
                    <w:t>播</w:t>
                  </w:r>
                  <w:r>
                    <w:rPr>
                      <w:rFonts w:hint="eastAsia" w:ascii="Times New Roman" w:hAnsi="Times New Roman" w:eastAsia="宋体" w:cs="Times New Roman"/>
                      <w:color w:val="0000FC"/>
                      <w:sz w:val="21"/>
                      <w:lang w:val="en-US" w:eastAsia="zh-CN"/>
                    </w:rPr>
                    <w:t>种</w:t>
                  </w:r>
                  <w:r>
                    <w:rPr>
                      <w:rFonts w:hint="default" w:ascii="Times New Roman" w:hAnsi="Times New Roman" w:eastAsia="宋体" w:cs="Times New Roman"/>
                      <w:color w:val="0000FC"/>
                      <w:sz w:val="21"/>
                      <w:lang w:eastAsia="zh-CN"/>
                    </w:rPr>
                    <w:t>，</w:t>
                  </w:r>
                  <w:r>
                    <w:rPr>
                      <w:rFonts w:hint="default" w:ascii="Times New Roman" w:hAnsi="Times New Roman" w:eastAsia="宋体" w:cs="Times New Roman"/>
                      <w:color w:val="0000FC"/>
                      <w:sz w:val="21"/>
                      <w:lang w:val="en-US" w:eastAsia="zh-CN"/>
                    </w:rPr>
                    <w:t>撒播植草完成之后，定期进行养护，并保证其成活率</w:t>
                  </w:r>
                  <w:r>
                    <w:rPr>
                      <w:rFonts w:hint="eastAsia" w:cs="Times New Roman"/>
                      <w:color w:val="0000FC"/>
                      <w:sz w:val="21"/>
                      <w:lang w:val="en-US" w:eastAsia="zh-CN"/>
                    </w:rPr>
                    <w:t>，使植被覆盖率达到55%以上，满足环保要求，与周边景观相协调</w:t>
                  </w:r>
                </w:p>
              </w:tc>
              <w:tc>
                <w:tcPr>
                  <w:tcW w:w="499" w:type="pct"/>
                  <w:tcBorders>
                    <w:tl2br w:val="nil"/>
                    <w:tr2bl w:val="nil"/>
                  </w:tcBorders>
                  <w:noWrap w:val="0"/>
                  <w:vAlign w:val="center"/>
                </w:tcPr>
                <w:p w14:paraId="10D32AB7">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50</w:t>
                  </w:r>
                </w:p>
              </w:tc>
            </w:tr>
            <w:tr w14:paraId="38A36C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4500" w:type="pct"/>
                  <w:gridSpan w:val="4"/>
                  <w:tcBorders>
                    <w:tl2br w:val="nil"/>
                    <w:tr2bl w:val="nil"/>
                  </w:tcBorders>
                  <w:noWrap w:val="0"/>
                  <w:vAlign w:val="center"/>
                </w:tcPr>
                <w:p w14:paraId="1DF04E89">
                  <w:pPr>
                    <w:pStyle w:val="49"/>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rPr>
                  </w:pPr>
                  <w:r>
                    <w:rPr>
                      <w:rFonts w:hint="default" w:ascii="Times New Roman" w:hAnsi="Times New Roman" w:eastAsia="宋体"/>
                      <w:sz w:val="21"/>
                      <w:szCs w:val="21"/>
                    </w:rPr>
                    <w:t>总计</w:t>
                  </w:r>
                </w:p>
              </w:tc>
              <w:tc>
                <w:tcPr>
                  <w:tcW w:w="499" w:type="pct"/>
                  <w:tcBorders>
                    <w:tl2br w:val="nil"/>
                    <w:tr2bl w:val="nil"/>
                  </w:tcBorders>
                  <w:noWrap w:val="0"/>
                  <w:vAlign w:val="center"/>
                </w:tcPr>
                <w:p w14:paraId="33BD521F">
                  <w:pPr>
                    <w:keepNext w:val="0"/>
                    <w:keepLines w:val="0"/>
                    <w:pageBreakBefore w:val="0"/>
                    <w:kinsoku/>
                    <w:wordWrap/>
                    <w:overflowPunct/>
                    <w:topLinePunct w:val="0"/>
                    <w:autoSpaceDE/>
                    <w:autoSpaceDN/>
                    <w:bidi w:val="0"/>
                    <w:adjustRightInd/>
                    <w:snapToGrid/>
                    <w:spacing w:beforeAutospacing="0" w:afterAutospacing="0" w:line="288"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w:t>
                  </w:r>
                  <w:r>
                    <w:rPr>
                      <w:rFonts w:hint="eastAsia"/>
                      <w:sz w:val="21"/>
                      <w:szCs w:val="21"/>
                      <w:lang w:val="en-US" w:eastAsia="zh-CN"/>
                    </w:rPr>
                    <w:t>45</w:t>
                  </w:r>
                  <w:r>
                    <w:rPr>
                      <w:rFonts w:hint="eastAsia" w:ascii="Times New Roman" w:hAnsi="Times New Roman" w:eastAsia="宋体"/>
                      <w:sz w:val="21"/>
                      <w:szCs w:val="21"/>
                      <w:lang w:val="en-US" w:eastAsia="zh-CN"/>
                    </w:rPr>
                    <w:t>.5</w:t>
                  </w:r>
                </w:p>
              </w:tc>
            </w:tr>
          </w:tbl>
          <w:p w14:paraId="71A30958">
            <w:pPr>
              <w:pStyle w:val="19"/>
              <w:rPr>
                <w:rFonts w:ascii="宋体" w:hAnsi="宋体" w:cs="宋体"/>
                <w:bCs/>
                <w:spacing w:val="10"/>
                <w:szCs w:val="21"/>
              </w:rPr>
            </w:pPr>
          </w:p>
          <w:p w14:paraId="48035306">
            <w:pPr>
              <w:pStyle w:val="19"/>
              <w:rPr>
                <w:rFonts w:ascii="宋体" w:hAnsi="宋体" w:cs="宋体"/>
                <w:bCs/>
                <w:spacing w:val="10"/>
                <w:szCs w:val="21"/>
              </w:rPr>
            </w:pPr>
          </w:p>
          <w:p w14:paraId="18A91A50">
            <w:pPr>
              <w:pStyle w:val="19"/>
              <w:rPr>
                <w:rFonts w:ascii="宋体" w:hAnsi="宋体" w:cs="宋体"/>
                <w:bCs/>
                <w:spacing w:val="10"/>
                <w:szCs w:val="21"/>
              </w:rPr>
            </w:pPr>
          </w:p>
          <w:p w14:paraId="1F11487C">
            <w:pPr>
              <w:pStyle w:val="19"/>
              <w:rPr>
                <w:rFonts w:ascii="宋体" w:hAnsi="宋体" w:cs="宋体"/>
                <w:bCs/>
                <w:spacing w:val="10"/>
                <w:szCs w:val="21"/>
              </w:rPr>
            </w:pPr>
          </w:p>
          <w:p w14:paraId="1A1E1318">
            <w:pPr>
              <w:pStyle w:val="19"/>
              <w:rPr>
                <w:rFonts w:ascii="宋体" w:hAnsi="宋体" w:cs="宋体"/>
                <w:bCs/>
                <w:spacing w:val="10"/>
                <w:szCs w:val="21"/>
              </w:rPr>
            </w:pPr>
          </w:p>
          <w:p w14:paraId="393F7350">
            <w:pPr>
              <w:pStyle w:val="19"/>
              <w:rPr>
                <w:rFonts w:ascii="宋体" w:hAnsi="宋体" w:cs="宋体"/>
                <w:bCs/>
                <w:spacing w:val="10"/>
                <w:szCs w:val="21"/>
              </w:rPr>
            </w:pPr>
          </w:p>
          <w:p w14:paraId="0BB22CF8">
            <w:pPr>
              <w:pStyle w:val="19"/>
              <w:rPr>
                <w:rFonts w:ascii="宋体" w:hAnsi="宋体" w:cs="宋体"/>
                <w:bCs/>
                <w:spacing w:val="10"/>
                <w:szCs w:val="21"/>
              </w:rPr>
            </w:pPr>
          </w:p>
          <w:p w14:paraId="6FA81122">
            <w:pPr>
              <w:pStyle w:val="19"/>
              <w:rPr>
                <w:rFonts w:ascii="宋体" w:hAnsi="宋体" w:cs="宋体"/>
                <w:bCs/>
                <w:spacing w:val="10"/>
                <w:szCs w:val="21"/>
              </w:rPr>
            </w:pPr>
          </w:p>
          <w:p w14:paraId="684314D1">
            <w:pPr>
              <w:pStyle w:val="19"/>
              <w:rPr>
                <w:rFonts w:ascii="宋体" w:hAnsi="宋体" w:cs="宋体"/>
                <w:bCs/>
                <w:spacing w:val="10"/>
                <w:szCs w:val="21"/>
              </w:rPr>
            </w:pPr>
          </w:p>
          <w:p w14:paraId="69CAE01E">
            <w:pPr>
              <w:pStyle w:val="19"/>
              <w:rPr>
                <w:rFonts w:ascii="宋体" w:hAnsi="宋体" w:cs="宋体"/>
                <w:bCs/>
                <w:spacing w:val="10"/>
                <w:szCs w:val="21"/>
              </w:rPr>
            </w:pPr>
          </w:p>
        </w:tc>
      </w:tr>
    </w:tbl>
    <w:p w14:paraId="45C58351">
      <w:pPr>
        <w:sectPr>
          <w:pgSz w:w="11907" w:h="16840"/>
          <w:pgMar w:top="1440" w:right="1440" w:bottom="1440" w:left="1701" w:header="851" w:footer="1077" w:gutter="0"/>
          <w:pgBorders>
            <w:top w:val="none" w:sz="0" w:space="0"/>
            <w:left w:val="none" w:sz="0" w:space="0"/>
            <w:bottom w:val="none" w:sz="0" w:space="0"/>
            <w:right w:val="none" w:sz="0" w:space="0"/>
          </w:pgBorders>
          <w:pgNumType w:fmt="decimal"/>
          <w:cols w:space="720" w:num="1"/>
          <w:docGrid w:linePitch="312" w:charSpace="0"/>
        </w:sectPr>
      </w:pPr>
    </w:p>
    <w:p w14:paraId="0DB38FE8">
      <w:pPr>
        <w:pStyle w:val="2"/>
        <w:keepNext/>
        <w:keepLines w:val="0"/>
        <w:pageBreakBefore w:val="0"/>
        <w:widowControl w:val="0"/>
        <w:kinsoku/>
        <w:wordWrap/>
        <w:overflowPunct w:val="0"/>
        <w:topLinePunct w:val="0"/>
        <w:autoSpaceDE/>
        <w:autoSpaceDN/>
        <w:bidi w:val="0"/>
        <w:adjustRightInd/>
        <w:snapToGrid w:val="0"/>
        <w:spacing w:line="260" w:lineRule="auto"/>
        <w:ind w:left="431" w:firstLine="0" w:firstLineChars="0"/>
        <w:textAlignment w:val="auto"/>
        <w:rPr>
          <w:rFonts w:hint="eastAsia" w:ascii="Times New Roman" w:hAnsi="Times New Roman" w:cs="Times New Roman"/>
          <w:b/>
          <w:bCs/>
        </w:rPr>
      </w:pPr>
      <w:r>
        <w:rPr>
          <w:rFonts w:hint="eastAsia" w:ascii="Times New Roman" w:hAnsi="Times New Roman" w:cs="Times New Roman"/>
          <w:b/>
          <w:bCs/>
        </w:rPr>
        <w:t>六、生态环境保护措施监督检查清单</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2145"/>
        <w:gridCol w:w="695"/>
        <w:gridCol w:w="3225"/>
        <w:gridCol w:w="1599"/>
      </w:tblGrid>
      <w:tr w14:paraId="0613F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33" w:type="pct"/>
            <w:vMerge w:val="restart"/>
            <w:tcBorders>
              <w:tl2br w:val="single" w:color="auto" w:sz="4" w:space="0"/>
            </w:tcBorders>
            <w:noWrap w:val="0"/>
            <w:vAlign w:val="top"/>
          </w:tcPr>
          <w:p w14:paraId="5D586AA4">
            <w:pPr>
              <w:pStyle w:val="20"/>
              <w:keepNext w:val="0"/>
              <w:keepLines w:val="0"/>
              <w:pageBreakBefore w:val="0"/>
              <w:kinsoku/>
              <w:wordWrap/>
              <w:overflowPunct/>
              <w:topLinePunct w:val="0"/>
              <w:autoSpaceDE/>
              <w:autoSpaceDN/>
              <w:bidi w:val="0"/>
              <w:adjustRightInd w:val="0"/>
              <w:snapToGrid w:val="0"/>
              <w:spacing w:before="72" w:beforeLines="30" w:beforeAutospacing="0" w:after="0" w:afterAutospacing="0" w:line="360" w:lineRule="auto"/>
              <w:ind w:firstLine="0" w:firstLineChars="0"/>
              <w:jc w:val="center"/>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 xml:space="preserve">    内容</w:t>
            </w:r>
          </w:p>
          <w:p w14:paraId="24893FBE">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 xml:space="preserve">  </w:t>
            </w:r>
          </w:p>
          <w:p w14:paraId="5A4F2F43">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要素</w:t>
            </w:r>
          </w:p>
        </w:tc>
        <w:tc>
          <w:tcPr>
            <w:tcW w:w="1581" w:type="pct"/>
            <w:gridSpan w:val="2"/>
            <w:noWrap w:val="0"/>
            <w:vAlign w:val="center"/>
          </w:tcPr>
          <w:p w14:paraId="4A62FDC1">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施工期</w:t>
            </w:r>
          </w:p>
        </w:tc>
        <w:tc>
          <w:tcPr>
            <w:tcW w:w="2685" w:type="pct"/>
            <w:gridSpan w:val="2"/>
            <w:noWrap w:val="0"/>
            <w:vAlign w:val="center"/>
          </w:tcPr>
          <w:p w14:paraId="4374B430">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运营期</w:t>
            </w:r>
          </w:p>
        </w:tc>
      </w:tr>
      <w:tr w14:paraId="628F5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33" w:type="pct"/>
            <w:vMerge w:val="continue"/>
            <w:noWrap w:val="0"/>
            <w:vAlign w:val="top"/>
          </w:tcPr>
          <w:p w14:paraId="71964BB8">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default" w:ascii="Times New Roman" w:hAnsi="Times New Roman" w:eastAsia="黑体" w:cs="Times New Roman"/>
                <w:kern w:val="2"/>
                <w:sz w:val="21"/>
                <w:szCs w:val="21"/>
              </w:rPr>
            </w:pPr>
          </w:p>
        </w:tc>
        <w:tc>
          <w:tcPr>
            <w:tcW w:w="1194" w:type="pct"/>
            <w:noWrap w:val="0"/>
            <w:vAlign w:val="center"/>
          </w:tcPr>
          <w:p w14:paraId="7D3F5249">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环境保护措施</w:t>
            </w:r>
          </w:p>
        </w:tc>
        <w:tc>
          <w:tcPr>
            <w:tcW w:w="386" w:type="pct"/>
            <w:noWrap w:val="0"/>
            <w:vAlign w:val="center"/>
          </w:tcPr>
          <w:p w14:paraId="418A4157">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验收要求</w:t>
            </w:r>
          </w:p>
        </w:tc>
        <w:tc>
          <w:tcPr>
            <w:tcW w:w="1795" w:type="pct"/>
            <w:noWrap w:val="0"/>
            <w:vAlign w:val="center"/>
          </w:tcPr>
          <w:p w14:paraId="1B551AC1">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环境保护措施</w:t>
            </w:r>
          </w:p>
        </w:tc>
        <w:tc>
          <w:tcPr>
            <w:tcW w:w="890" w:type="pct"/>
            <w:noWrap w:val="0"/>
            <w:vAlign w:val="center"/>
          </w:tcPr>
          <w:p w14:paraId="763D251B">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验收要求</w:t>
            </w:r>
          </w:p>
        </w:tc>
      </w:tr>
      <w:tr w14:paraId="370F3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33" w:type="pct"/>
            <w:noWrap w:val="0"/>
            <w:vAlign w:val="center"/>
          </w:tcPr>
          <w:p w14:paraId="3B6F274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陆生生态</w:t>
            </w:r>
          </w:p>
        </w:tc>
        <w:tc>
          <w:tcPr>
            <w:tcW w:w="1194" w:type="pct"/>
            <w:noWrap w:val="0"/>
            <w:vAlign w:val="center"/>
          </w:tcPr>
          <w:p w14:paraId="600DAAA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（1）项目施工期合理安排施工计划，施工期尽量</w:t>
            </w:r>
            <w:r>
              <w:rPr>
                <w:rFonts w:hint="eastAsia" w:cs="Times New Roman"/>
                <w:sz w:val="21"/>
                <w:szCs w:val="21"/>
                <w:lang w:val="en-US" w:eastAsia="zh-CN"/>
              </w:rPr>
              <w:t>做到</w:t>
            </w:r>
            <w:r>
              <w:rPr>
                <w:rFonts w:hint="eastAsia" w:ascii="Times New Roman" w:hAnsi="Times New Roman" w:eastAsia="宋体" w:cs="Times New Roman"/>
                <w:sz w:val="21"/>
                <w:szCs w:val="21"/>
                <w:lang w:val="en-US" w:eastAsia="zh-CN"/>
              </w:rPr>
              <w:t>即</w:t>
            </w:r>
            <w:r>
              <w:rPr>
                <w:rFonts w:hint="default" w:ascii="Times New Roman" w:hAnsi="Times New Roman" w:eastAsia="宋体" w:cs="Times New Roman"/>
                <w:sz w:val="21"/>
                <w:szCs w:val="21"/>
                <w:lang w:val="en-US" w:eastAsia="zh-CN"/>
              </w:rPr>
              <w:t>挖</w:t>
            </w:r>
            <w:r>
              <w:rPr>
                <w:rFonts w:hint="eastAsia" w:ascii="Times New Roman" w:hAnsi="Times New Roman" w:eastAsia="宋体" w:cs="Times New Roman"/>
                <w:sz w:val="21"/>
                <w:szCs w:val="21"/>
                <w:lang w:val="en-US" w:eastAsia="zh-CN"/>
              </w:rPr>
              <w:t>即</w:t>
            </w:r>
            <w:r>
              <w:rPr>
                <w:rFonts w:hint="default" w:ascii="Times New Roman" w:hAnsi="Times New Roman" w:eastAsia="宋体" w:cs="Times New Roman"/>
                <w:sz w:val="21"/>
                <w:szCs w:val="21"/>
                <w:lang w:val="en-US" w:eastAsia="zh-CN"/>
              </w:rPr>
              <w:t>填、</w:t>
            </w:r>
            <w:r>
              <w:rPr>
                <w:rFonts w:hint="eastAsia" w:ascii="Times New Roman" w:hAnsi="Times New Roman" w:eastAsia="宋体" w:cs="Times New Roman"/>
                <w:sz w:val="21"/>
                <w:szCs w:val="21"/>
                <w:lang w:val="en-US" w:eastAsia="zh-CN"/>
              </w:rPr>
              <w:t>即</w:t>
            </w:r>
            <w:r>
              <w:rPr>
                <w:rFonts w:hint="default" w:ascii="Times New Roman" w:hAnsi="Times New Roman" w:eastAsia="宋体" w:cs="Times New Roman"/>
                <w:sz w:val="21"/>
                <w:szCs w:val="21"/>
                <w:lang w:val="en-US" w:eastAsia="zh-CN"/>
              </w:rPr>
              <w:t>填</w:t>
            </w:r>
            <w:r>
              <w:rPr>
                <w:rFonts w:hint="eastAsia" w:ascii="Times New Roman" w:hAnsi="Times New Roman" w:eastAsia="宋体" w:cs="Times New Roman"/>
                <w:sz w:val="21"/>
                <w:szCs w:val="21"/>
                <w:lang w:val="en-US" w:eastAsia="zh-CN"/>
              </w:rPr>
              <w:t>即</w:t>
            </w:r>
            <w:r>
              <w:rPr>
                <w:rFonts w:hint="default" w:ascii="Times New Roman" w:hAnsi="Times New Roman" w:eastAsia="宋体" w:cs="Times New Roman"/>
                <w:sz w:val="21"/>
                <w:szCs w:val="21"/>
                <w:lang w:val="en-US" w:eastAsia="zh-CN"/>
              </w:rPr>
              <w:t>压。（2）项目</w:t>
            </w:r>
            <w:r>
              <w:rPr>
                <w:rFonts w:hint="eastAsia" w:ascii="Times New Roman" w:hAnsi="Times New Roman" w:eastAsia="宋体" w:cs="Times New Roman"/>
                <w:sz w:val="21"/>
                <w:szCs w:val="21"/>
                <w:lang w:val="en-US" w:eastAsia="zh-CN"/>
              </w:rPr>
              <w:t>建设时，</w:t>
            </w:r>
            <w:r>
              <w:rPr>
                <w:rFonts w:hint="default" w:ascii="Times New Roman" w:hAnsi="Times New Roman" w:eastAsia="宋体" w:cs="Times New Roman"/>
                <w:sz w:val="21"/>
                <w:szCs w:val="21"/>
                <w:lang w:val="en-US" w:eastAsia="zh-CN"/>
              </w:rPr>
              <w:t>严格按照规划用地红线进行建设，尽量缩小施工作业面，从而对周边环境的影响。（3）</w:t>
            </w:r>
            <w:r>
              <w:rPr>
                <w:rFonts w:hint="eastAsia" w:ascii="Times New Roman" w:hAnsi="Times New Roman" w:eastAsia="宋体" w:cs="Times New Roman"/>
                <w:sz w:val="21"/>
                <w:szCs w:val="21"/>
                <w:lang w:val="en-US" w:eastAsia="zh-CN"/>
              </w:rPr>
              <w:t>项目应在道路两侧修建雨水收集管沟，收集导排路面上的地表径流。</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露天开采区周边结合地势地形修建雨水截洪沟，导排矿区外围。（5）项目在基建期，矿山坡脚沿边修建导排水沟，导排区域地表径流，避免雨水对开采裸露面、松散面的冲刷影响。</w:t>
            </w:r>
          </w:p>
          <w:p w14:paraId="1A674EB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项目在低洼区域修建雨水收集沟，收集导排区域内的地表径流。（7）在矿区西侧及东侧各布设一处排土场。在考虑废土石应分层堆存、废土石在“边开采边恢复”过程中尽量陆续使用等因素的情况下，尽量减少排土场占地面积，禁止在较大区域内分散堆放，项目排土场设置在已采区内，禁止占压周边尚未扰动的地块。</w:t>
            </w:r>
          </w:p>
          <w:p w14:paraId="2A630E9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（8）项目施工期结束后，对生活区、采矿区、矿区道路沿线等造成的临时占地进行平整铺填并压实，避免松散遗留。</w:t>
            </w:r>
          </w:p>
        </w:tc>
        <w:tc>
          <w:tcPr>
            <w:tcW w:w="386" w:type="pct"/>
            <w:noWrap w:val="0"/>
            <w:vAlign w:val="center"/>
          </w:tcPr>
          <w:p w14:paraId="65BD06C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1795" w:type="pct"/>
            <w:noWrap w:val="0"/>
            <w:vAlign w:val="center"/>
          </w:tcPr>
          <w:p w14:paraId="705C5E9A">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（1）露天采区</w:t>
            </w:r>
            <w:r>
              <w:rPr>
                <w:rFonts w:hint="eastAsia"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fldChar w:fldCharType="begin"/>
            </w:r>
            <w:r>
              <w:rPr>
                <w:rFonts w:hint="eastAsia" w:ascii="Times New Roman" w:hAnsi="Times New Roman" w:eastAsia="宋体" w:cs="Times New Roman"/>
                <w:color w:val="FF0000"/>
                <w:sz w:val="21"/>
                <w:szCs w:val="21"/>
                <w:lang w:val="en-US" w:eastAsia="zh-CN"/>
              </w:rPr>
              <w:instrText xml:space="preserve"> = 1 \* GB3 \* MERGEFORMAT </w:instrText>
            </w:r>
            <w:r>
              <w:rPr>
                <w:rFonts w:hint="eastAsia" w:ascii="Times New Roman" w:hAnsi="Times New Roman" w:eastAsia="宋体" w:cs="Times New Roman"/>
                <w:color w:val="FF0000"/>
                <w:sz w:val="21"/>
                <w:szCs w:val="21"/>
                <w:lang w:val="en-US" w:eastAsia="zh-CN"/>
              </w:rPr>
              <w:fldChar w:fldCharType="separate"/>
            </w:r>
            <w:r>
              <w:rPr>
                <w:rFonts w:hint="default" w:ascii="Times New Roman" w:hAnsi="Times New Roman" w:eastAsia="宋体" w:cs="Times New Roman"/>
                <w:color w:val="FF0000"/>
                <w:sz w:val="21"/>
                <w:szCs w:val="21"/>
                <w:lang w:val="en-US" w:eastAsia="zh-CN"/>
              </w:rPr>
              <w:t>①</w:t>
            </w:r>
            <w:r>
              <w:rPr>
                <w:rFonts w:hint="eastAsia" w:ascii="Times New Roman" w:hAnsi="Times New Roman" w:eastAsia="宋体" w:cs="Times New Roman"/>
                <w:color w:val="FF0000"/>
                <w:sz w:val="21"/>
                <w:szCs w:val="21"/>
                <w:lang w:val="en-US" w:eastAsia="zh-CN"/>
              </w:rPr>
              <w:fldChar w:fldCharType="end"/>
            </w:r>
            <w:r>
              <w:rPr>
                <w:rFonts w:hint="eastAsia" w:ascii="Times New Roman" w:hAnsi="Times New Roman" w:eastAsia="宋体" w:cs="Times New Roman"/>
                <w:color w:val="FF0000"/>
                <w:sz w:val="21"/>
                <w:szCs w:val="21"/>
                <w:lang w:val="en-US" w:eastAsia="zh-CN"/>
              </w:rPr>
              <w:t>严格按照开发利用方案要求开采矿石，不得满山坡采矿；剥离土层和松散、破碎地段时，减缓台阶最终坡面角，将坡面角控制在自然安息角允许范围内；剥离的岩土一部分回填到终了台阶上，应平整、压实；各台阶开采到</w:t>
            </w:r>
            <w:r>
              <w:rPr>
                <w:rFonts w:hint="eastAsia" w:cs="Times New Roman"/>
                <w:color w:val="FF0000"/>
                <w:sz w:val="21"/>
                <w:szCs w:val="21"/>
                <w:lang w:val="en-US" w:eastAsia="zh-CN"/>
              </w:rPr>
              <w:t>临近</w:t>
            </w:r>
            <w:r>
              <w:rPr>
                <w:rFonts w:hint="eastAsia" w:ascii="Times New Roman" w:hAnsi="Times New Roman" w:eastAsia="宋体" w:cs="Times New Roman"/>
                <w:color w:val="FF0000"/>
                <w:sz w:val="21"/>
                <w:szCs w:val="21"/>
                <w:lang w:val="en-US" w:eastAsia="zh-CN"/>
              </w:rPr>
              <w:t>最终边界时，必须按照设计确定的宽度预留安全、清扫平台；②严格限制作业范围，应减少占地，在采区控制的范围之内进行作业，严禁外扩采区范围。③在露天采坑周围设置截排水设施；采坑内应设集水池；④严格限制开采范围外扰动作业范围（在露天采场外围设置网围栏、警示牌），减少对植被的破坏面积；⑤派专人监督管理，严禁越界施工，更不允许随意占压植被。</w:t>
            </w:r>
          </w:p>
          <w:p w14:paraId="0020A507">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（2）矿区外道路</w:t>
            </w:r>
            <w:r>
              <w:rPr>
                <w:rFonts w:hint="eastAsia"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充分利用现有的通道，运输车辆应进行绿色运输，应该密闭；车辆在村庄段时应限速低速行驶，禁鸣喇叭，限制夜间运输，严格控制超载</w:t>
            </w:r>
            <w:r>
              <w:rPr>
                <w:rFonts w:hint="eastAsia" w:cs="Times New Roman"/>
                <w:color w:val="FF0000"/>
                <w:sz w:val="21"/>
                <w:szCs w:val="21"/>
                <w:lang w:val="en-US" w:eastAsia="zh-CN"/>
              </w:rPr>
              <w:t>。</w:t>
            </w:r>
          </w:p>
          <w:p w14:paraId="48A4C9A4">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（3）排土场</w:t>
            </w:r>
            <w:r>
              <w:rPr>
                <w:rFonts w:hint="eastAsia"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排土场采用防尘网覆盖。对排土场先挡后堆，先修筑挡土墙后进行表土堆积，生产过程中产生的废石等不得随意堆放，矿山开采采取“边开采、边恢复”的措施，对已终了平台及时复垦、绿化，下一台阶剥离表土用于上一台阶的植被恢复覆土，仅少量剩余表土堆放于排土场；矿山</w:t>
            </w:r>
            <w:r>
              <w:rPr>
                <w:rFonts w:hint="eastAsia" w:cs="Times New Roman"/>
                <w:color w:val="FF0000"/>
                <w:sz w:val="21"/>
                <w:szCs w:val="21"/>
                <w:lang w:val="en-US" w:eastAsia="zh-CN"/>
              </w:rPr>
              <w:t>闭矿</w:t>
            </w:r>
            <w:r>
              <w:rPr>
                <w:rFonts w:hint="eastAsia" w:ascii="Times New Roman" w:hAnsi="Times New Roman" w:eastAsia="宋体" w:cs="Times New Roman"/>
                <w:color w:val="FF0000"/>
                <w:sz w:val="21"/>
                <w:szCs w:val="21"/>
                <w:lang w:val="en-US" w:eastAsia="zh-CN"/>
              </w:rPr>
              <w:t>后及时进行土地复垦、植被恢复。</w:t>
            </w:r>
          </w:p>
          <w:p w14:paraId="755933F2">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（4）</w:t>
            </w:r>
            <w:r>
              <w:rPr>
                <w:rFonts w:hint="default" w:ascii="Times New Roman" w:hAnsi="Times New Roman" w:eastAsia="宋体" w:cs="Times New Roman"/>
                <w:color w:val="FF0000"/>
                <w:sz w:val="21"/>
                <w:szCs w:val="21"/>
                <w:lang w:val="en-US" w:eastAsia="zh-CN"/>
              </w:rPr>
              <w:t>野生</w:t>
            </w:r>
            <w:r>
              <w:rPr>
                <w:rFonts w:hint="eastAsia" w:ascii="Times New Roman" w:hAnsi="Times New Roman" w:eastAsia="宋体" w:cs="Times New Roman"/>
                <w:color w:val="FF0000"/>
                <w:sz w:val="21"/>
                <w:szCs w:val="21"/>
                <w:lang w:val="en-US" w:eastAsia="zh-CN"/>
              </w:rPr>
              <w:t>动植</w:t>
            </w:r>
            <w:r>
              <w:rPr>
                <w:rFonts w:hint="default" w:ascii="Times New Roman" w:hAnsi="Times New Roman" w:eastAsia="宋体" w:cs="Times New Roman"/>
                <w:color w:val="FF0000"/>
                <w:sz w:val="21"/>
                <w:szCs w:val="21"/>
                <w:lang w:val="en-US" w:eastAsia="zh-CN"/>
              </w:rPr>
              <w:t>物</w:t>
            </w:r>
            <w:r>
              <w:rPr>
                <w:rFonts w:hint="eastAsia" w:cs="Times New Roman"/>
                <w:color w:val="FF0000"/>
                <w:sz w:val="21"/>
                <w:szCs w:val="21"/>
                <w:lang w:val="en-US" w:eastAsia="zh-CN"/>
              </w:rPr>
              <w:t>：</w:t>
            </w:r>
            <w:r>
              <w:rPr>
                <w:rFonts w:hint="default" w:ascii="Times New Roman" w:hAnsi="Times New Roman" w:eastAsia="宋体" w:cs="Times New Roman"/>
                <w:color w:val="FF0000"/>
                <w:sz w:val="21"/>
                <w:szCs w:val="21"/>
                <w:lang w:val="en-US" w:eastAsia="zh-CN"/>
              </w:rPr>
              <w:fldChar w:fldCharType="begin"/>
            </w:r>
            <w:r>
              <w:rPr>
                <w:rFonts w:hint="default" w:ascii="Times New Roman" w:hAnsi="Times New Roman" w:eastAsia="宋体" w:cs="Times New Roman"/>
                <w:color w:val="FF0000"/>
                <w:sz w:val="21"/>
                <w:szCs w:val="21"/>
                <w:lang w:val="en-US" w:eastAsia="zh-CN"/>
              </w:rPr>
              <w:instrText xml:space="preserve"> </w:instrText>
            </w:r>
            <w:r>
              <w:rPr>
                <w:rFonts w:hint="eastAsia" w:ascii="Times New Roman" w:hAnsi="Times New Roman" w:eastAsia="宋体" w:cs="Times New Roman"/>
                <w:color w:val="FF0000"/>
                <w:sz w:val="21"/>
                <w:szCs w:val="21"/>
                <w:lang w:val="en-US" w:eastAsia="zh-CN"/>
              </w:rPr>
              <w:instrText xml:space="preserve">= 1 \* GB3</w:instrText>
            </w:r>
            <w:r>
              <w:rPr>
                <w:rFonts w:hint="default" w:ascii="Times New Roman" w:hAnsi="Times New Roman" w:eastAsia="宋体" w:cs="Times New Roman"/>
                <w:color w:val="FF0000"/>
                <w:sz w:val="21"/>
                <w:szCs w:val="21"/>
                <w:lang w:val="en-US" w:eastAsia="zh-CN"/>
              </w:rPr>
              <w:instrText xml:space="preserve"> </w:instrText>
            </w:r>
            <w:r>
              <w:rPr>
                <w:rFonts w:hint="default" w:ascii="Times New Roman" w:hAnsi="Times New Roman" w:eastAsia="宋体" w:cs="Times New Roman"/>
                <w:color w:val="FF0000"/>
                <w:sz w:val="21"/>
                <w:szCs w:val="21"/>
                <w:lang w:val="en-US" w:eastAsia="zh-CN"/>
              </w:rPr>
              <w:fldChar w:fldCharType="separate"/>
            </w:r>
            <w:r>
              <w:rPr>
                <w:rFonts w:hint="eastAsia" w:ascii="Times New Roman" w:hAnsi="Times New Roman" w:eastAsia="宋体" w:cs="Times New Roman"/>
                <w:color w:val="FF0000"/>
                <w:sz w:val="21"/>
                <w:szCs w:val="21"/>
                <w:lang w:val="en-US" w:eastAsia="zh-CN"/>
              </w:rPr>
              <w:t>①</w:t>
            </w:r>
            <w:r>
              <w:rPr>
                <w:rFonts w:hint="default" w:ascii="Times New Roman" w:hAnsi="Times New Roman" w:eastAsia="宋体" w:cs="Times New Roman"/>
                <w:color w:val="FF0000"/>
                <w:sz w:val="21"/>
                <w:szCs w:val="21"/>
                <w:lang w:val="en-US" w:eastAsia="zh-CN"/>
              </w:rPr>
              <w:fldChar w:fldCharType="end"/>
            </w:r>
            <w:r>
              <w:rPr>
                <w:rFonts w:hint="eastAsia" w:ascii="Times New Roman" w:hAnsi="Times New Roman" w:eastAsia="宋体" w:cs="Times New Roman"/>
                <w:color w:val="FF0000"/>
                <w:sz w:val="21"/>
                <w:szCs w:val="21"/>
                <w:lang w:val="en-US" w:eastAsia="zh-CN"/>
              </w:rPr>
              <w:t>植被资源的保护措施</w:t>
            </w:r>
            <w:r>
              <w:rPr>
                <w:rFonts w:hint="default" w:ascii="Times New Roman" w:hAnsi="Times New Roman" w:eastAsia="宋体" w:cs="Times New Roman"/>
                <w:color w:val="FF0000"/>
                <w:sz w:val="21"/>
                <w:szCs w:val="21"/>
                <w:lang w:val="en-US" w:eastAsia="zh-CN"/>
              </w:rPr>
              <w:fldChar w:fldCharType="begin"/>
            </w:r>
            <w:r>
              <w:rPr>
                <w:rFonts w:hint="default" w:ascii="Times New Roman" w:hAnsi="Times New Roman" w:eastAsia="宋体" w:cs="Times New Roman"/>
                <w:color w:val="FF0000"/>
                <w:sz w:val="21"/>
                <w:szCs w:val="21"/>
                <w:lang w:val="en-US" w:eastAsia="zh-CN"/>
              </w:rPr>
              <w:instrText xml:space="preserve"> </w:instrText>
            </w:r>
            <w:r>
              <w:rPr>
                <w:rFonts w:hint="eastAsia" w:ascii="Times New Roman" w:hAnsi="Times New Roman" w:eastAsia="宋体" w:cs="Times New Roman"/>
                <w:color w:val="FF0000"/>
                <w:sz w:val="21"/>
                <w:szCs w:val="21"/>
                <w:lang w:val="en-US" w:eastAsia="zh-CN"/>
              </w:rPr>
              <w:instrText xml:space="preserve">= 1 \* alphabetic</w:instrText>
            </w:r>
            <w:r>
              <w:rPr>
                <w:rFonts w:hint="default" w:ascii="Times New Roman" w:hAnsi="Times New Roman" w:eastAsia="宋体" w:cs="Times New Roman"/>
                <w:color w:val="FF0000"/>
                <w:sz w:val="21"/>
                <w:szCs w:val="21"/>
                <w:lang w:val="en-US" w:eastAsia="zh-CN"/>
              </w:rPr>
              <w:instrText xml:space="preserve"> </w:instrText>
            </w:r>
            <w:r>
              <w:rPr>
                <w:rFonts w:hint="default" w:ascii="Times New Roman" w:hAnsi="Times New Roman" w:eastAsia="宋体" w:cs="Times New Roman"/>
                <w:color w:val="FF0000"/>
                <w:sz w:val="21"/>
                <w:szCs w:val="21"/>
                <w:lang w:val="en-US" w:eastAsia="zh-CN"/>
              </w:rPr>
              <w:fldChar w:fldCharType="separate"/>
            </w:r>
            <w:r>
              <w:rPr>
                <w:rFonts w:hint="default" w:ascii="Times New Roman" w:hAnsi="Times New Roman" w:eastAsia="宋体" w:cs="Times New Roman"/>
                <w:color w:val="FF0000"/>
                <w:sz w:val="21"/>
                <w:szCs w:val="21"/>
                <w:lang w:val="en-US" w:eastAsia="zh-CN"/>
              </w:rPr>
              <w:t>a</w:t>
            </w:r>
            <w:r>
              <w:rPr>
                <w:rFonts w:hint="default" w:ascii="Times New Roman" w:hAnsi="Times New Roman" w:eastAsia="宋体" w:cs="Times New Roman"/>
                <w:color w:val="FF0000"/>
                <w:sz w:val="21"/>
                <w:szCs w:val="21"/>
                <w:lang w:val="en-US" w:eastAsia="zh-CN"/>
              </w:rPr>
              <w:fldChar w:fldCharType="end"/>
            </w:r>
            <w:r>
              <w:rPr>
                <w:rFonts w:hint="eastAsia" w:ascii="Times New Roman" w:hAnsi="Times New Roman" w:eastAsia="宋体" w:cs="Times New Roman"/>
                <w:color w:val="FF0000"/>
                <w:sz w:val="21"/>
                <w:szCs w:val="21"/>
                <w:lang w:val="en-US" w:eastAsia="zh-CN"/>
              </w:rPr>
              <w:t>.严格控制作业面积，尽量减少施工对植被的破坏。</w:t>
            </w:r>
            <w:r>
              <w:rPr>
                <w:rFonts w:hint="default" w:ascii="Times New Roman" w:hAnsi="Times New Roman" w:eastAsia="宋体" w:cs="Times New Roman"/>
                <w:color w:val="FF0000"/>
                <w:sz w:val="21"/>
                <w:szCs w:val="21"/>
                <w:lang w:val="en-US" w:eastAsia="zh-CN"/>
              </w:rPr>
              <w:fldChar w:fldCharType="begin"/>
            </w:r>
            <w:r>
              <w:rPr>
                <w:rFonts w:hint="default" w:ascii="Times New Roman" w:hAnsi="Times New Roman" w:eastAsia="宋体" w:cs="Times New Roman"/>
                <w:color w:val="FF0000"/>
                <w:sz w:val="21"/>
                <w:szCs w:val="21"/>
                <w:lang w:val="en-US" w:eastAsia="zh-CN"/>
              </w:rPr>
              <w:instrText xml:space="preserve"> </w:instrText>
            </w:r>
            <w:r>
              <w:rPr>
                <w:rFonts w:hint="eastAsia" w:ascii="Times New Roman" w:hAnsi="Times New Roman" w:eastAsia="宋体" w:cs="Times New Roman"/>
                <w:color w:val="FF0000"/>
                <w:sz w:val="21"/>
                <w:szCs w:val="21"/>
                <w:lang w:val="en-US" w:eastAsia="zh-CN"/>
              </w:rPr>
              <w:instrText xml:space="preserve">= 2 \* alphabetic</w:instrText>
            </w:r>
            <w:r>
              <w:rPr>
                <w:rFonts w:hint="default" w:ascii="Times New Roman" w:hAnsi="Times New Roman" w:eastAsia="宋体" w:cs="Times New Roman"/>
                <w:color w:val="FF0000"/>
                <w:sz w:val="21"/>
                <w:szCs w:val="21"/>
                <w:lang w:val="en-US" w:eastAsia="zh-CN"/>
              </w:rPr>
              <w:instrText xml:space="preserve"> </w:instrText>
            </w:r>
            <w:r>
              <w:rPr>
                <w:rFonts w:hint="default" w:ascii="Times New Roman" w:hAnsi="Times New Roman" w:eastAsia="宋体" w:cs="Times New Roman"/>
                <w:color w:val="FF0000"/>
                <w:sz w:val="21"/>
                <w:szCs w:val="21"/>
                <w:lang w:val="en-US" w:eastAsia="zh-CN"/>
              </w:rPr>
              <w:fldChar w:fldCharType="separate"/>
            </w:r>
            <w:r>
              <w:rPr>
                <w:rFonts w:hint="default" w:ascii="Times New Roman" w:hAnsi="Times New Roman" w:eastAsia="宋体" w:cs="Times New Roman"/>
                <w:color w:val="FF0000"/>
                <w:sz w:val="21"/>
                <w:szCs w:val="21"/>
                <w:lang w:val="en-US" w:eastAsia="zh-CN"/>
              </w:rPr>
              <w:t>b</w:t>
            </w:r>
            <w:r>
              <w:rPr>
                <w:rFonts w:hint="default" w:ascii="Times New Roman" w:hAnsi="Times New Roman" w:eastAsia="宋体" w:cs="Times New Roman"/>
                <w:color w:val="FF0000"/>
                <w:sz w:val="21"/>
                <w:szCs w:val="21"/>
                <w:lang w:val="en-US" w:eastAsia="zh-CN"/>
              </w:rPr>
              <w:fldChar w:fldCharType="end"/>
            </w:r>
            <w:r>
              <w:rPr>
                <w:rFonts w:hint="eastAsia" w:ascii="Times New Roman" w:hAnsi="Times New Roman" w:eastAsia="宋体" w:cs="Times New Roman"/>
                <w:color w:val="FF0000"/>
                <w:sz w:val="21"/>
                <w:szCs w:val="21"/>
                <w:lang w:val="en-US" w:eastAsia="zh-CN"/>
              </w:rPr>
              <w:t>.增强工作人员的环境保护意识</w:t>
            </w:r>
            <w:r>
              <w:rPr>
                <w:rFonts w:hint="eastAsia" w:cs="Times New Roman"/>
                <w:color w:val="FF0000"/>
                <w:sz w:val="21"/>
                <w:szCs w:val="21"/>
                <w:lang w:val="en-US" w:eastAsia="zh-CN"/>
              </w:rPr>
              <w:t>。</w:t>
            </w:r>
            <w:r>
              <w:rPr>
                <w:rFonts w:hint="default" w:ascii="Times New Roman" w:hAnsi="Times New Roman" w:eastAsia="宋体" w:cs="Times New Roman"/>
                <w:color w:val="FF0000"/>
                <w:sz w:val="21"/>
                <w:szCs w:val="21"/>
                <w:lang w:val="en-US" w:eastAsia="zh-CN"/>
              </w:rPr>
              <w:fldChar w:fldCharType="begin"/>
            </w:r>
            <w:r>
              <w:rPr>
                <w:rFonts w:hint="default" w:ascii="Times New Roman" w:hAnsi="Times New Roman" w:eastAsia="宋体" w:cs="Times New Roman"/>
                <w:color w:val="FF0000"/>
                <w:sz w:val="21"/>
                <w:szCs w:val="21"/>
                <w:lang w:val="en-US" w:eastAsia="zh-CN"/>
              </w:rPr>
              <w:instrText xml:space="preserve"> </w:instrText>
            </w:r>
            <w:r>
              <w:rPr>
                <w:rFonts w:hint="eastAsia" w:ascii="Times New Roman" w:hAnsi="Times New Roman" w:eastAsia="宋体" w:cs="Times New Roman"/>
                <w:color w:val="FF0000"/>
                <w:sz w:val="21"/>
                <w:szCs w:val="21"/>
                <w:lang w:val="en-US" w:eastAsia="zh-CN"/>
              </w:rPr>
              <w:instrText xml:space="preserve">= 2 \* GB3</w:instrText>
            </w:r>
            <w:r>
              <w:rPr>
                <w:rFonts w:hint="default" w:ascii="Times New Roman" w:hAnsi="Times New Roman" w:eastAsia="宋体" w:cs="Times New Roman"/>
                <w:color w:val="FF0000"/>
                <w:sz w:val="21"/>
                <w:szCs w:val="21"/>
                <w:lang w:val="en-US" w:eastAsia="zh-CN"/>
              </w:rPr>
              <w:instrText xml:space="preserve"> </w:instrText>
            </w:r>
            <w:r>
              <w:rPr>
                <w:rFonts w:hint="default" w:ascii="Times New Roman" w:hAnsi="Times New Roman" w:eastAsia="宋体" w:cs="Times New Roman"/>
                <w:color w:val="FF0000"/>
                <w:sz w:val="21"/>
                <w:szCs w:val="21"/>
                <w:lang w:val="en-US" w:eastAsia="zh-CN"/>
              </w:rPr>
              <w:fldChar w:fldCharType="separate"/>
            </w:r>
            <w:r>
              <w:rPr>
                <w:rFonts w:hint="eastAsia" w:ascii="Times New Roman" w:hAnsi="Times New Roman" w:eastAsia="宋体" w:cs="Times New Roman"/>
                <w:color w:val="FF0000"/>
                <w:sz w:val="21"/>
                <w:szCs w:val="21"/>
                <w:lang w:val="en-US" w:eastAsia="zh-CN"/>
              </w:rPr>
              <w:t>②</w:t>
            </w:r>
            <w:r>
              <w:rPr>
                <w:rFonts w:hint="default" w:ascii="Times New Roman" w:hAnsi="Times New Roman" w:eastAsia="宋体" w:cs="Times New Roman"/>
                <w:color w:val="FF0000"/>
                <w:sz w:val="21"/>
                <w:szCs w:val="21"/>
                <w:lang w:val="en-US" w:eastAsia="zh-CN"/>
              </w:rPr>
              <w:fldChar w:fldCharType="end"/>
            </w:r>
            <w:r>
              <w:rPr>
                <w:rFonts w:hint="eastAsia" w:ascii="Times New Roman" w:hAnsi="Times New Roman" w:eastAsia="宋体" w:cs="Times New Roman"/>
                <w:color w:val="FF0000"/>
                <w:sz w:val="21"/>
                <w:szCs w:val="21"/>
                <w:lang w:val="en-US" w:eastAsia="zh-CN"/>
              </w:rPr>
              <w:t>野生动物保护措施</w:t>
            </w:r>
          </w:p>
          <w:p w14:paraId="3D719434">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fldChar w:fldCharType="begin"/>
            </w:r>
            <w:r>
              <w:rPr>
                <w:rFonts w:hint="default" w:ascii="Times New Roman" w:hAnsi="Times New Roman" w:eastAsia="宋体" w:cs="Times New Roman"/>
                <w:color w:val="FF0000"/>
                <w:sz w:val="21"/>
                <w:szCs w:val="21"/>
                <w:lang w:val="en-US" w:eastAsia="zh-CN"/>
              </w:rPr>
              <w:instrText xml:space="preserve"> </w:instrText>
            </w:r>
            <w:r>
              <w:rPr>
                <w:rFonts w:hint="eastAsia" w:ascii="Times New Roman" w:hAnsi="Times New Roman" w:eastAsia="宋体" w:cs="Times New Roman"/>
                <w:color w:val="FF0000"/>
                <w:sz w:val="21"/>
                <w:szCs w:val="21"/>
                <w:lang w:val="en-US" w:eastAsia="zh-CN"/>
              </w:rPr>
              <w:instrText xml:space="preserve">= 1 \* alphabetic</w:instrText>
            </w:r>
            <w:r>
              <w:rPr>
                <w:rFonts w:hint="default" w:ascii="Times New Roman" w:hAnsi="Times New Roman" w:eastAsia="宋体" w:cs="Times New Roman"/>
                <w:color w:val="FF0000"/>
                <w:sz w:val="21"/>
                <w:szCs w:val="21"/>
                <w:lang w:val="en-US" w:eastAsia="zh-CN"/>
              </w:rPr>
              <w:instrText xml:space="preserve"> </w:instrText>
            </w:r>
            <w:r>
              <w:rPr>
                <w:rFonts w:hint="default" w:ascii="Times New Roman" w:hAnsi="Times New Roman" w:eastAsia="宋体" w:cs="Times New Roman"/>
                <w:color w:val="FF0000"/>
                <w:sz w:val="21"/>
                <w:szCs w:val="21"/>
                <w:lang w:val="en-US" w:eastAsia="zh-CN"/>
              </w:rPr>
              <w:fldChar w:fldCharType="separate"/>
            </w:r>
            <w:r>
              <w:rPr>
                <w:rFonts w:hint="default" w:ascii="Times New Roman" w:hAnsi="Times New Roman" w:eastAsia="宋体" w:cs="Times New Roman"/>
                <w:color w:val="FF0000"/>
                <w:sz w:val="21"/>
                <w:szCs w:val="21"/>
                <w:lang w:val="en-US" w:eastAsia="zh-CN"/>
              </w:rPr>
              <w:t>a</w:t>
            </w:r>
            <w:r>
              <w:rPr>
                <w:rFonts w:hint="default" w:ascii="Times New Roman" w:hAnsi="Times New Roman" w:eastAsia="宋体" w:cs="Times New Roman"/>
                <w:color w:val="FF0000"/>
                <w:sz w:val="21"/>
                <w:szCs w:val="21"/>
                <w:lang w:val="en-US" w:eastAsia="zh-CN"/>
              </w:rPr>
              <w:fldChar w:fldCharType="end"/>
            </w:r>
            <w:r>
              <w:rPr>
                <w:rFonts w:hint="eastAsia" w:ascii="Times New Roman" w:hAnsi="Times New Roman" w:eastAsia="宋体" w:cs="Times New Roman"/>
                <w:color w:val="FF0000"/>
                <w:sz w:val="21"/>
                <w:szCs w:val="21"/>
                <w:lang w:val="en-US" w:eastAsia="zh-CN"/>
              </w:rPr>
              <w:t>.</w:t>
            </w:r>
            <w:r>
              <w:rPr>
                <w:rFonts w:hint="eastAsia" w:cs="Times New Roman"/>
                <w:color w:val="FF0000"/>
                <w:sz w:val="21"/>
                <w:szCs w:val="21"/>
                <w:lang w:val="en-US" w:eastAsia="zh-CN"/>
              </w:rPr>
              <w:t>增强</w:t>
            </w:r>
            <w:r>
              <w:rPr>
                <w:rFonts w:hint="eastAsia" w:ascii="Times New Roman" w:hAnsi="Times New Roman" w:eastAsia="宋体" w:cs="Times New Roman"/>
                <w:color w:val="FF0000"/>
                <w:sz w:val="21"/>
                <w:szCs w:val="21"/>
                <w:lang w:val="en-US" w:eastAsia="zh-CN"/>
              </w:rPr>
              <w:t>作业人员环保意识，严禁捕猎野生动物，严禁在项目区及其周围捕猎野生动物；</w:t>
            </w:r>
            <w:r>
              <w:rPr>
                <w:rFonts w:hint="default" w:ascii="Times New Roman" w:hAnsi="Times New Roman" w:eastAsia="宋体" w:cs="Times New Roman"/>
                <w:color w:val="FF0000"/>
                <w:sz w:val="21"/>
                <w:szCs w:val="21"/>
                <w:lang w:val="en-US" w:eastAsia="zh-CN"/>
              </w:rPr>
              <w:fldChar w:fldCharType="begin"/>
            </w:r>
            <w:r>
              <w:rPr>
                <w:rFonts w:hint="default" w:ascii="Times New Roman" w:hAnsi="Times New Roman" w:eastAsia="宋体" w:cs="Times New Roman"/>
                <w:color w:val="FF0000"/>
                <w:sz w:val="21"/>
                <w:szCs w:val="21"/>
                <w:lang w:val="en-US" w:eastAsia="zh-CN"/>
              </w:rPr>
              <w:instrText xml:space="preserve"> </w:instrText>
            </w:r>
            <w:r>
              <w:rPr>
                <w:rFonts w:hint="eastAsia" w:ascii="Times New Roman" w:hAnsi="Times New Roman" w:eastAsia="宋体" w:cs="Times New Roman"/>
                <w:color w:val="FF0000"/>
                <w:sz w:val="21"/>
                <w:szCs w:val="21"/>
                <w:lang w:val="en-US" w:eastAsia="zh-CN"/>
              </w:rPr>
              <w:instrText xml:space="preserve">= 2 \* alphabetic</w:instrText>
            </w:r>
            <w:r>
              <w:rPr>
                <w:rFonts w:hint="default" w:ascii="Times New Roman" w:hAnsi="Times New Roman" w:eastAsia="宋体" w:cs="Times New Roman"/>
                <w:color w:val="FF0000"/>
                <w:sz w:val="21"/>
                <w:szCs w:val="21"/>
                <w:lang w:val="en-US" w:eastAsia="zh-CN"/>
              </w:rPr>
              <w:instrText xml:space="preserve"> </w:instrText>
            </w:r>
            <w:r>
              <w:rPr>
                <w:rFonts w:hint="default" w:ascii="Times New Roman" w:hAnsi="Times New Roman" w:eastAsia="宋体" w:cs="Times New Roman"/>
                <w:color w:val="FF0000"/>
                <w:sz w:val="21"/>
                <w:szCs w:val="21"/>
                <w:lang w:val="en-US" w:eastAsia="zh-CN"/>
              </w:rPr>
              <w:fldChar w:fldCharType="separate"/>
            </w:r>
            <w:r>
              <w:rPr>
                <w:rFonts w:hint="default" w:ascii="Times New Roman" w:hAnsi="Times New Roman" w:eastAsia="宋体" w:cs="Times New Roman"/>
                <w:color w:val="FF0000"/>
                <w:sz w:val="21"/>
                <w:szCs w:val="21"/>
                <w:lang w:val="en-US" w:eastAsia="zh-CN"/>
              </w:rPr>
              <w:t>b</w:t>
            </w:r>
            <w:r>
              <w:rPr>
                <w:rFonts w:hint="default" w:ascii="Times New Roman" w:hAnsi="Times New Roman" w:eastAsia="宋体" w:cs="Times New Roman"/>
                <w:color w:val="FF0000"/>
                <w:sz w:val="21"/>
                <w:szCs w:val="21"/>
                <w:lang w:val="en-US" w:eastAsia="zh-CN"/>
              </w:rPr>
              <w:fldChar w:fldCharType="end"/>
            </w:r>
            <w:r>
              <w:rPr>
                <w:rFonts w:hint="eastAsia" w:ascii="Times New Roman" w:hAnsi="Times New Roman" w:eastAsia="宋体" w:cs="Times New Roman"/>
                <w:color w:val="FF0000"/>
                <w:sz w:val="21"/>
                <w:szCs w:val="21"/>
                <w:lang w:val="en-US" w:eastAsia="zh-CN"/>
              </w:rPr>
              <w:t>.应做好开采作业方式和时间的计划，避免在夜间、晨昏和正午作业；避免灯光、噪声对动物活动的惊扰；</w:t>
            </w:r>
            <w:r>
              <w:rPr>
                <w:rFonts w:hint="default" w:ascii="Times New Roman" w:hAnsi="Times New Roman" w:eastAsia="宋体" w:cs="Times New Roman"/>
                <w:color w:val="FF0000"/>
                <w:sz w:val="21"/>
                <w:szCs w:val="21"/>
                <w:lang w:val="en-US" w:eastAsia="zh-CN"/>
              </w:rPr>
              <w:fldChar w:fldCharType="begin"/>
            </w:r>
            <w:r>
              <w:rPr>
                <w:rFonts w:hint="default" w:ascii="Times New Roman" w:hAnsi="Times New Roman" w:eastAsia="宋体" w:cs="Times New Roman"/>
                <w:color w:val="FF0000"/>
                <w:sz w:val="21"/>
                <w:szCs w:val="21"/>
                <w:lang w:val="en-US" w:eastAsia="zh-CN"/>
              </w:rPr>
              <w:instrText xml:space="preserve"> </w:instrText>
            </w:r>
            <w:r>
              <w:rPr>
                <w:rFonts w:hint="eastAsia" w:ascii="Times New Roman" w:hAnsi="Times New Roman" w:eastAsia="宋体" w:cs="Times New Roman"/>
                <w:color w:val="FF0000"/>
                <w:sz w:val="21"/>
                <w:szCs w:val="21"/>
                <w:lang w:val="en-US" w:eastAsia="zh-CN"/>
              </w:rPr>
              <w:instrText xml:space="preserve">= 3 \* alphabetic</w:instrText>
            </w:r>
            <w:r>
              <w:rPr>
                <w:rFonts w:hint="default" w:ascii="Times New Roman" w:hAnsi="Times New Roman" w:eastAsia="宋体" w:cs="Times New Roman"/>
                <w:color w:val="FF0000"/>
                <w:sz w:val="21"/>
                <w:szCs w:val="21"/>
                <w:lang w:val="en-US" w:eastAsia="zh-CN"/>
              </w:rPr>
              <w:instrText xml:space="preserve"> </w:instrText>
            </w:r>
            <w:r>
              <w:rPr>
                <w:rFonts w:hint="default" w:ascii="Times New Roman" w:hAnsi="Times New Roman" w:eastAsia="宋体" w:cs="Times New Roman"/>
                <w:color w:val="FF0000"/>
                <w:sz w:val="21"/>
                <w:szCs w:val="21"/>
                <w:lang w:val="en-US" w:eastAsia="zh-CN"/>
              </w:rPr>
              <w:fldChar w:fldCharType="separate"/>
            </w:r>
            <w:r>
              <w:rPr>
                <w:rFonts w:hint="default" w:ascii="Times New Roman" w:hAnsi="Times New Roman" w:eastAsia="宋体" w:cs="Times New Roman"/>
                <w:color w:val="FF0000"/>
                <w:sz w:val="21"/>
                <w:szCs w:val="21"/>
                <w:lang w:val="en-US" w:eastAsia="zh-CN"/>
              </w:rPr>
              <w:t>c</w:t>
            </w:r>
            <w:r>
              <w:rPr>
                <w:rFonts w:hint="default" w:ascii="Times New Roman" w:hAnsi="Times New Roman" w:eastAsia="宋体" w:cs="Times New Roman"/>
                <w:color w:val="FF0000"/>
                <w:sz w:val="21"/>
                <w:szCs w:val="21"/>
                <w:lang w:val="en-US" w:eastAsia="zh-CN"/>
              </w:rPr>
              <w:fldChar w:fldCharType="end"/>
            </w:r>
            <w:r>
              <w:rPr>
                <w:rFonts w:hint="eastAsia" w:ascii="Times New Roman" w:hAnsi="Times New Roman" w:eastAsia="宋体" w:cs="Times New Roman"/>
                <w:color w:val="FF0000"/>
                <w:sz w:val="21"/>
                <w:szCs w:val="21"/>
                <w:lang w:val="en-US" w:eastAsia="zh-CN"/>
              </w:rPr>
              <w:t>.开采作业机械选用低噪声、低振动设备，避免高噪声设备同场地同时作业；</w:t>
            </w:r>
            <w:r>
              <w:rPr>
                <w:rFonts w:hint="default" w:ascii="Times New Roman" w:hAnsi="Times New Roman" w:eastAsia="宋体" w:cs="Times New Roman"/>
                <w:color w:val="FF0000"/>
                <w:sz w:val="21"/>
                <w:szCs w:val="21"/>
                <w:lang w:val="en-US" w:eastAsia="zh-CN"/>
              </w:rPr>
              <w:fldChar w:fldCharType="begin"/>
            </w:r>
            <w:r>
              <w:rPr>
                <w:rFonts w:hint="default" w:ascii="Times New Roman" w:hAnsi="Times New Roman" w:eastAsia="宋体" w:cs="Times New Roman"/>
                <w:color w:val="FF0000"/>
                <w:sz w:val="21"/>
                <w:szCs w:val="21"/>
                <w:lang w:val="en-US" w:eastAsia="zh-CN"/>
              </w:rPr>
              <w:instrText xml:space="preserve"> </w:instrText>
            </w:r>
            <w:r>
              <w:rPr>
                <w:rFonts w:hint="eastAsia" w:ascii="Times New Roman" w:hAnsi="Times New Roman" w:eastAsia="宋体" w:cs="Times New Roman"/>
                <w:color w:val="FF0000"/>
                <w:sz w:val="21"/>
                <w:szCs w:val="21"/>
                <w:lang w:val="en-US" w:eastAsia="zh-CN"/>
              </w:rPr>
              <w:instrText xml:space="preserve">= 4 \* alphabetic</w:instrText>
            </w:r>
            <w:r>
              <w:rPr>
                <w:rFonts w:hint="default" w:ascii="Times New Roman" w:hAnsi="Times New Roman" w:eastAsia="宋体" w:cs="Times New Roman"/>
                <w:color w:val="FF0000"/>
                <w:sz w:val="21"/>
                <w:szCs w:val="21"/>
                <w:lang w:val="en-US" w:eastAsia="zh-CN"/>
              </w:rPr>
              <w:instrText xml:space="preserve"> </w:instrText>
            </w:r>
            <w:r>
              <w:rPr>
                <w:rFonts w:hint="default" w:ascii="Times New Roman" w:hAnsi="Times New Roman" w:eastAsia="宋体" w:cs="Times New Roman"/>
                <w:color w:val="FF0000"/>
                <w:sz w:val="21"/>
                <w:szCs w:val="21"/>
                <w:lang w:val="en-US" w:eastAsia="zh-CN"/>
              </w:rPr>
              <w:fldChar w:fldCharType="separate"/>
            </w:r>
            <w:r>
              <w:rPr>
                <w:rFonts w:hint="default" w:ascii="Times New Roman" w:hAnsi="Times New Roman" w:eastAsia="宋体" w:cs="Times New Roman"/>
                <w:color w:val="FF0000"/>
                <w:sz w:val="21"/>
                <w:szCs w:val="21"/>
                <w:lang w:val="en-US" w:eastAsia="zh-CN"/>
              </w:rPr>
              <w:t>d</w:t>
            </w:r>
            <w:r>
              <w:rPr>
                <w:rFonts w:hint="default" w:ascii="Times New Roman" w:hAnsi="Times New Roman" w:eastAsia="宋体" w:cs="Times New Roman"/>
                <w:color w:val="FF0000"/>
                <w:sz w:val="21"/>
                <w:szCs w:val="21"/>
                <w:lang w:val="en-US" w:eastAsia="zh-CN"/>
              </w:rPr>
              <w:fldChar w:fldCharType="end"/>
            </w:r>
            <w:r>
              <w:rPr>
                <w:rFonts w:hint="eastAsia" w:ascii="Times New Roman" w:hAnsi="Times New Roman" w:eastAsia="宋体" w:cs="Times New Roman"/>
                <w:color w:val="FF0000"/>
                <w:sz w:val="21"/>
                <w:szCs w:val="21"/>
                <w:lang w:val="en-US" w:eastAsia="zh-CN"/>
              </w:rPr>
              <w:t>.加强作业人员的卫生管理，严禁生活垃圾、生活污水直接排放</w:t>
            </w:r>
            <w:r>
              <w:rPr>
                <w:rFonts w:hint="eastAsia" w:cs="Times New Roman"/>
                <w:color w:val="FF0000"/>
                <w:sz w:val="21"/>
                <w:szCs w:val="21"/>
                <w:lang w:val="en-US" w:eastAsia="zh-CN"/>
              </w:rPr>
              <w:t>。</w:t>
            </w:r>
          </w:p>
        </w:tc>
        <w:tc>
          <w:tcPr>
            <w:tcW w:w="890" w:type="pct"/>
            <w:noWrap w:val="0"/>
            <w:vAlign w:val="center"/>
          </w:tcPr>
          <w:p w14:paraId="0C3E052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sz w:val="21"/>
                <w:szCs w:val="21"/>
                <w:lang w:val="en-US" w:eastAsia="zh-CN"/>
              </w:rPr>
            </w:pPr>
            <w:r>
              <w:rPr>
                <w:rFonts w:hint="default" w:ascii="Times New Roman" w:hAnsi="Times New Roman" w:eastAsia="宋体" w:cs="Times New Roman"/>
                <w:sz w:val="21"/>
                <w:szCs w:val="21"/>
                <w:lang w:val="en-US" w:eastAsia="zh-CN"/>
              </w:rPr>
              <w:t>检查截水沟设置是否满足规范要求</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检查开采方式是否按照本评价分级开采</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检查开采台阶坡度是否符合规范</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检查开采结束后对采区是否进行了土地平整，并按要求做好植被恢复</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检查植被复垦合同/施工证明等文件及植被成活率及植被盖度是否满足要求。将开采区及生活办公区</w:t>
            </w:r>
            <w:r>
              <w:rPr>
                <w:rFonts w:hint="eastAsia" w:cs="Times New Roman"/>
                <w:sz w:val="21"/>
                <w:szCs w:val="21"/>
                <w:lang w:val="en-US" w:eastAsia="zh-CN"/>
              </w:rPr>
              <w:t>等</w:t>
            </w:r>
            <w:r>
              <w:rPr>
                <w:rFonts w:hint="default" w:ascii="Times New Roman" w:hAnsi="Times New Roman" w:eastAsia="宋体" w:cs="Times New Roman"/>
                <w:sz w:val="21"/>
                <w:szCs w:val="21"/>
                <w:lang w:val="en-US" w:eastAsia="zh-CN"/>
              </w:rPr>
              <w:t>建筑物及设备进行拆除</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对排土场地清理，并对场地内压实土地进行翻耕平整、覆土后，进行生态恢复绿化措施</w:t>
            </w:r>
            <w:r>
              <w:rPr>
                <w:rFonts w:hint="eastAsia" w:cs="Times New Roman"/>
                <w:sz w:val="21"/>
                <w:szCs w:val="21"/>
                <w:lang w:val="en-US" w:eastAsia="zh-CN"/>
              </w:rPr>
              <w:t>。</w:t>
            </w:r>
          </w:p>
          <w:p w14:paraId="09A6537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30"/>
                <w:szCs w:val="30"/>
                <w:lang w:val="en-US" w:eastAsia="zh-CN"/>
              </w:rPr>
            </w:pPr>
            <w:r>
              <w:rPr>
                <w:rFonts w:hint="default" w:ascii="Times New Roman" w:hAnsi="Times New Roman" w:eastAsia="宋体" w:cs="Times New Roman"/>
                <w:color w:val="0000FC"/>
                <w:sz w:val="21"/>
                <w:szCs w:val="21"/>
                <w:lang w:val="en-US" w:eastAsia="zh-CN"/>
              </w:rPr>
              <w:t>项目区</w:t>
            </w:r>
            <w:r>
              <w:rPr>
                <w:rFonts w:hint="eastAsia" w:ascii="Times New Roman" w:hAnsi="Times New Roman" w:eastAsia="宋体" w:cs="Times New Roman"/>
                <w:color w:val="0000FC"/>
                <w:sz w:val="21"/>
                <w:szCs w:val="21"/>
                <w:lang w:val="en-US" w:eastAsia="zh-CN"/>
              </w:rPr>
              <w:t>复垦后，各</w:t>
            </w:r>
            <w:r>
              <w:rPr>
                <w:rFonts w:hint="eastAsia" w:cs="Times New Roman"/>
                <w:color w:val="0000FC"/>
                <w:sz w:val="21"/>
                <w:szCs w:val="21"/>
                <w:lang w:val="en-US" w:eastAsia="zh-CN"/>
              </w:rPr>
              <w:t>生产</w:t>
            </w:r>
            <w:r>
              <w:rPr>
                <w:rFonts w:hint="eastAsia" w:ascii="Times New Roman" w:hAnsi="Times New Roman" w:eastAsia="宋体" w:cs="Times New Roman"/>
                <w:color w:val="0000FC"/>
                <w:sz w:val="21"/>
                <w:szCs w:val="21"/>
                <w:lang w:val="en-US" w:eastAsia="zh-CN"/>
              </w:rPr>
              <w:t>单元植被覆盖度</w:t>
            </w:r>
            <w:r>
              <w:rPr>
                <w:rFonts w:hint="default" w:ascii="Times New Roman" w:hAnsi="Times New Roman" w:eastAsia="宋体" w:cs="Times New Roman"/>
                <w:color w:val="0000FC"/>
                <w:sz w:val="21"/>
                <w:szCs w:val="21"/>
                <w:lang w:val="en-US" w:eastAsia="zh-CN"/>
              </w:rPr>
              <w:t>≥55%</w:t>
            </w:r>
            <w:r>
              <w:rPr>
                <w:rFonts w:hint="eastAsia" w:ascii="Times New Roman" w:hAnsi="Times New Roman" w:eastAsia="宋体" w:cs="Times New Roman"/>
                <w:color w:val="0000FC"/>
                <w:sz w:val="21"/>
                <w:szCs w:val="21"/>
                <w:lang w:val="en-US" w:eastAsia="zh-CN"/>
              </w:rPr>
              <w:t>；</w:t>
            </w:r>
            <w:r>
              <w:rPr>
                <w:rFonts w:hint="default" w:ascii="Times New Roman" w:hAnsi="Times New Roman" w:eastAsia="宋体" w:cs="Times New Roman"/>
                <w:color w:val="0000FC"/>
                <w:sz w:val="21"/>
                <w:szCs w:val="21"/>
                <w:lang w:val="en-US" w:eastAsia="zh-CN"/>
              </w:rPr>
              <w:t>自然景观与周边相</w:t>
            </w:r>
            <w:r>
              <w:rPr>
                <w:rFonts w:hint="eastAsia" w:cs="Times New Roman"/>
                <w:color w:val="0000FC"/>
                <w:sz w:val="21"/>
                <w:szCs w:val="21"/>
                <w:lang w:val="en-US" w:eastAsia="zh-CN"/>
              </w:rPr>
              <w:t>协调</w:t>
            </w:r>
            <w:r>
              <w:rPr>
                <w:rFonts w:hint="eastAsia" w:ascii="Times New Roman" w:hAnsi="Times New Roman" w:eastAsia="宋体" w:cs="Times New Roman"/>
                <w:color w:val="0000FC"/>
                <w:sz w:val="21"/>
                <w:szCs w:val="21"/>
                <w:lang w:val="en-US" w:eastAsia="zh-CN"/>
              </w:rPr>
              <w:t>；</w:t>
            </w:r>
            <w:r>
              <w:rPr>
                <w:rFonts w:hint="default" w:ascii="Times New Roman" w:hAnsi="Times New Roman" w:eastAsia="宋体" w:cs="Times New Roman"/>
                <w:color w:val="0000FC"/>
                <w:sz w:val="21"/>
                <w:szCs w:val="21"/>
                <w:lang w:val="en-US" w:eastAsia="zh-CN"/>
              </w:rPr>
              <w:t>各构筑物按照要求落实到位</w:t>
            </w:r>
            <w:r>
              <w:rPr>
                <w:rFonts w:hint="eastAsia" w:cs="Times New Roman"/>
                <w:sz w:val="21"/>
                <w:szCs w:val="21"/>
                <w:lang w:val="en-US" w:eastAsia="zh-CN"/>
              </w:rPr>
              <w:t>。</w:t>
            </w:r>
          </w:p>
        </w:tc>
      </w:tr>
      <w:tr w14:paraId="256A08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3" w:type="pct"/>
            <w:noWrap w:val="0"/>
            <w:vAlign w:val="center"/>
          </w:tcPr>
          <w:p w14:paraId="32D90D0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水生生态</w:t>
            </w:r>
          </w:p>
        </w:tc>
        <w:tc>
          <w:tcPr>
            <w:tcW w:w="1194" w:type="pct"/>
            <w:noWrap w:val="0"/>
            <w:vAlign w:val="center"/>
          </w:tcPr>
          <w:p w14:paraId="5BEC240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386" w:type="pct"/>
            <w:noWrap w:val="0"/>
            <w:vAlign w:val="center"/>
          </w:tcPr>
          <w:p w14:paraId="64D6B64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795" w:type="pct"/>
            <w:noWrap w:val="0"/>
            <w:vAlign w:val="center"/>
          </w:tcPr>
          <w:p w14:paraId="7A531CA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890" w:type="pct"/>
            <w:noWrap w:val="0"/>
            <w:vAlign w:val="center"/>
          </w:tcPr>
          <w:p w14:paraId="17598C2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7FEC8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3" w:type="pct"/>
            <w:noWrap w:val="0"/>
            <w:vAlign w:val="center"/>
          </w:tcPr>
          <w:p w14:paraId="36F8DDB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地表水</w:t>
            </w:r>
          </w:p>
          <w:p w14:paraId="64FF343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环境</w:t>
            </w:r>
          </w:p>
        </w:tc>
        <w:tc>
          <w:tcPr>
            <w:tcW w:w="1194" w:type="pct"/>
            <w:noWrap w:val="0"/>
            <w:vAlign w:val="center"/>
          </w:tcPr>
          <w:p w14:paraId="7C3BFA2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386" w:type="pct"/>
            <w:noWrap w:val="0"/>
            <w:vAlign w:val="center"/>
          </w:tcPr>
          <w:p w14:paraId="48089D6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1795" w:type="pct"/>
            <w:noWrap w:val="0"/>
            <w:vAlign w:val="center"/>
          </w:tcPr>
          <w:p w14:paraId="54E3048D">
            <w:pPr>
              <w:keepNext w:val="0"/>
              <w:keepLines w:val="0"/>
              <w:widowControl/>
              <w:suppressLineNumbers w:val="0"/>
              <w:ind w:left="0" w:leftChars="0" w:firstLine="0" w:firstLineChars="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FF0000"/>
                <w:sz w:val="21"/>
                <w:szCs w:val="21"/>
                <w:vertAlign w:val="baseline"/>
                <w:lang w:val="en-US" w:eastAsia="zh-CN"/>
              </w:rPr>
              <w:t>职工</w:t>
            </w:r>
            <w:r>
              <w:rPr>
                <w:rFonts w:hint="eastAsia" w:cs="Times New Roman"/>
                <w:b w:val="0"/>
                <w:bCs/>
                <w:color w:val="FF0000"/>
                <w:sz w:val="21"/>
                <w:szCs w:val="21"/>
                <w:vertAlign w:val="baseline"/>
                <w:lang w:val="en-US" w:eastAsia="zh-CN"/>
              </w:rPr>
              <w:t>盥洗废水和淋浴废水经管道进入化粪池，职工人员</w:t>
            </w:r>
            <w:r>
              <w:rPr>
                <w:rFonts w:hint="eastAsia" w:ascii="Times New Roman" w:hAnsi="Times New Roman" w:eastAsia="宋体" w:cs="Times New Roman"/>
                <w:b w:val="0"/>
                <w:bCs/>
                <w:color w:val="FF0000"/>
                <w:sz w:val="21"/>
                <w:szCs w:val="21"/>
                <w:vertAlign w:val="baseline"/>
                <w:lang w:val="en-US" w:eastAsia="zh-CN"/>
              </w:rPr>
              <w:t>如厕采用</w:t>
            </w:r>
            <w:r>
              <w:rPr>
                <w:rFonts w:hint="eastAsia" w:cs="Times New Roman"/>
                <w:b w:val="0"/>
                <w:bCs/>
                <w:color w:val="FF0000"/>
                <w:sz w:val="21"/>
                <w:szCs w:val="21"/>
                <w:vertAlign w:val="baseline"/>
                <w:lang w:val="en-US" w:eastAsia="zh-CN"/>
              </w:rPr>
              <w:t>干式</w:t>
            </w:r>
            <w:r>
              <w:rPr>
                <w:rFonts w:hint="eastAsia" w:ascii="Times New Roman" w:hAnsi="Times New Roman" w:eastAsia="宋体" w:cs="Times New Roman"/>
                <w:b w:val="0"/>
                <w:bCs/>
                <w:color w:val="FF0000"/>
                <w:sz w:val="21"/>
                <w:szCs w:val="21"/>
                <w:vertAlign w:val="baseline"/>
                <w:lang w:val="en-US" w:eastAsia="zh-CN"/>
              </w:rPr>
              <w:t>环保厕所</w:t>
            </w:r>
            <w:r>
              <w:rPr>
                <w:rFonts w:hint="eastAsia" w:cs="Times New Roman"/>
                <w:b w:val="0"/>
                <w:bCs/>
                <w:color w:val="FF0000"/>
                <w:sz w:val="21"/>
                <w:szCs w:val="21"/>
                <w:vertAlign w:val="baseline"/>
                <w:lang w:val="en-US" w:eastAsia="zh-CN"/>
              </w:rPr>
              <w:t>，旁边设置化粪池，粪便进入化粪池后，定期委托专业公司吸污车抽吸拉运至污水处理厂深度处理；</w:t>
            </w:r>
            <w:r>
              <w:rPr>
                <w:rFonts w:hint="eastAsia" w:ascii="Times New Roman" w:hAnsi="Times New Roman" w:eastAsia="宋体" w:cs="Times New Roman"/>
                <w:sz w:val="21"/>
                <w:szCs w:val="21"/>
                <w:lang w:val="en-US" w:eastAsia="zh-CN"/>
              </w:rPr>
              <w:t>机械、车辆冲洗废水设置冲洗平台，机械、车辆冲洗废水经沉淀后全部回用，不外排</w:t>
            </w:r>
          </w:p>
        </w:tc>
        <w:tc>
          <w:tcPr>
            <w:tcW w:w="890" w:type="pct"/>
            <w:noWrap w:val="0"/>
            <w:vAlign w:val="center"/>
          </w:tcPr>
          <w:p w14:paraId="4DC67858">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废水合理处置利用，不外排</w:t>
            </w:r>
          </w:p>
        </w:tc>
      </w:tr>
      <w:tr w14:paraId="5C29F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3" w:type="pct"/>
            <w:noWrap w:val="0"/>
            <w:vAlign w:val="center"/>
          </w:tcPr>
          <w:p w14:paraId="526287E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地下水及</w:t>
            </w:r>
          </w:p>
          <w:p w14:paraId="5EF3AE3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土壤环境</w:t>
            </w:r>
          </w:p>
        </w:tc>
        <w:tc>
          <w:tcPr>
            <w:tcW w:w="1194" w:type="pct"/>
            <w:noWrap w:val="0"/>
            <w:vAlign w:val="center"/>
          </w:tcPr>
          <w:p w14:paraId="49B4A12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386" w:type="pct"/>
            <w:noWrap w:val="0"/>
            <w:vAlign w:val="center"/>
          </w:tcPr>
          <w:p w14:paraId="61F3A3E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1795" w:type="pct"/>
            <w:noWrap w:val="0"/>
            <w:vAlign w:val="center"/>
          </w:tcPr>
          <w:p w14:paraId="31563EB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890" w:type="pct"/>
            <w:noWrap w:val="0"/>
            <w:vAlign w:val="center"/>
          </w:tcPr>
          <w:p w14:paraId="28AA61D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r>
      <w:tr w14:paraId="06F96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733" w:type="pct"/>
            <w:noWrap w:val="0"/>
            <w:vAlign w:val="center"/>
          </w:tcPr>
          <w:p w14:paraId="5206D22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声环境</w:t>
            </w:r>
          </w:p>
        </w:tc>
        <w:tc>
          <w:tcPr>
            <w:tcW w:w="1194" w:type="pct"/>
            <w:noWrap w:val="0"/>
            <w:vAlign w:val="center"/>
          </w:tcPr>
          <w:p w14:paraId="129E9CA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386" w:type="pct"/>
            <w:noWrap w:val="0"/>
            <w:vAlign w:val="center"/>
          </w:tcPr>
          <w:p w14:paraId="19E6E38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1795" w:type="pct"/>
            <w:noWrap w:val="0"/>
            <w:vAlign w:val="center"/>
          </w:tcPr>
          <w:p w14:paraId="2C8C7E7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cs="Times New Roman"/>
                <w:color w:val="FF0000"/>
                <w:sz w:val="21"/>
                <w:szCs w:val="21"/>
                <w:lang w:val="en-US" w:eastAsia="zh-CN"/>
              </w:rPr>
              <w:t>采用低噪声设备、</w:t>
            </w:r>
            <w:r>
              <w:rPr>
                <w:rFonts w:hint="eastAsia" w:ascii="Times New Roman" w:hAnsi="Times New Roman" w:cs="Times New Roman"/>
                <w:color w:val="FF0000"/>
                <w:sz w:val="21"/>
                <w:szCs w:val="21"/>
                <w:lang w:val="en-US" w:eastAsia="zh-CN"/>
              </w:rPr>
              <w:t>基础减震、经</w:t>
            </w:r>
            <w:r>
              <w:rPr>
                <w:rFonts w:hint="default" w:ascii="Times New Roman" w:hAnsi="Times New Roman" w:cs="Times New Roman"/>
                <w:color w:val="FF0000"/>
                <w:sz w:val="21"/>
                <w:szCs w:val="21"/>
                <w:lang w:val="en-US" w:eastAsia="zh-CN"/>
              </w:rPr>
              <w:t>距离衰减</w:t>
            </w:r>
            <w:r>
              <w:rPr>
                <w:rFonts w:hint="eastAsia" w:cs="Times New Roman"/>
                <w:color w:val="FF0000"/>
                <w:sz w:val="21"/>
                <w:szCs w:val="21"/>
                <w:lang w:val="en-US" w:eastAsia="zh-CN"/>
              </w:rPr>
              <w:t>，合理安排施工时间，加强运输车辆管理</w:t>
            </w:r>
          </w:p>
        </w:tc>
        <w:tc>
          <w:tcPr>
            <w:tcW w:w="890" w:type="pct"/>
            <w:noWrap w:val="0"/>
            <w:vAlign w:val="center"/>
          </w:tcPr>
          <w:p w14:paraId="74928224">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color w:val="FF0000"/>
                <w:kern w:val="2"/>
                <w:sz w:val="21"/>
                <w:szCs w:val="21"/>
                <w:lang w:val="en-US" w:eastAsia="zh-CN" w:bidi="ar-SA"/>
              </w:rPr>
            </w:pPr>
            <w:r>
              <w:rPr>
                <w:rFonts w:hint="default" w:ascii="Times New Roman" w:hAnsi="Times New Roman" w:cs="Times New Roman"/>
                <w:color w:val="FF0000"/>
                <w:sz w:val="21"/>
                <w:szCs w:val="21"/>
              </w:rPr>
              <w:t>满足《工业企业厂界环境噪声排放标准》</w:t>
            </w:r>
            <w:r>
              <w:rPr>
                <w:rFonts w:hint="default" w:ascii="Times New Roman" w:hAnsi="Times New Roman" w:cs="Times New Roman"/>
                <w:color w:val="FF0000"/>
                <w:sz w:val="21"/>
                <w:szCs w:val="21"/>
                <w:lang w:eastAsia="zh-CN"/>
              </w:rPr>
              <w:t>（</w:t>
            </w:r>
            <w:r>
              <w:rPr>
                <w:rFonts w:hint="default" w:ascii="Times New Roman" w:hAnsi="Times New Roman" w:cs="Times New Roman"/>
                <w:color w:val="FF0000"/>
                <w:sz w:val="21"/>
                <w:szCs w:val="21"/>
                <w:lang w:val="en-US" w:eastAsia="zh-CN"/>
              </w:rPr>
              <w:t>GB12348-2008</w:t>
            </w:r>
            <w:r>
              <w:rPr>
                <w:rFonts w:hint="default" w:ascii="Times New Roman" w:hAnsi="Times New Roman" w:cs="Times New Roman"/>
                <w:color w:val="FF0000"/>
                <w:sz w:val="21"/>
                <w:szCs w:val="21"/>
                <w:lang w:eastAsia="zh-CN"/>
              </w:rPr>
              <w:t>）</w:t>
            </w:r>
            <w:r>
              <w:rPr>
                <w:rFonts w:hint="default" w:ascii="Times New Roman" w:hAnsi="Times New Roman" w:cs="Times New Roman"/>
                <w:color w:val="FF0000"/>
                <w:sz w:val="21"/>
                <w:szCs w:val="21"/>
              </w:rPr>
              <w:t>中</w:t>
            </w:r>
            <w:r>
              <w:rPr>
                <w:rFonts w:hint="eastAsia" w:cs="Times New Roman"/>
                <w:color w:val="FF0000"/>
                <w:sz w:val="21"/>
                <w:szCs w:val="21"/>
                <w:lang w:val="en-US" w:eastAsia="zh-CN"/>
              </w:rPr>
              <w:t>2</w:t>
            </w:r>
            <w:r>
              <w:rPr>
                <w:rFonts w:hint="default" w:ascii="Times New Roman" w:hAnsi="Times New Roman" w:cs="Times New Roman"/>
                <w:color w:val="FF0000"/>
                <w:sz w:val="21"/>
                <w:szCs w:val="21"/>
              </w:rPr>
              <w:t>类标准要求</w:t>
            </w:r>
          </w:p>
        </w:tc>
      </w:tr>
      <w:tr w14:paraId="5CAB4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33" w:type="pct"/>
            <w:noWrap w:val="0"/>
            <w:vAlign w:val="center"/>
          </w:tcPr>
          <w:p w14:paraId="79DC5ED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振动</w:t>
            </w:r>
          </w:p>
        </w:tc>
        <w:tc>
          <w:tcPr>
            <w:tcW w:w="1194" w:type="pct"/>
            <w:noWrap w:val="0"/>
            <w:vAlign w:val="center"/>
          </w:tcPr>
          <w:p w14:paraId="1F79BF6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386" w:type="pct"/>
            <w:noWrap w:val="0"/>
            <w:vAlign w:val="center"/>
          </w:tcPr>
          <w:p w14:paraId="79AB8AC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1795" w:type="pct"/>
            <w:noWrap w:val="0"/>
            <w:vAlign w:val="center"/>
          </w:tcPr>
          <w:p w14:paraId="451679D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890" w:type="pct"/>
            <w:noWrap w:val="0"/>
            <w:vAlign w:val="center"/>
          </w:tcPr>
          <w:p w14:paraId="287F5D1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r>
      <w:tr w14:paraId="71910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3" w:type="pct"/>
            <w:noWrap w:val="0"/>
            <w:vAlign w:val="center"/>
          </w:tcPr>
          <w:p w14:paraId="15333EE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大气环境</w:t>
            </w:r>
          </w:p>
        </w:tc>
        <w:tc>
          <w:tcPr>
            <w:tcW w:w="1194" w:type="pct"/>
            <w:noWrap w:val="0"/>
            <w:vAlign w:val="center"/>
          </w:tcPr>
          <w:p w14:paraId="40BE710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386" w:type="pct"/>
            <w:noWrap w:val="0"/>
            <w:vAlign w:val="center"/>
          </w:tcPr>
          <w:p w14:paraId="4F73DF7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1795" w:type="pct"/>
            <w:noWrap w:val="0"/>
            <w:vAlign w:val="center"/>
          </w:tcPr>
          <w:p w14:paraId="24268AAC">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color w:val="FF0000"/>
                <w:sz w:val="21"/>
                <w:szCs w:val="21"/>
                <w:lang w:val="en-US" w:eastAsia="zh-CN"/>
              </w:rPr>
              <w:t>矿区道路、开采点和排土场采用</w:t>
            </w:r>
            <w:r>
              <w:rPr>
                <w:rFonts w:hint="eastAsia" w:ascii="Times New Roman" w:hAnsi="Times New Roman" w:cs="Times New Roman"/>
                <w:color w:val="FF0000"/>
                <w:sz w:val="21"/>
                <w:szCs w:val="21"/>
                <w:lang w:val="en-US" w:eastAsia="zh-CN"/>
              </w:rPr>
              <w:t>洒水车、</w:t>
            </w:r>
            <w:r>
              <w:rPr>
                <w:rFonts w:hint="default" w:ascii="Times New Roman" w:hAnsi="Times New Roman" w:cs="Times New Roman"/>
                <w:color w:val="FF0000"/>
                <w:sz w:val="21"/>
                <w:szCs w:val="21"/>
                <w:lang w:val="en-US" w:eastAsia="zh-CN"/>
              </w:rPr>
              <w:t>雾炮</w:t>
            </w:r>
            <w:r>
              <w:rPr>
                <w:rFonts w:hint="eastAsia" w:ascii="Times New Roman" w:hAnsi="Times New Roman" w:cs="Times New Roman"/>
                <w:color w:val="FF0000"/>
                <w:sz w:val="21"/>
                <w:szCs w:val="21"/>
                <w:lang w:val="en-US" w:eastAsia="zh-CN"/>
              </w:rPr>
              <w:t>机</w:t>
            </w:r>
            <w:r>
              <w:rPr>
                <w:rFonts w:hint="default" w:ascii="Times New Roman" w:hAnsi="Times New Roman" w:cs="Times New Roman"/>
                <w:color w:val="FF0000"/>
                <w:sz w:val="21"/>
                <w:szCs w:val="21"/>
                <w:lang w:val="en-US" w:eastAsia="zh-CN"/>
              </w:rPr>
              <w:t>洒水降尘；</w:t>
            </w:r>
            <w:r>
              <w:rPr>
                <w:rFonts w:hint="eastAsia" w:cs="Times New Roman"/>
                <w:color w:val="FF0000"/>
                <w:sz w:val="21"/>
                <w:szCs w:val="21"/>
                <w:lang w:val="en-US" w:eastAsia="zh-CN"/>
              </w:rPr>
              <w:t>生产车间、</w:t>
            </w:r>
            <w:r>
              <w:rPr>
                <w:rFonts w:hint="eastAsia" w:ascii="Times New Roman" w:hAnsi="Times New Roman" w:cs="Times New Roman"/>
                <w:color w:val="FF0000"/>
                <w:sz w:val="21"/>
                <w:szCs w:val="21"/>
                <w:lang w:val="en-US" w:eastAsia="zh-CN"/>
              </w:rPr>
              <w:t>破碎</w:t>
            </w:r>
            <w:r>
              <w:rPr>
                <w:rFonts w:hint="eastAsia" w:cs="Times New Roman"/>
                <w:color w:val="FF0000"/>
                <w:sz w:val="21"/>
                <w:szCs w:val="21"/>
                <w:lang w:val="en-US" w:eastAsia="zh-CN"/>
              </w:rPr>
              <w:t>车间、筛分</w:t>
            </w:r>
            <w:r>
              <w:rPr>
                <w:rFonts w:hint="eastAsia" w:ascii="Times New Roman" w:hAnsi="Times New Roman" w:cs="Times New Roman"/>
                <w:color w:val="FF0000"/>
                <w:sz w:val="21"/>
                <w:szCs w:val="21"/>
                <w:lang w:val="en-US" w:eastAsia="zh-CN"/>
              </w:rPr>
              <w:t>车间设置</w:t>
            </w:r>
            <w:r>
              <w:rPr>
                <w:rFonts w:hint="eastAsia" w:cs="Times New Roman"/>
                <w:color w:val="FF0000"/>
                <w:sz w:val="21"/>
                <w:szCs w:val="21"/>
                <w:lang w:val="en-US" w:eastAsia="zh-CN"/>
              </w:rPr>
              <w:t>封闭车间</w:t>
            </w:r>
            <w:r>
              <w:rPr>
                <w:rFonts w:hint="eastAsia" w:ascii="Times New Roman" w:hAnsi="Times New Roman" w:cs="Times New Roman"/>
                <w:color w:val="FF0000"/>
                <w:sz w:val="21"/>
                <w:szCs w:val="21"/>
                <w:lang w:val="en-US" w:eastAsia="zh-CN"/>
              </w:rPr>
              <w:t>，</w:t>
            </w:r>
            <w:r>
              <w:rPr>
                <w:rFonts w:hint="eastAsia" w:cs="Times New Roman"/>
                <w:color w:val="FF0000"/>
                <w:sz w:val="21"/>
                <w:szCs w:val="21"/>
                <w:lang w:val="en-US" w:eastAsia="zh-CN"/>
              </w:rPr>
              <w:t>车间顶部设置喷淋头喷淋</w:t>
            </w:r>
            <w:r>
              <w:rPr>
                <w:rFonts w:hint="default" w:ascii="Times New Roman" w:hAnsi="Times New Roman" w:cs="Times New Roman"/>
                <w:color w:val="FF0000"/>
                <w:sz w:val="21"/>
                <w:szCs w:val="21"/>
                <w:lang w:val="en-US" w:eastAsia="zh-CN"/>
              </w:rPr>
              <w:t>降尘；</w:t>
            </w:r>
            <w:r>
              <w:rPr>
                <w:rFonts w:hint="default" w:ascii="Times New Roman" w:hAnsi="Times New Roman" w:eastAsia="宋体" w:cs="Times New Roman"/>
                <w:color w:val="FF0000"/>
                <w:sz w:val="21"/>
                <w:szCs w:val="21"/>
                <w:lang w:eastAsia="zh-CN"/>
              </w:rPr>
              <w:t>运输车辆</w:t>
            </w:r>
            <w:r>
              <w:rPr>
                <w:rFonts w:hint="default" w:ascii="Times New Roman" w:hAnsi="Times New Roman" w:eastAsia="宋体" w:cs="Times New Roman"/>
                <w:color w:val="FF0000"/>
                <w:sz w:val="21"/>
                <w:szCs w:val="21"/>
                <w:lang w:val="en-US" w:eastAsia="zh-CN"/>
              </w:rPr>
              <w:t>采取篷布覆盖</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lang w:eastAsia="zh-CN"/>
              </w:rPr>
              <w:t>对道路进行洒水降尘</w:t>
            </w:r>
            <w:r>
              <w:rPr>
                <w:rFonts w:hint="eastAsia" w:ascii="Times New Roman" w:hAnsi="Times New Roman" w:eastAsia="宋体" w:cs="Times New Roman"/>
                <w:color w:val="FF0000"/>
                <w:sz w:val="21"/>
                <w:szCs w:val="21"/>
                <w:lang w:eastAsia="zh-CN"/>
              </w:rPr>
              <w:t>，</w:t>
            </w:r>
            <w:r>
              <w:rPr>
                <w:rFonts w:hint="default" w:ascii="Times New Roman" w:hAnsi="Times New Roman" w:cs="Times New Roman"/>
                <w:color w:val="FF0000"/>
                <w:sz w:val="21"/>
                <w:szCs w:val="21"/>
                <w:lang w:val="en-US" w:eastAsia="zh-CN"/>
              </w:rPr>
              <w:t>设置车辆冲洗平台；</w:t>
            </w:r>
            <w:r>
              <w:rPr>
                <w:rFonts w:hint="eastAsia" w:ascii="Times New Roman" w:hAnsi="Times New Roman" w:cs="Times New Roman"/>
                <w:color w:val="FF0000"/>
                <w:sz w:val="21"/>
                <w:szCs w:val="21"/>
                <w:lang w:val="en-US" w:eastAsia="zh-CN"/>
              </w:rPr>
              <w:t>开采区</w:t>
            </w:r>
            <w:r>
              <w:rPr>
                <w:rFonts w:hint="default" w:ascii="Times New Roman" w:hAnsi="Times New Roman" w:cs="Times New Roman"/>
                <w:color w:val="FF0000"/>
                <w:sz w:val="21"/>
                <w:szCs w:val="21"/>
                <w:lang w:val="en-US" w:eastAsia="zh-CN"/>
              </w:rPr>
              <w:t>设置有挡墙、截水沟等</w:t>
            </w:r>
            <w:r>
              <w:rPr>
                <w:rFonts w:hint="eastAsia" w:ascii="Times New Roman" w:hAnsi="Times New Roman" w:cs="Times New Roman"/>
                <w:color w:val="FF0000"/>
                <w:sz w:val="21"/>
                <w:szCs w:val="21"/>
                <w:lang w:val="en-US" w:eastAsia="zh-CN"/>
              </w:rPr>
              <w:t>；排土场</w:t>
            </w:r>
            <w:r>
              <w:rPr>
                <w:rFonts w:hint="default" w:ascii="Times New Roman" w:hAnsi="Times New Roman" w:eastAsia="宋体" w:cs="Times New Roman"/>
                <w:color w:val="FF0000"/>
                <w:sz w:val="21"/>
                <w:szCs w:val="21"/>
                <w:lang w:val="en-US" w:eastAsia="zh-CN"/>
              </w:rPr>
              <w:t>防尘网苫盖并辅以洒水措施</w:t>
            </w:r>
            <w:r>
              <w:rPr>
                <w:rFonts w:hint="eastAsia" w:ascii="Times New Roman" w:hAnsi="Times New Roman" w:cs="Times New Roman"/>
                <w:color w:val="FF0000"/>
                <w:sz w:val="21"/>
                <w:szCs w:val="21"/>
                <w:lang w:val="en-US" w:eastAsia="zh-CN"/>
              </w:rPr>
              <w:t>；</w:t>
            </w:r>
            <w:r>
              <w:rPr>
                <w:rFonts w:hint="eastAsia" w:cs="Times New Roman"/>
                <w:color w:val="FF0000"/>
                <w:sz w:val="21"/>
                <w:szCs w:val="21"/>
                <w:lang w:val="en-US" w:eastAsia="zh-CN"/>
              </w:rPr>
              <w:t>成品</w:t>
            </w:r>
            <w:r>
              <w:rPr>
                <w:rFonts w:hint="eastAsia" w:ascii="Times New Roman" w:hAnsi="Times New Roman" w:cs="Times New Roman"/>
                <w:color w:val="FF0000"/>
                <w:sz w:val="21"/>
                <w:szCs w:val="21"/>
                <w:lang w:val="en-US" w:eastAsia="zh-CN"/>
              </w:rPr>
              <w:t>堆场设置</w:t>
            </w:r>
            <w:r>
              <w:rPr>
                <w:rFonts w:hint="eastAsia" w:cs="Times New Roman"/>
                <w:color w:val="FF0000"/>
                <w:sz w:val="21"/>
                <w:szCs w:val="21"/>
                <w:lang w:val="en-US" w:eastAsia="zh-CN"/>
              </w:rPr>
              <w:t>封闭车间</w:t>
            </w:r>
            <w:r>
              <w:rPr>
                <w:rFonts w:hint="eastAsia" w:ascii="Times New Roman" w:hAnsi="Times New Roman" w:cs="Times New Roman"/>
                <w:color w:val="FF0000"/>
                <w:sz w:val="21"/>
                <w:szCs w:val="21"/>
                <w:lang w:val="en-US" w:eastAsia="zh-CN"/>
              </w:rPr>
              <w:t>，</w:t>
            </w:r>
            <w:r>
              <w:rPr>
                <w:rFonts w:hint="eastAsia" w:cs="Times New Roman"/>
                <w:color w:val="FF0000"/>
                <w:sz w:val="21"/>
                <w:szCs w:val="21"/>
                <w:lang w:val="en-US" w:eastAsia="zh-CN"/>
              </w:rPr>
              <w:t>车间顶部设置喷淋头喷淋降尘</w:t>
            </w:r>
          </w:p>
        </w:tc>
        <w:tc>
          <w:tcPr>
            <w:tcW w:w="890" w:type="pct"/>
            <w:noWrap w:val="0"/>
            <w:vAlign w:val="center"/>
          </w:tcPr>
          <w:p w14:paraId="5C601F7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color w:val="000000"/>
                <w:sz w:val="21"/>
                <w:szCs w:val="21"/>
              </w:rPr>
              <w:t>满足《大气污染物综合排放标准》（GB16297-1996）表2中的颗粒物最高允许排放浓度的要求</w:t>
            </w:r>
          </w:p>
        </w:tc>
      </w:tr>
      <w:tr w14:paraId="520BA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3" w:type="pct"/>
            <w:noWrap w:val="0"/>
            <w:vAlign w:val="center"/>
          </w:tcPr>
          <w:p w14:paraId="3398E3C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1194" w:type="pct"/>
            <w:noWrap w:val="0"/>
            <w:vAlign w:val="center"/>
          </w:tcPr>
          <w:p w14:paraId="3E2182B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386" w:type="pct"/>
            <w:noWrap w:val="0"/>
            <w:vAlign w:val="center"/>
          </w:tcPr>
          <w:p w14:paraId="0C2D5CB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1795" w:type="pct"/>
            <w:noWrap w:val="0"/>
            <w:vAlign w:val="center"/>
          </w:tcPr>
          <w:p w14:paraId="4D9A76AA">
            <w:pPr>
              <w:keepNext w:val="0"/>
              <w:keepLines w:val="0"/>
              <w:pageBreakBefore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lang w:val="en-US" w:eastAsia="zh-CN"/>
              </w:rPr>
              <w:t>表土单独存放于</w:t>
            </w:r>
            <w:r>
              <w:rPr>
                <w:rFonts w:hint="eastAsia" w:cs="Times New Roman"/>
                <w:color w:val="FF0000"/>
                <w:sz w:val="21"/>
                <w:szCs w:val="21"/>
                <w:highlight w:val="none"/>
                <w:lang w:val="en-US" w:eastAsia="zh-CN"/>
              </w:rPr>
              <w:t>东侧</w:t>
            </w:r>
            <w:r>
              <w:rPr>
                <w:rFonts w:hint="default" w:ascii="Times New Roman" w:hAnsi="Times New Roman" w:eastAsia="宋体" w:cs="Times New Roman"/>
                <w:color w:val="FF0000"/>
                <w:sz w:val="21"/>
                <w:szCs w:val="21"/>
                <w:highlight w:val="none"/>
                <w:lang w:val="en-US" w:eastAsia="zh-CN"/>
              </w:rPr>
              <w:t>排土场，妥善保存，与废石分开堆放，用于后期植被恢复；废石堆放至</w:t>
            </w:r>
            <w:r>
              <w:rPr>
                <w:rFonts w:hint="eastAsia" w:cs="Times New Roman"/>
                <w:color w:val="FF0000"/>
                <w:sz w:val="21"/>
                <w:szCs w:val="21"/>
                <w:highlight w:val="none"/>
                <w:lang w:val="en-US" w:eastAsia="zh-CN"/>
              </w:rPr>
              <w:t>西侧</w:t>
            </w:r>
            <w:r>
              <w:rPr>
                <w:rFonts w:hint="default" w:ascii="Times New Roman" w:hAnsi="Times New Roman" w:eastAsia="宋体" w:cs="Times New Roman"/>
                <w:color w:val="FF0000"/>
                <w:sz w:val="21"/>
                <w:szCs w:val="21"/>
                <w:highlight w:val="none"/>
                <w:lang w:val="en-US" w:eastAsia="zh-CN"/>
              </w:rPr>
              <w:t>排土场，用于后期采空区回填</w:t>
            </w:r>
            <w:r>
              <w:rPr>
                <w:rFonts w:hint="eastAsia" w:ascii="Times New Roman" w:hAnsi="Times New Roman" w:eastAsia="宋体" w:cs="Times New Roman"/>
                <w:color w:val="FF0000"/>
                <w:sz w:val="21"/>
                <w:szCs w:val="21"/>
                <w:highlight w:val="none"/>
                <w:lang w:val="en-US" w:eastAsia="zh-CN"/>
              </w:rPr>
              <w:t>；沉淀池底泥集中收集用于后续土地复垦回填；</w:t>
            </w:r>
            <w:r>
              <w:rPr>
                <w:rFonts w:hint="default" w:ascii="Times New Roman" w:hAnsi="Times New Roman" w:eastAsia="宋体" w:cs="Times New Roman"/>
                <w:color w:val="FF0000"/>
                <w:sz w:val="21"/>
                <w:szCs w:val="21"/>
                <w:highlight w:val="none"/>
                <w:lang w:val="en-US" w:eastAsia="zh-CN"/>
              </w:rPr>
              <w:t>项目区设置生活垃圾箱，收集项目区人员</w:t>
            </w:r>
            <w:r>
              <w:rPr>
                <w:rFonts w:hint="default" w:ascii="Times New Roman" w:hAnsi="Times New Roman" w:eastAsia="宋体" w:cs="Times New Roman"/>
                <w:color w:val="FF0000"/>
                <w:sz w:val="21"/>
                <w:szCs w:val="21"/>
                <w:highlight w:val="none"/>
              </w:rPr>
              <w:t>生活垃圾</w:t>
            </w:r>
            <w:r>
              <w:rPr>
                <w:rFonts w:hint="default"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由当地环卫部门统一清运；</w:t>
            </w:r>
            <w:r>
              <w:rPr>
                <w:rFonts w:hint="default" w:ascii="Times New Roman" w:hAnsi="Times New Roman" w:eastAsia="宋体" w:cs="Times New Roman"/>
                <w:color w:val="FF0000"/>
                <w:sz w:val="21"/>
                <w:szCs w:val="21"/>
                <w:highlight w:val="none"/>
                <w:lang w:eastAsia="zh-CN"/>
              </w:rPr>
              <w:t>设置</w:t>
            </w:r>
            <w:r>
              <w:rPr>
                <w:rFonts w:hint="eastAsia" w:ascii="Times New Roman" w:hAnsi="Times New Roman" w:eastAsia="宋体" w:cs="Times New Roman"/>
                <w:color w:val="FF0000"/>
                <w:sz w:val="21"/>
                <w:szCs w:val="21"/>
                <w:highlight w:val="none"/>
                <w:lang w:eastAsia="zh-CN"/>
              </w:rPr>
              <w:t>危险废物贮存库</w:t>
            </w:r>
            <w:r>
              <w:rPr>
                <w:rFonts w:hint="default" w:ascii="Times New Roman" w:hAnsi="Times New Roman" w:eastAsia="宋体" w:cs="Times New Roman"/>
                <w:color w:val="FF0000"/>
                <w:sz w:val="21"/>
                <w:szCs w:val="21"/>
                <w:highlight w:val="none"/>
                <w:lang w:val="en-US" w:eastAsia="zh-CN"/>
              </w:rPr>
              <w:t>1间，面积约10m</w:t>
            </w:r>
            <w:r>
              <w:rPr>
                <w:rFonts w:hint="default" w:ascii="Times New Roman" w:hAnsi="Times New Roman" w:eastAsia="宋体" w:cs="Times New Roman"/>
                <w:color w:val="FF0000"/>
                <w:sz w:val="21"/>
                <w:szCs w:val="21"/>
                <w:highlight w:val="none"/>
                <w:vertAlign w:val="superscript"/>
                <w:lang w:val="en-US" w:eastAsia="zh-CN"/>
              </w:rPr>
              <w:t>2</w:t>
            </w:r>
            <w:r>
              <w:rPr>
                <w:rFonts w:hint="default" w:ascii="Times New Roman" w:hAnsi="Times New Roman" w:eastAsia="宋体" w:cs="Times New Roman"/>
                <w:color w:val="FF0000"/>
                <w:sz w:val="21"/>
                <w:szCs w:val="21"/>
                <w:highlight w:val="none"/>
                <w:lang w:val="en-US" w:eastAsia="zh-CN"/>
              </w:rPr>
              <w:t>，</w:t>
            </w:r>
            <w:r>
              <w:rPr>
                <w:rFonts w:hint="default" w:ascii="Times New Roman" w:hAnsi="Times New Roman" w:eastAsia="宋体" w:cs="Times New Roman"/>
                <w:color w:val="FF0000"/>
                <w:sz w:val="21"/>
                <w:szCs w:val="21"/>
                <w:highlight w:val="none"/>
                <w:lang w:eastAsia="zh-CN"/>
              </w:rPr>
              <w:t>与</w:t>
            </w:r>
            <w:r>
              <w:rPr>
                <w:rFonts w:hint="eastAsia" w:cs="Times New Roman"/>
                <w:color w:val="FF0000"/>
                <w:sz w:val="21"/>
                <w:szCs w:val="21"/>
                <w:highlight w:val="none"/>
                <w:lang w:val="en-US" w:eastAsia="zh-CN"/>
              </w:rPr>
              <w:t>有</w:t>
            </w:r>
            <w:r>
              <w:rPr>
                <w:rFonts w:hint="default" w:ascii="Times New Roman" w:hAnsi="Times New Roman" w:eastAsia="宋体" w:cs="Times New Roman"/>
                <w:color w:val="FF0000"/>
                <w:sz w:val="21"/>
                <w:szCs w:val="21"/>
                <w:highlight w:val="none"/>
                <w:lang w:eastAsia="zh-CN"/>
              </w:rPr>
              <w:t>资质</w:t>
            </w:r>
            <w:r>
              <w:rPr>
                <w:rFonts w:hint="eastAsia" w:cs="Times New Roman"/>
                <w:color w:val="FF0000"/>
                <w:sz w:val="21"/>
                <w:szCs w:val="21"/>
                <w:highlight w:val="none"/>
                <w:lang w:val="en-US" w:eastAsia="zh-CN"/>
              </w:rPr>
              <w:t>的</w:t>
            </w:r>
            <w:r>
              <w:rPr>
                <w:rFonts w:hint="default" w:ascii="Times New Roman" w:hAnsi="Times New Roman" w:eastAsia="宋体" w:cs="Times New Roman"/>
                <w:color w:val="FF0000"/>
                <w:sz w:val="21"/>
                <w:szCs w:val="21"/>
                <w:highlight w:val="none"/>
                <w:lang w:eastAsia="zh-CN"/>
              </w:rPr>
              <w:t>单位</w:t>
            </w:r>
            <w:r>
              <w:rPr>
                <w:rFonts w:hint="eastAsia" w:cs="Times New Roman"/>
                <w:color w:val="FF0000"/>
                <w:sz w:val="21"/>
                <w:szCs w:val="21"/>
                <w:highlight w:val="none"/>
                <w:lang w:eastAsia="zh-CN"/>
              </w:rPr>
              <w:t>签订</w:t>
            </w:r>
            <w:r>
              <w:rPr>
                <w:rFonts w:hint="default" w:ascii="Times New Roman" w:hAnsi="Times New Roman" w:eastAsia="宋体" w:cs="Times New Roman"/>
                <w:color w:val="FF0000"/>
                <w:sz w:val="21"/>
                <w:szCs w:val="21"/>
                <w:highlight w:val="none"/>
                <w:lang w:eastAsia="zh-CN"/>
              </w:rPr>
              <w:t>危废</w:t>
            </w:r>
            <w:r>
              <w:rPr>
                <w:rFonts w:hint="eastAsia" w:cs="Times New Roman"/>
                <w:color w:val="FF0000"/>
                <w:sz w:val="21"/>
                <w:szCs w:val="21"/>
                <w:highlight w:val="none"/>
                <w:lang w:val="en-US" w:eastAsia="zh-CN"/>
              </w:rPr>
              <w:t>处置</w:t>
            </w:r>
            <w:r>
              <w:rPr>
                <w:rFonts w:hint="default" w:ascii="Times New Roman" w:hAnsi="Times New Roman" w:eastAsia="宋体" w:cs="Times New Roman"/>
                <w:color w:val="FF0000"/>
                <w:sz w:val="21"/>
                <w:szCs w:val="21"/>
                <w:highlight w:val="none"/>
                <w:lang w:eastAsia="zh-CN"/>
              </w:rPr>
              <w:t>协议</w:t>
            </w:r>
          </w:p>
        </w:tc>
        <w:tc>
          <w:tcPr>
            <w:tcW w:w="890" w:type="pct"/>
            <w:noWrap w:val="0"/>
            <w:vAlign w:val="center"/>
          </w:tcPr>
          <w:p w14:paraId="6AFCF478">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生活垃圾合理处置；</w:t>
            </w:r>
            <w:r>
              <w:rPr>
                <w:rFonts w:hint="default" w:ascii="Times New Roman" w:hAnsi="Times New Roman" w:cs="Times New Roman"/>
                <w:sz w:val="21"/>
                <w:szCs w:val="21"/>
                <w:lang w:val="en-US" w:eastAsia="zh-CN"/>
              </w:rPr>
              <w:t>工业固废满足《一般工业固体废物贮存和填埋污染控制标准》</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GB18599-2020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中相应</w:t>
            </w:r>
            <w:r>
              <w:rPr>
                <w:rFonts w:hint="eastAsia" w:cs="Times New Roman"/>
                <w:sz w:val="21"/>
                <w:szCs w:val="21"/>
                <w:lang w:val="en-US" w:eastAsia="zh-CN"/>
              </w:rPr>
              <w:t>要求</w:t>
            </w:r>
            <w:r>
              <w:rPr>
                <w:rFonts w:hint="eastAsia" w:ascii="Times New Roman" w:hAnsi="Times New Roman" w:cs="Times New Roman"/>
                <w:sz w:val="21"/>
                <w:szCs w:val="21"/>
                <w:lang w:val="en-US" w:eastAsia="zh-CN"/>
              </w:rPr>
              <w:t>；</w:t>
            </w:r>
            <w:r>
              <w:rPr>
                <w:rFonts w:hint="eastAsia" w:cs="Times New Roman"/>
                <w:sz w:val="21"/>
                <w:szCs w:val="21"/>
                <w:lang w:val="en-US" w:eastAsia="zh-CN"/>
              </w:rPr>
              <w:t>危废</w:t>
            </w:r>
            <w:r>
              <w:rPr>
                <w:rFonts w:hint="default" w:ascii="Times New Roman" w:hAnsi="Times New Roman" w:cs="Times New Roman"/>
                <w:sz w:val="21"/>
                <w:szCs w:val="21"/>
                <w:lang w:val="en-US" w:eastAsia="zh-CN"/>
              </w:rPr>
              <w:t>满足《危险废物贮存污染控制标准》</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GB18597-2023</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中相关要求</w:t>
            </w:r>
          </w:p>
        </w:tc>
      </w:tr>
      <w:tr w14:paraId="3711E2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33" w:type="pct"/>
            <w:noWrap w:val="0"/>
            <w:vAlign w:val="center"/>
          </w:tcPr>
          <w:p w14:paraId="5AA85D6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电磁环境</w:t>
            </w:r>
          </w:p>
        </w:tc>
        <w:tc>
          <w:tcPr>
            <w:tcW w:w="1194" w:type="pct"/>
            <w:noWrap w:val="0"/>
            <w:vAlign w:val="center"/>
          </w:tcPr>
          <w:p w14:paraId="08273D9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386" w:type="pct"/>
            <w:noWrap w:val="0"/>
            <w:vAlign w:val="center"/>
          </w:tcPr>
          <w:p w14:paraId="618C3B8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1795" w:type="pct"/>
            <w:noWrap w:val="0"/>
            <w:vAlign w:val="center"/>
          </w:tcPr>
          <w:p w14:paraId="7C52F5A4">
            <w:pPr>
              <w:keepNext w:val="0"/>
              <w:keepLines w:val="0"/>
              <w:pageBreakBefore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w:t>
            </w:r>
          </w:p>
        </w:tc>
        <w:tc>
          <w:tcPr>
            <w:tcW w:w="890" w:type="pct"/>
            <w:noWrap w:val="0"/>
            <w:vAlign w:val="center"/>
          </w:tcPr>
          <w:p w14:paraId="27B1A11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r>
      <w:tr w14:paraId="25349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33" w:type="pct"/>
            <w:noWrap w:val="0"/>
            <w:vAlign w:val="center"/>
          </w:tcPr>
          <w:p w14:paraId="12A4037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环境风险</w:t>
            </w:r>
          </w:p>
        </w:tc>
        <w:tc>
          <w:tcPr>
            <w:tcW w:w="1194" w:type="pct"/>
            <w:noWrap w:val="0"/>
            <w:vAlign w:val="center"/>
          </w:tcPr>
          <w:p w14:paraId="5D6AA77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386" w:type="pct"/>
            <w:noWrap w:val="0"/>
            <w:vAlign w:val="center"/>
          </w:tcPr>
          <w:p w14:paraId="1040890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795" w:type="pct"/>
            <w:noWrap w:val="0"/>
            <w:vAlign w:val="center"/>
          </w:tcPr>
          <w:p w14:paraId="481B4733">
            <w:pPr>
              <w:keepNext w:val="0"/>
              <w:keepLines w:val="0"/>
              <w:pageBreakBefore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危险废物贮存库</w:t>
            </w:r>
            <w:r>
              <w:rPr>
                <w:rFonts w:hint="eastAsia" w:ascii="Times New Roman" w:hAnsi="Times New Roman" w:eastAsia="宋体" w:cs="Times New Roman"/>
                <w:color w:val="000000"/>
                <w:kern w:val="2"/>
                <w:sz w:val="21"/>
                <w:szCs w:val="21"/>
                <w:highlight w:val="none"/>
                <w:lang w:val="en-US" w:eastAsia="zh-CN" w:bidi="ar-SA"/>
              </w:rPr>
              <w:t>配备干粉灭火器、吸油毡或消防沙等消防器材；</w:t>
            </w:r>
            <w:r>
              <w:rPr>
                <w:rFonts w:hint="eastAsia" w:cs="Times New Roman"/>
                <w:color w:val="000000"/>
                <w:kern w:val="2"/>
                <w:sz w:val="21"/>
                <w:szCs w:val="21"/>
                <w:highlight w:val="none"/>
                <w:lang w:val="en-US" w:eastAsia="zh-CN" w:bidi="ar-SA"/>
              </w:rPr>
              <w:t>危险废物贮存库</w:t>
            </w:r>
            <w:r>
              <w:rPr>
                <w:rFonts w:hint="eastAsia" w:ascii="Times New Roman" w:hAnsi="Times New Roman" w:eastAsia="宋体" w:cs="Times New Roman"/>
                <w:color w:val="000000"/>
                <w:kern w:val="2"/>
                <w:sz w:val="21"/>
                <w:szCs w:val="21"/>
                <w:highlight w:val="none"/>
                <w:lang w:val="en-US" w:eastAsia="zh-CN" w:bidi="ar-SA"/>
              </w:rPr>
              <w:t>须满足《危险废物贮存污染控制标准》（GB18597-2023）的要求，尤其是</w:t>
            </w:r>
            <w:r>
              <w:rPr>
                <w:rFonts w:hint="eastAsia" w:cs="Times New Roman"/>
                <w:color w:val="000000"/>
                <w:kern w:val="2"/>
                <w:sz w:val="21"/>
                <w:szCs w:val="21"/>
                <w:highlight w:val="none"/>
                <w:lang w:val="en-US" w:eastAsia="zh-CN" w:bidi="ar-SA"/>
              </w:rPr>
              <w:t>贮存库</w:t>
            </w:r>
            <w:r>
              <w:rPr>
                <w:rFonts w:hint="eastAsia" w:ascii="Times New Roman" w:hAnsi="Times New Roman" w:eastAsia="宋体" w:cs="Times New Roman"/>
                <w:color w:val="000000"/>
                <w:kern w:val="2"/>
                <w:sz w:val="21"/>
                <w:szCs w:val="21"/>
                <w:highlight w:val="none"/>
                <w:lang w:val="en-US" w:eastAsia="zh-CN" w:bidi="ar-SA"/>
              </w:rPr>
              <w:t>内部地面除硬化外，应做好地面防渗处理，周围设置围堰，</w:t>
            </w:r>
            <w:r>
              <w:rPr>
                <w:rFonts w:hint="eastAsia" w:cs="Times New Roman"/>
                <w:color w:val="000000"/>
                <w:kern w:val="2"/>
                <w:sz w:val="21"/>
                <w:szCs w:val="21"/>
                <w:highlight w:val="none"/>
                <w:lang w:val="en-US" w:eastAsia="zh-CN" w:bidi="ar-SA"/>
              </w:rPr>
              <w:t>做到</w:t>
            </w:r>
            <w:r>
              <w:rPr>
                <w:rFonts w:hint="eastAsia" w:ascii="Times New Roman" w:hAnsi="Times New Roman" w:eastAsia="宋体" w:cs="Times New Roman"/>
                <w:color w:val="000000"/>
                <w:kern w:val="2"/>
                <w:sz w:val="21"/>
                <w:szCs w:val="21"/>
                <w:highlight w:val="none"/>
                <w:lang w:val="en-US" w:eastAsia="zh-CN" w:bidi="ar-SA"/>
              </w:rPr>
              <w:t>防风、防晒、防雨、防漏、防渗、防腐；及时办理转移手续，尽可能减少现场贮存量和缩短贮存周期；在油桶底部设置防渗托盘，托盘的有效容积应大于机油容器容积，用于机油泄漏事故情况下的收集处置；对岗位职工进行岗前培训，禁止带入非防爆电器，提高职工对有毒有害、易燃易爆物质的安全意识和安全专业知识。</w:t>
            </w:r>
            <w:r>
              <w:rPr>
                <w:rFonts w:hint="eastAsia" w:cs="Times New Roman"/>
                <w:color w:val="0000FC"/>
                <w:kern w:val="2"/>
                <w:sz w:val="21"/>
                <w:szCs w:val="21"/>
                <w:highlight w:val="none"/>
                <w:lang w:val="en-US" w:eastAsia="zh-CN" w:bidi="ar-SA"/>
              </w:rPr>
              <w:t>柴油由油罐车随用随拉，不得随意储存。柴油罐车进场加强管理，防止跑冒滴漏等现象发生，待加油后油罐车及时出场，将临时油桶内油全部利用后，封存在机修间内。</w:t>
            </w:r>
            <w:r>
              <w:rPr>
                <w:rFonts w:hint="eastAsia" w:ascii="Times New Roman" w:hAnsi="Times New Roman" w:eastAsia="宋体" w:cs="Times New Roman"/>
                <w:color w:val="000000"/>
                <w:kern w:val="2"/>
                <w:sz w:val="21"/>
                <w:szCs w:val="21"/>
                <w:highlight w:val="none"/>
                <w:lang w:val="en-US" w:eastAsia="zh-CN" w:bidi="ar-SA"/>
              </w:rPr>
              <w:t>同时，制定安全操作规程和安全管理规章制度，严格执行岗位责任制。</w:t>
            </w:r>
          </w:p>
        </w:tc>
        <w:tc>
          <w:tcPr>
            <w:tcW w:w="890" w:type="pct"/>
            <w:noWrap w:val="0"/>
            <w:vAlign w:val="center"/>
          </w:tcPr>
          <w:p w14:paraId="1CCF168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3040E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33" w:type="pct"/>
            <w:noWrap w:val="0"/>
            <w:vAlign w:val="center"/>
          </w:tcPr>
          <w:p w14:paraId="2696C07B">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环境监测</w:t>
            </w:r>
          </w:p>
        </w:tc>
        <w:tc>
          <w:tcPr>
            <w:tcW w:w="1194" w:type="pct"/>
            <w:noWrap w:val="0"/>
            <w:vAlign w:val="center"/>
          </w:tcPr>
          <w:p w14:paraId="1831A17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386" w:type="pct"/>
            <w:noWrap w:val="0"/>
            <w:vAlign w:val="center"/>
          </w:tcPr>
          <w:p w14:paraId="72BF3B0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1795" w:type="pct"/>
            <w:noWrap w:val="0"/>
            <w:vAlign w:val="center"/>
          </w:tcPr>
          <w:p w14:paraId="296E24C9">
            <w:pPr>
              <w:keepNext w:val="0"/>
              <w:keepLines w:val="0"/>
              <w:pageBreakBefore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w:t>
            </w:r>
          </w:p>
        </w:tc>
        <w:tc>
          <w:tcPr>
            <w:tcW w:w="890" w:type="pct"/>
            <w:noWrap w:val="0"/>
            <w:vAlign w:val="center"/>
          </w:tcPr>
          <w:p w14:paraId="0CCFB00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r>
      <w:tr w14:paraId="3F3A8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3" w:type="pct"/>
            <w:noWrap w:val="0"/>
            <w:vAlign w:val="center"/>
          </w:tcPr>
          <w:p w14:paraId="403CE9E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其他</w:t>
            </w:r>
          </w:p>
        </w:tc>
        <w:tc>
          <w:tcPr>
            <w:tcW w:w="1194" w:type="pct"/>
            <w:noWrap w:val="0"/>
            <w:vAlign w:val="center"/>
          </w:tcPr>
          <w:p w14:paraId="353D5E6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386" w:type="pct"/>
            <w:noWrap w:val="0"/>
            <w:vAlign w:val="center"/>
          </w:tcPr>
          <w:p w14:paraId="35D3CD3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1795" w:type="pct"/>
            <w:noWrap w:val="0"/>
            <w:vAlign w:val="center"/>
          </w:tcPr>
          <w:p w14:paraId="2171FAB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890" w:type="pct"/>
            <w:noWrap w:val="0"/>
            <w:vAlign w:val="center"/>
          </w:tcPr>
          <w:p w14:paraId="5A50869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w:t>
            </w:r>
          </w:p>
        </w:tc>
      </w:tr>
    </w:tbl>
    <w:p w14:paraId="511F1EE3">
      <w:pPr>
        <w:pStyle w:val="20"/>
        <w:jc w:val="center"/>
        <w:outlineLvl w:val="0"/>
        <w:rPr>
          <w:rFonts w:ascii="黑体" w:hAnsi="黑体" w:eastAsia="黑体"/>
          <w:snapToGrid w:val="0"/>
          <w:sz w:val="30"/>
          <w:szCs w:val="30"/>
        </w:rPr>
      </w:pPr>
    </w:p>
    <w:p w14:paraId="514A11BB">
      <w:pPr>
        <w:pStyle w:val="20"/>
        <w:spacing w:before="0" w:beforeAutospacing="0" w:line="14" w:lineRule="auto"/>
        <w:jc w:val="center"/>
        <w:outlineLvl w:val="0"/>
        <w:rPr>
          <w:rFonts w:hint="eastAsia" w:ascii="黑体" w:hAnsi="黑体" w:eastAsia="黑体"/>
          <w:snapToGrid w:val="0"/>
          <w:sz w:val="30"/>
          <w:szCs w:val="30"/>
        </w:rPr>
      </w:pPr>
      <w:r>
        <w:rPr>
          <w:rFonts w:ascii="黑体" w:hAnsi="黑体" w:eastAsia="黑体"/>
          <w:snapToGrid w:val="0"/>
          <w:sz w:val="30"/>
          <w:szCs w:val="30"/>
        </w:rPr>
        <w:br w:type="page"/>
      </w:r>
    </w:p>
    <w:p w14:paraId="2AC3D469">
      <w:pPr>
        <w:pStyle w:val="2"/>
        <w:bidi w:val="0"/>
      </w:pPr>
      <w:r>
        <w:rPr>
          <w:rFonts w:hint="eastAsia"/>
        </w:rPr>
        <w:t>七、结论</w:t>
      </w:r>
    </w:p>
    <w:tbl>
      <w:tblPr>
        <w:tblStyle w:val="23"/>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90"/>
      </w:tblGrid>
      <w:tr w14:paraId="3052A1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90" w:type="dxa"/>
            <w:noWrap w:val="0"/>
            <w:vAlign w:val="top"/>
          </w:tcPr>
          <w:p w14:paraId="5188B3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Cs w:val="21"/>
                <w:lang w:val="en-US" w:eastAsia="zh-CN"/>
              </w:rPr>
            </w:pPr>
            <w:r>
              <w:rPr>
                <w:rFonts w:hint="eastAsia" w:ascii="宋体" w:hAnsi="宋体" w:cs="宋体"/>
                <w:sz w:val="24"/>
                <w:szCs w:val="24"/>
                <w:lang w:val="en-US" w:eastAsia="zh-CN"/>
              </w:rPr>
              <w:t>本项目符合国家及青海省相关环保政策，建设区域内环境质量现状较好，项目选址合理，在项目施工和运营过程中，建设单位在认真落实本报告表提出的环境保护措施、要求和建议，严格执行“三同时”的前提下，对周围的影响是可接受的。</w:t>
            </w:r>
            <w:r>
              <w:rPr>
                <w:rFonts w:hint="eastAsia" w:ascii="Times New Roman" w:hAnsi="Times New Roman" w:eastAsia="宋体" w:cs="宋体"/>
                <w:sz w:val="24"/>
                <w:szCs w:val="24"/>
                <w:lang w:val="en-US" w:eastAsia="zh-CN"/>
              </w:rPr>
              <w:t>项目建成实施后，可实现社会效益、经济效益与环境效益的统一，因此，从环境保护角度分析，本项目建设可行。</w:t>
            </w:r>
          </w:p>
        </w:tc>
      </w:tr>
    </w:tbl>
    <w:p w14:paraId="33EF2DC2">
      <w:pPr>
        <w:pStyle w:val="52"/>
        <w:ind w:left="0" w:leftChars="0" w:firstLine="0" w:firstLineChars="0"/>
        <w:rPr>
          <w:rFonts w:hint="default" w:ascii="Times New Roman" w:hAnsi="Times New Roman" w:eastAsia="宋体" w:cs="Times New Roman"/>
          <w:color w:val="auto"/>
          <w:szCs w:val="24"/>
          <w:lang w:eastAsia="zh-CN"/>
        </w:rPr>
      </w:pPr>
    </w:p>
    <w:sectPr>
      <w:pgSz w:w="11906" w:h="16838"/>
      <w:pgMar w:top="1440" w:right="1440" w:bottom="1440" w:left="1701"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51407">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012A5">
    <w:pPr>
      <w:pStyle w:val="14"/>
      <w:framePr w:wrap="around" w:vAnchor="text" w:hAnchor="margin" w:xAlign="outside" w:y="1"/>
      <w:rPr>
        <w:rStyle w:val="27"/>
      </w:rPr>
    </w:pPr>
    <w:r>
      <w:fldChar w:fldCharType="begin"/>
    </w:r>
    <w:r>
      <w:rPr>
        <w:rStyle w:val="27"/>
      </w:rPr>
      <w:instrText xml:space="preserve">PAGE  </w:instrText>
    </w:r>
    <w:r>
      <w:fldChar w:fldCharType="end"/>
    </w:r>
  </w:p>
  <w:p w14:paraId="608F12EB">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67418">
    <w:pPr>
      <w:pStyle w:val="14"/>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96A00">
    <w:pPr>
      <w:pStyle w:val="14"/>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37423C">
                          <w:pPr>
                            <w:pStyle w:val="14"/>
                            <w:rPr>
                              <w:rStyle w:val="27"/>
                              <w:rFonts w:ascii="宋体" w:hAnsi="宋体"/>
                              <w:sz w:val="28"/>
                              <w:szCs w:val="28"/>
                            </w:rPr>
                          </w:pPr>
                          <w:r>
                            <w:rPr>
                              <w:rStyle w:val="27"/>
                              <w:rFonts w:ascii="宋体" w:hAnsi="宋体"/>
                              <w:sz w:val="18"/>
                              <w:szCs w:val="18"/>
                            </w:rPr>
                            <w:t xml:space="preserve">— </w:t>
                          </w:r>
                          <w:r>
                            <w:rPr>
                              <w:rStyle w:val="27"/>
                              <w:rFonts w:hint="default" w:ascii="Times New Roman" w:hAnsi="Times New Roman" w:cs="Times New Roman"/>
                              <w:sz w:val="18"/>
                              <w:szCs w:val="18"/>
                            </w:rPr>
                            <w:fldChar w:fldCharType="begin"/>
                          </w:r>
                          <w:r>
                            <w:rPr>
                              <w:rStyle w:val="27"/>
                              <w:rFonts w:hint="default" w:ascii="Times New Roman" w:hAnsi="Times New Roman" w:cs="Times New Roman"/>
                              <w:sz w:val="18"/>
                              <w:szCs w:val="18"/>
                            </w:rPr>
                            <w:instrText xml:space="preserve"> PAGE  \* MERGEFORMAT </w:instrText>
                          </w:r>
                          <w:r>
                            <w:rPr>
                              <w:rStyle w:val="27"/>
                              <w:rFonts w:hint="default" w:ascii="Times New Roman" w:hAnsi="Times New Roman" w:cs="Times New Roman"/>
                              <w:sz w:val="18"/>
                              <w:szCs w:val="18"/>
                            </w:rPr>
                            <w:fldChar w:fldCharType="separate"/>
                          </w:r>
                          <w:r>
                            <w:rPr>
                              <w:rStyle w:val="27"/>
                              <w:rFonts w:hint="default" w:ascii="Times New Roman" w:hAnsi="Times New Roman" w:cs="Times New Roman"/>
                              <w:sz w:val="18"/>
                              <w:szCs w:val="18"/>
                            </w:rPr>
                            <w:t>1</w:t>
                          </w:r>
                          <w:r>
                            <w:rPr>
                              <w:rStyle w:val="27"/>
                              <w:rFonts w:hint="default" w:ascii="Times New Roman" w:hAnsi="Times New Roman" w:cs="Times New Roman"/>
                              <w:sz w:val="18"/>
                              <w:szCs w:val="18"/>
                            </w:rPr>
                            <w:fldChar w:fldCharType="end"/>
                          </w:r>
                          <w:r>
                            <w:rPr>
                              <w:rStyle w:val="27"/>
                              <w:rFonts w:ascii="宋体" w:hAnsi="宋体"/>
                              <w:sz w:val="18"/>
                              <w:szCs w:val="18"/>
                            </w:rPr>
                            <w:t xml:space="preserve"> </w:t>
                          </w:r>
                          <w:r>
                            <w:rPr>
                              <w:rStyle w:val="27"/>
                              <w:rFonts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8Kz6jdAQAAvgMAAA4AAAAAAAAA&#10;AQAgAAAAHgEAAGRycy9lMm9Eb2MueG1sUEsFBgAAAAAGAAYAWQEAAG0FAAAAAA==&#10;">
              <v:fill on="f" focussize="0,0"/>
              <v:stroke on="f"/>
              <v:imagedata o:title=""/>
              <o:lock v:ext="edit" aspectratio="f"/>
              <v:textbox inset="0mm,0mm,0mm,0mm" style="mso-fit-shape-to-text:t;">
                <w:txbxContent>
                  <w:p w14:paraId="5A37423C">
                    <w:pPr>
                      <w:pStyle w:val="14"/>
                      <w:rPr>
                        <w:rStyle w:val="27"/>
                        <w:rFonts w:ascii="宋体" w:hAnsi="宋体"/>
                        <w:sz w:val="28"/>
                        <w:szCs w:val="28"/>
                      </w:rPr>
                    </w:pPr>
                    <w:r>
                      <w:rPr>
                        <w:rStyle w:val="27"/>
                        <w:rFonts w:ascii="宋体" w:hAnsi="宋体"/>
                        <w:sz w:val="18"/>
                        <w:szCs w:val="18"/>
                      </w:rPr>
                      <w:t xml:space="preserve">— </w:t>
                    </w:r>
                    <w:r>
                      <w:rPr>
                        <w:rStyle w:val="27"/>
                        <w:rFonts w:hint="default" w:ascii="Times New Roman" w:hAnsi="Times New Roman" w:cs="Times New Roman"/>
                        <w:sz w:val="18"/>
                        <w:szCs w:val="18"/>
                      </w:rPr>
                      <w:fldChar w:fldCharType="begin"/>
                    </w:r>
                    <w:r>
                      <w:rPr>
                        <w:rStyle w:val="27"/>
                        <w:rFonts w:hint="default" w:ascii="Times New Roman" w:hAnsi="Times New Roman" w:cs="Times New Roman"/>
                        <w:sz w:val="18"/>
                        <w:szCs w:val="18"/>
                      </w:rPr>
                      <w:instrText xml:space="preserve"> PAGE  \* MERGEFORMAT </w:instrText>
                    </w:r>
                    <w:r>
                      <w:rPr>
                        <w:rStyle w:val="27"/>
                        <w:rFonts w:hint="default" w:ascii="Times New Roman" w:hAnsi="Times New Roman" w:cs="Times New Roman"/>
                        <w:sz w:val="18"/>
                        <w:szCs w:val="18"/>
                      </w:rPr>
                      <w:fldChar w:fldCharType="separate"/>
                    </w:r>
                    <w:r>
                      <w:rPr>
                        <w:rStyle w:val="27"/>
                        <w:rFonts w:hint="default" w:ascii="Times New Roman" w:hAnsi="Times New Roman" w:cs="Times New Roman"/>
                        <w:sz w:val="18"/>
                        <w:szCs w:val="18"/>
                      </w:rPr>
                      <w:t>1</w:t>
                    </w:r>
                    <w:r>
                      <w:rPr>
                        <w:rStyle w:val="27"/>
                        <w:rFonts w:hint="default" w:ascii="Times New Roman" w:hAnsi="Times New Roman" w:cs="Times New Roman"/>
                        <w:sz w:val="18"/>
                        <w:szCs w:val="18"/>
                      </w:rPr>
                      <w:fldChar w:fldCharType="end"/>
                    </w:r>
                    <w:r>
                      <w:rPr>
                        <w:rStyle w:val="27"/>
                        <w:rFonts w:ascii="宋体" w:hAnsi="宋体"/>
                        <w:sz w:val="18"/>
                        <w:szCs w:val="18"/>
                      </w:rPr>
                      <w:t xml:space="preserve"> </w:t>
                    </w:r>
                    <w:r>
                      <w:rPr>
                        <w:rStyle w:val="27"/>
                        <w:rFonts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FBFBC7"/>
    <w:multiLevelType w:val="singleLevel"/>
    <w:tmpl w:val="25FBFBC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3YTA5ZGU2YjJjYWFhMWUxYTgzMjU1ZmQ2N2I4NDY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5C90"/>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8E499E"/>
    <w:rsid w:val="02757B62"/>
    <w:rsid w:val="02830584"/>
    <w:rsid w:val="03295DC3"/>
    <w:rsid w:val="032F44A6"/>
    <w:rsid w:val="03600692"/>
    <w:rsid w:val="04F446C5"/>
    <w:rsid w:val="05742AC8"/>
    <w:rsid w:val="06352F05"/>
    <w:rsid w:val="063E7D85"/>
    <w:rsid w:val="070875E0"/>
    <w:rsid w:val="07293586"/>
    <w:rsid w:val="07295285"/>
    <w:rsid w:val="07770C56"/>
    <w:rsid w:val="08293CDF"/>
    <w:rsid w:val="092217DD"/>
    <w:rsid w:val="093A7294"/>
    <w:rsid w:val="09657BD0"/>
    <w:rsid w:val="0A7D53D7"/>
    <w:rsid w:val="0B9510F4"/>
    <w:rsid w:val="0BD27BF6"/>
    <w:rsid w:val="0CAD1337"/>
    <w:rsid w:val="0D613EE6"/>
    <w:rsid w:val="0D9C2009"/>
    <w:rsid w:val="0E110D06"/>
    <w:rsid w:val="0E5D7980"/>
    <w:rsid w:val="0F13775A"/>
    <w:rsid w:val="0F814B9E"/>
    <w:rsid w:val="0F9A112B"/>
    <w:rsid w:val="0FB5461F"/>
    <w:rsid w:val="106D2F64"/>
    <w:rsid w:val="10B63710"/>
    <w:rsid w:val="10DC0C3E"/>
    <w:rsid w:val="111C2F7A"/>
    <w:rsid w:val="113013DE"/>
    <w:rsid w:val="122B06C2"/>
    <w:rsid w:val="12646E8A"/>
    <w:rsid w:val="13951726"/>
    <w:rsid w:val="13C353F1"/>
    <w:rsid w:val="14396509"/>
    <w:rsid w:val="1447165C"/>
    <w:rsid w:val="144E4010"/>
    <w:rsid w:val="14902CAC"/>
    <w:rsid w:val="159B3C91"/>
    <w:rsid w:val="166F002E"/>
    <w:rsid w:val="172C72EE"/>
    <w:rsid w:val="17735226"/>
    <w:rsid w:val="17FE11E8"/>
    <w:rsid w:val="180A6C87"/>
    <w:rsid w:val="18FF7095"/>
    <w:rsid w:val="194A3F0C"/>
    <w:rsid w:val="196A34A6"/>
    <w:rsid w:val="1A1C66C0"/>
    <w:rsid w:val="1A42393B"/>
    <w:rsid w:val="1B046F80"/>
    <w:rsid w:val="1B3267B5"/>
    <w:rsid w:val="1BC25DC8"/>
    <w:rsid w:val="1C5E7925"/>
    <w:rsid w:val="1C887FC8"/>
    <w:rsid w:val="1D5F6196"/>
    <w:rsid w:val="1D6132A5"/>
    <w:rsid w:val="1D8E56D5"/>
    <w:rsid w:val="1DBA20A0"/>
    <w:rsid w:val="1DFC60CF"/>
    <w:rsid w:val="1E645709"/>
    <w:rsid w:val="1E7A43DA"/>
    <w:rsid w:val="1EB277FE"/>
    <w:rsid w:val="1EC21390"/>
    <w:rsid w:val="1FE7539E"/>
    <w:rsid w:val="202A6B01"/>
    <w:rsid w:val="202C76A9"/>
    <w:rsid w:val="20963CB8"/>
    <w:rsid w:val="20B07FB6"/>
    <w:rsid w:val="20F638B7"/>
    <w:rsid w:val="212254C4"/>
    <w:rsid w:val="213B74B1"/>
    <w:rsid w:val="215A2310"/>
    <w:rsid w:val="216E4019"/>
    <w:rsid w:val="21DE318A"/>
    <w:rsid w:val="21EF5B80"/>
    <w:rsid w:val="2245443C"/>
    <w:rsid w:val="22576990"/>
    <w:rsid w:val="229C4EAB"/>
    <w:rsid w:val="23F21C6E"/>
    <w:rsid w:val="24D10879"/>
    <w:rsid w:val="24D25B12"/>
    <w:rsid w:val="24DB0ECD"/>
    <w:rsid w:val="252D53FE"/>
    <w:rsid w:val="25EC2D81"/>
    <w:rsid w:val="264528BD"/>
    <w:rsid w:val="268B161A"/>
    <w:rsid w:val="26C52BD7"/>
    <w:rsid w:val="27C660B9"/>
    <w:rsid w:val="27D15DD1"/>
    <w:rsid w:val="28A76295"/>
    <w:rsid w:val="28B7618A"/>
    <w:rsid w:val="29206EB8"/>
    <w:rsid w:val="29E325E0"/>
    <w:rsid w:val="2A2072FE"/>
    <w:rsid w:val="2A452503"/>
    <w:rsid w:val="2A9C1EA3"/>
    <w:rsid w:val="2AEC7A90"/>
    <w:rsid w:val="2B0A639C"/>
    <w:rsid w:val="2BA936A8"/>
    <w:rsid w:val="2C1F6F93"/>
    <w:rsid w:val="2C315A5A"/>
    <w:rsid w:val="2CF02043"/>
    <w:rsid w:val="2D152405"/>
    <w:rsid w:val="2D345DAA"/>
    <w:rsid w:val="2D9E56F5"/>
    <w:rsid w:val="2E667F96"/>
    <w:rsid w:val="2E8226AB"/>
    <w:rsid w:val="2F832C79"/>
    <w:rsid w:val="2FEF2D58"/>
    <w:rsid w:val="30580BC9"/>
    <w:rsid w:val="311E2ED7"/>
    <w:rsid w:val="3126124A"/>
    <w:rsid w:val="315C449C"/>
    <w:rsid w:val="3162506D"/>
    <w:rsid w:val="318A4229"/>
    <w:rsid w:val="31967AEA"/>
    <w:rsid w:val="31972828"/>
    <w:rsid w:val="31B82709"/>
    <w:rsid w:val="32400B34"/>
    <w:rsid w:val="3282284A"/>
    <w:rsid w:val="329E6876"/>
    <w:rsid w:val="33D934D4"/>
    <w:rsid w:val="33FE2F6A"/>
    <w:rsid w:val="34044527"/>
    <w:rsid w:val="36074A7F"/>
    <w:rsid w:val="36923549"/>
    <w:rsid w:val="36B75FBF"/>
    <w:rsid w:val="36D178E0"/>
    <w:rsid w:val="36FB4891"/>
    <w:rsid w:val="38A41531"/>
    <w:rsid w:val="38F12CD3"/>
    <w:rsid w:val="38F94775"/>
    <w:rsid w:val="392971ED"/>
    <w:rsid w:val="3B3763D1"/>
    <w:rsid w:val="3BF147CE"/>
    <w:rsid w:val="3CC6386F"/>
    <w:rsid w:val="3CDA245A"/>
    <w:rsid w:val="3CEE0A37"/>
    <w:rsid w:val="3E6819BB"/>
    <w:rsid w:val="3F660E74"/>
    <w:rsid w:val="3F7E532E"/>
    <w:rsid w:val="3F8D2EE8"/>
    <w:rsid w:val="3FC739F7"/>
    <w:rsid w:val="402878B5"/>
    <w:rsid w:val="403A5469"/>
    <w:rsid w:val="407A6407"/>
    <w:rsid w:val="41735CA7"/>
    <w:rsid w:val="41C83AB3"/>
    <w:rsid w:val="41F87CE8"/>
    <w:rsid w:val="423A3BCC"/>
    <w:rsid w:val="42DE1AB0"/>
    <w:rsid w:val="433A6FE6"/>
    <w:rsid w:val="4350713C"/>
    <w:rsid w:val="435D3A8F"/>
    <w:rsid w:val="436653E0"/>
    <w:rsid w:val="43DA104A"/>
    <w:rsid w:val="44C21F5A"/>
    <w:rsid w:val="44CD14E0"/>
    <w:rsid w:val="458946E9"/>
    <w:rsid w:val="45916B1B"/>
    <w:rsid w:val="45D44B6D"/>
    <w:rsid w:val="46410434"/>
    <w:rsid w:val="46C82208"/>
    <w:rsid w:val="46D955A7"/>
    <w:rsid w:val="47133957"/>
    <w:rsid w:val="4779329E"/>
    <w:rsid w:val="47812B1E"/>
    <w:rsid w:val="47A07E0C"/>
    <w:rsid w:val="47BC16D3"/>
    <w:rsid w:val="4870272E"/>
    <w:rsid w:val="4875471F"/>
    <w:rsid w:val="495E2B66"/>
    <w:rsid w:val="49DC7715"/>
    <w:rsid w:val="4A023139"/>
    <w:rsid w:val="4A7B576F"/>
    <w:rsid w:val="4BFA782E"/>
    <w:rsid w:val="4C3721BC"/>
    <w:rsid w:val="4C4A0649"/>
    <w:rsid w:val="4CE470D3"/>
    <w:rsid w:val="4D666B19"/>
    <w:rsid w:val="4DCE5FAB"/>
    <w:rsid w:val="4DEC4FB0"/>
    <w:rsid w:val="4E075D8A"/>
    <w:rsid w:val="4E762C39"/>
    <w:rsid w:val="4FA2722A"/>
    <w:rsid w:val="4FC62A8C"/>
    <w:rsid w:val="4FE20F0D"/>
    <w:rsid w:val="50161C13"/>
    <w:rsid w:val="50504C4B"/>
    <w:rsid w:val="509C6E7C"/>
    <w:rsid w:val="5162104E"/>
    <w:rsid w:val="51A558EC"/>
    <w:rsid w:val="52914AC1"/>
    <w:rsid w:val="5374291A"/>
    <w:rsid w:val="53A039CC"/>
    <w:rsid w:val="53A1505A"/>
    <w:rsid w:val="54063E08"/>
    <w:rsid w:val="543437E8"/>
    <w:rsid w:val="54543307"/>
    <w:rsid w:val="54933B19"/>
    <w:rsid w:val="54ED6E78"/>
    <w:rsid w:val="551A7BFB"/>
    <w:rsid w:val="557708CE"/>
    <w:rsid w:val="559B174B"/>
    <w:rsid w:val="55AB04ED"/>
    <w:rsid w:val="55CE0CF4"/>
    <w:rsid w:val="563D5A46"/>
    <w:rsid w:val="56B22A9C"/>
    <w:rsid w:val="57B72A76"/>
    <w:rsid w:val="581B68BF"/>
    <w:rsid w:val="581D1A99"/>
    <w:rsid w:val="593E3FA4"/>
    <w:rsid w:val="59AC70FD"/>
    <w:rsid w:val="5A3C747D"/>
    <w:rsid w:val="5A934B47"/>
    <w:rsid w:val="5ABE2233"/>
    <w:rsid w:val="5B276D18"/>
    <w:rsid w:val="5B3F1217"/>
    <w:rsid w:val="5B5B26F5"/>
    <w:rsid w:val="5BA74539"/>
    <w:rsid w:val="5BDF5D95"/>
    <w:rsid w:val="5C4A1E22"/>
    <w:rsid w:val="5D5E6826"/>
    <w:rsid w:val="5D5E7604"/>
    <w:rsid w:val="5DA24136"/>
    <w:rsid w:val="5DF87A0F"/>
    <w:rsid w:val="5EF414B4"/>
    <w:rsid w:val="5F1A2B43"/>
    <w:rsid w:val="5FB837BB"/>
    <w:rsid w:val="604C6F86"/>
    <w:rsid w:val="608D20C1"/>
    <w:rsid w:val="62364782"/>
    <w:rsid w:val="639B5586"/>
    <w:rsid w:val="63D40BE9"/>
    <w:rsid w:val="63E0211F"/>
    <w:rsid w:val="63F463E7"/>
    <w:rsid w:val="64DE71BD"/>
    <w:rsid w:val="650D03E6"/>
    <w:rsid w:val="65373578"/>
    <w:rsid w:val="654A5A37"/>
    <w:rsid w:val="65D3659B"/>
    <w:rsid w:val="66BF5BB0"/>
    <w:rsid w:val="66CC51BC"/>
    <w:rsid w:val="673F2C7A"/>
    <w:rsid w:val="67936FCA"/>
    <w:rsid w:val="67C5461A"/>
    <w:rsid w:val="681F6961"/>
    <w:rsid w:val="68610A2F"/>
    <w:rsid w:val="68805514"/>
    <w:rsid w:val="69496622"/>
    <w:rsid w:val="694E2071"/>
    <w:rsid w:val="697A3B33"/>
    <w:rsid w:val="699E2456"/>
    <w:rsid w:val="6A146A06"/>
    <w:rsid w:val="6A492E05"/>
    <w:rsid w:val="6ACC0D58"/>
    <w:rsid w:val="6B322639"/>
    <w:rsid w:val="6B5B7F28"/>
    <w:rsid w:val="6C627A66"/>
    <w:rsid w:val="6C636C38"/>
    <w:rsid w:val="6D96076D"/>
    <w:rsid w:val="6DB34098"/>
    <w:rsid w:val="6DB545B6"/>
    <w:rsid w:val="6E4375A0"/>
    <w:rsid w:val="6E514CED"/>
    <w:rsid w:val="6E79491A"/>
    <w:rsid w:val="6EA34720"/>
    <w:rsid w:val="6EB563D5"/>
    <w:rsid w:val="6F225983"/>
    <w:rsid w:val="6FF50CB5"/>
    <w:rsid w:val="6FFC5590"/>
    <w:rsid w:val="70301DA3"/>
    <w:rsid w:val="706D1DD0"/>
    <w:rsid w:val="70856B87"/>
    <w:rsid w:val="70D527EE"/>
    <w:rsid w:val="711317D5"/>
    <w:rsid w:val="715B5300"/>
    <w:rsid w:val="715F4BD7"/>
    <w:rsid w:val="71842DA6"/>
    <w:rsid w:val="71D27F8A"/>
    <w:rsid w:val="71F744C6"/>
    <w:rsid w:val="71F960CF"/>
    <w:rsid w:val="728824F6"/>
    <w:rsid w:val="72903C7E"/>
    <w:rsid w:val="731F5D5E"/>
    <w:rsid w:val="73AA3573"/>
    <w:rsid w:val="741A3AB0"/>
    <w:rsid w:val="741E793C"/>
    <w:rsid w:val="74AF20A0"/>
    <w:rsid w:val="74B40628"/>
    <w:rsid w:val="75675726"/>
    <w:rsid w:val="7568763D"/>
    <w:rsid w:val="758D75E2"/>
    <w:rsid w:val="770E5F33"/>
    <w:rsid w:val="77762421"/>
    <w:rsid w:val="780F09F4"/>
    <w:rsid w:val="789C4F47"/>
    <w:rsid w:val="78A90480"/>
    <w:rsid w:val="796B3ED6"/>
    <w:rsid w:val="796B7926"/>
    <w:rsid w:val="79811327"/>
    <w:rsid w:val="79AC7CD5"/>
    <w:rsid w:val="7A364017"/>
    <w:rsid w:val="7A7910E7"/>
    <w:rsid w:val="7A8265E1"/>
    <w:rsid w:val="7B526570"/>
    <w:rsid w:val="7B686D42"/>
    <w:rsid w:val="7B841746"/>
    <w:rsid w:val="7D0239FF"/>
    <w:rsid w:val="7D4565C8"/>
    <w:rsid w:val="7D5E40CD"/>
    <w:rsid w:val="7D6150FF"/>
    <w:rsid w:val="7D693BED"/>
    <w:rsid w:val="7E7D21A7"/>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3"/>
    <w:link w:val="29"/>
    <w:qFormat/>
    <w:uiPriority w:val="0"/>
    <w:pPr>
      <w:keepNext/>
      <w:overflowPunct w:val="0"/>
      <w:snapToGrid w:val="0"/>
      <w:spacing w:before="120" w:after="160" w:line="260" w:lineRule="auto"/>
      <w:ind w:left="0" w:firstLine="0" w:firstLineChars="0"/>
      <w:jc w:val="center"/>
      <w:outlineLvl w:val="0"/>
    </w:pPr>
    <w:rPr>
      <w:rFonts w:ascii="Times New Roman" w:hAnsi="Times New Roman" w:eastAsia="黑体"/>
      <w:b/>
      <w:bCs/>
      <w:color w:val="000000"/>
      <w:kern w:val="44"/>
      <w:sz w:val="30"/>
      <w:szCs w:val="30"/>
    </w:rPr>
  </w:style>
  <w:style w:type="paragraph" w:styleId="4">
    <w:name w:val="heading 2"/>
    <w:basedOn w:val="1"/>
    <w:next w:val="1"/>
    <w:link w:val="30"/>
    <w:qFormat/>
    <w:locked/>
    <w:uiPriority w:val="0"/>
    <w:pPr>
      <w:keepNext/>
      <w:keepLines/>
      <w:spacing w:line="360" w:lineRule="auto"/>
      <w:jc w:val="left"/>
      <w:outlineLvl w:val="1"/>
    </w:pPr>
    <w:rPr>
      <w:rFonts w:ascii="Times New Roman" w:hAnsi="Times New Roman" w:eastAsia="宋体" w:cs="Times New Roman"/>
      <w:b/>
      <w:bCs/>
      <w:sz w:val="24"/>
      <w:szCs w:val="32"/>
    </w:rPr>
  </w:style>
  <w:style w:type="paragraph" w:styleId="5">
    <w:name w:val="heading 3"/>
    <w:basedOn w:val="1"/>
    <w:next w:val="1"/>
    <w:qFormat/>
    <w:locked/>
    <w:uiPriority w:val="0"/>
    <w:pPr>
      <w:keepNext/>
      <w:keepLines/>
      <w:spacing w:line="240" w:lineRule="auto"/>
      <w:ind w:firstLine="0" w:firstLineChars="0"/>
      <w:jc w:val="center"/>
      <w:outlineLvl w:val="2"/>
    </w:pPr>
    <w:rPr>
      <w:rFonts w:ascii="Times New Roman" w:hAnsi="Times New Roman" w:eastAsia="宋体"/>
      <w:b/>
      <w:bCs/>
      <w:sz w:val="21"/>
      <w:szCs w:val="32"/>
    </w:rPr>
  </w:style>
  <w:style w:type="paragraph" w:styleId="6">
    <w:name w:val="heading 4"/>
    <w:basedOn w:val="1"/>
    <w:next w:val="1"/>
    <w:qFormat/>
    <w:locked/>
    <w:uiPriority w:val="0"/>
    <w:pPr>
      <w:keepNext/>
      <w:keepLines/>
      <w:numPr>
        <w:ilvl w:val="3"/>
        <w:numId w:val="0"/>
      </w:numPr>
      <w:tabs>
        <w:tab w:val="left" w:pos="851"/>
      </w:tabs>
      <w:spacing w:before="50" w:beforeLines="50" w:line="360" w:lineRule="auto"/>
      <w:ind w:left="0" w:firstLine="0" w:firstLineChars="0"/>
      <w:outlineLvl w:val="3"/>
    </w:pPr>
    <w:rPr>
      <w:b/>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3">
    <w:name w:val="toa heading"/>
    <w:basedOn w:val="1"/>
    <w:next w:val="1"/>
    <w:qFormat/>
    <w:uiPriority w:val="0"/>
    <w:pPr>
      <w:spacing w:before="120" w:line="360" w:lineRule="auto"/>
    </w:pPr>
    <w:rPr>
      <w:rFonts w:ascii="Arial" w:hAnsi="Arial" w:cs="Arial"/>
      <w:sz w:val="24"/>
    </w:rPr>
  </w:style>
  <w:style w:type="paragraph" w:styleId="7">
    <w:name w:val="Normal Indent"/>
    <w:basedOn w:val="1"/>
    <w:qFormat/>
    <w:uiPriority w:val="99"/>
    <w:pPr>
      <w:ind w:firstLine="420" w:firstLineChars="200"/>
    </w:pPr>
    <w:rPr>
      <w:szCs w:val="20"/>
    </w:rPr>
  </w:style>
  <w:style w:type="paragraph" w:styleId="8">
    <w:name w:val="annotation text"/>
    <w:basedOn w:val="1"/>
    <w:link w:val="31"/>
    <w:semiHidden/>
    <w:qFormat/>
    <w:uiPriority w:val="0"/>
    <w:pPr>
      <w:jc w:val="left"/>
    </w:pPr>
    <w:rPr>
      <w:kern w:val="0"/>
      <w:sz w:val="20"/>
    </w:rPr>
  </w:style>
  <w:style w:type="paragraph" w:styleId="9">
    <w:name w:val="Body Text"/>
    <w:basedOn w:val="1"/>
    <w:link w:val="32"/>
    <w:qFormat/>
    <w:uiPriority w:val="0"/>
    <w:pPr>
      <w:widowControl/>
      <w:snapToGrid w:val="0"/>
      <w:spacing w:before="60" w:after="160" w:line="259" w:lineRule="auto"/>
      <w:ind w:right="113"/>
    </w:pPr>
    <w:rPr>
      <w:kern w:val="0"/>
      <w:sz w:val="18"/>
      <w:szCs w:val="18"/>
    </w:rPr>
  </w:style>
  <w:style w:type="paragraph" w:styleId="10">
    <w:name w:val="Body Text Indent"/>
    <w:basedOn w:val="1"/>
    <w:link w:val="33"/>
    <w:semiHidden/>
    <w:qFormat/>
    <w:uiPriority w:val="0"/>
    <w:pPr>
      <w:spacing w:after="120"/>
      <w:ind w:left="420" w:leftChars="200"/>
    </w:pPr>
  </w:style>
  <w:style w:type="paragraph" w:styleId="11">
    <w:name w:val="Plain Text"/>
    <w:basedOn w:val="1"/>
    <w:qFormat/>
    <w:uiPriority w:val="0"/>
    <w:pPr>
      <w:spacing w:line="240" w:lineRule="auto"/>
      <w:ind w:firstLine="0" w:firstLineChars="0"/>
    </w:pPr>
    <w:rPr>
      <w:rFonts w:ascii="宋体" w:hAnsi="Courier New" w:cs="Times New Roman"/>
      <w:sz w:val="21"/>
      <w:szCs w:val="20"/>
    </w:rPr>
  </w:style>
  <w:style w:type="paragraph" w:styleId="12">
    <w:name w:val="Date"/>
    <w:basedOn w:val="1"/>
    <w:next w:val="1"/>
    <w:link w:val="34"/>
    <w:qFormat/>
    <w:uiPriority w:val="0"/>
    <w:pPr>
      <w:ind w:left="100" w:leftChars="2500"/>
    </w:pPr>
    <w:rPr>
      <w:kern w:val="0"/>
      <w:sz w:val="20"/>
    </w:rPr>
  </w:style>
  <w:style w:type="paragraph" w:styleId="13">
    <w:name w:val="Balloon Text"/>
    <w:basedOn w:val="1"/>
    <w:link w:val="35"/>
    <w:semiHidden/>
    <w:qFormat/>
    <w:uiPriority w:val="0"/>
    <w:rPr>
      <w:sz w:val="18"/>
      <w:szCs w:val="18"/>
    </w:rPr>
  </w:style>
  <w:style w:type="paragraph" w:styleId="14">
    <w:name w:val="footer"/>
    <w:basedOn w:val="1"/>
    <w:link w:val="36"/>
    <w:qFormat/>
    <w:uiPriority w:val="0"/>
    <w:pPr>
      <w:tabs>
        <w:tab w:val="center" w:pos="4153"/>
        <w:tab w:val="right" w:pos="8306"/>
      </w:tabs>
      <w:snapToGrid w:val="0"/>
      <w:jc w:val="left"/>
    </w:pPr>
    <w:rPr>
      <w:sz w:val="18"/>
      <w:szCs w:val="18"/>
    </w:rPr>
  </w:style>
  <w:style w:type="paragraph" w:styleId="15">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6">
    <w:name w:val="Subtitle"/>
    <w:basedOn w:val="1"/>
    <w:next w:val="1"/>
    <w:qFormat/>
    <w:locked/>
    <w:uiPriority w:val="0"/>
    <w:pPr>
      <w:spacing w:line="240" w:lineRule="auto"/>
      <w:ind w:firstLine="0" w:firstLineChars="0"/>
      <w:jc w:val="center"/>
      <w:outlineLvl w:val="3"/>
    </w:pPr>
    <w:rPr>
      <w:rFonts w:cs="Times New Roman"/>
      <w:b/>
      <w:bCs/>
      <w:kern w:val="28"/>
      <w:szCs w:val="24"/>
    </w:rPr>
  </w:style>
  <w:style w:type="paragraph" w:styleId="17">
    <w:name w:val="List"/>
    <w:basedOn w:val="1"/>
    <w:qFormat/>
    <w:uiPriority w:val="0"/>
    <w:pPr>
      <w:adjustRightInd w:val="0"/>
      <w:ind w:left="200" w:hanging="200" w:hangingChars="200"/>
      <w:textAlignment w:val="baseline"/>
    </w:pPr>
  </w:style>
  <w:style w:type="paragraph" w:styleId="18">
    <w:name w:val="Body Text Indent 3"/>
    <w:basedOn w:val="1"/>
    <w:qFormat/>
    <w:uiPriority w:val="0"/>
    <w:pPr>
      <w:spacing w:line="520" w:lineRule="exact"/>
      <w:ind w:firstLine="560"/>
    </w:pPr>
    <w:rPr>
      <w:kern w:val="0"/>
      <w:sz w:val="28"/>
      <w:szCs w:val="24"/>
    </w:rPr>
  </w:style>
  <w:style w:type="paragraph" w:styleId="19">
    <w:name w:val="Body Text 2"/>
    <w:basedOn w:val="1"/>
    <w:qFormat/>
    <w:uiPriority w:val="0"/>
    <w:pPr>
      <w:spacing w:after="120" w:line="480" w:lineRule="auto"/>
    </w:pPr>
  </w:style>
  <w:style w:type="paragraph" w:styleId="20">
    <w:name w:val="Normal (Web)"/>
    <w:basedOn w:val="1"/>
    <w:link w:val="38"/>
    <w:qFormat/>
    <w:uiPriority w:val="0"/>
    <w:pPr>
      <w:widowControl/>
      <w:spacing w:before="100" w:beforeAutospacing="1" w:after="100" w:afterAutospacing="1"/>
      <w:jc w:val="left"/>
    </w:pPr>
    <w:rPr>
      <w:rFonts w:ascii="宋体" w:hAnsi="宋体"/>
      <w:kern w:val="0"/>
      <w:sz w:val="24"/>
    </w:rPr>
  </w:style>
  <w:style w:type="paragraph" w:styleId="21">
    <w:name w:val="annotation subject"/>
    <w:basedOn w:val="8"/>
    <w:next w:val="8"/>
    <w:link w:val="39"/>
    <w:semiHidden/>
    <w:qFormat/>
    <w:uiPriority w:val="0"/>
    <w:rPr>
      <w:b/>
      <w:bCs/>
    </w:rPr>
  </w:style>
  <w:style w:type="paragraph" w:styleId="22">
    <w:name w:val="Body Text First Indent 2"/>
    <w:basedOn w:val="10"/>
    <w:qFormat/>
    <w:uiPriority w:val="0"/>
    <w:pPr>
      <w:widowControl/>
      <w:ind w:firstLine="420"/>
      <w:jc w:val="left"/>
    </w:pPr>
    <w:rPr>
      <w:rFonts w:ascii="Calibri" w:hAnsi="Calibri"/>
      <w:sz w:val="21"/>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locked/>
    <w:uiPriority w:val="0"/>
    <w:rPr>
      <w:b/>
    </w:rPr>
  </w:style>
  <w:style w:type="character" w:styleId="27">
    <w:name w:val="page number"/>
    <w:basedOn w:val="25"/>
    <w:qFormat/>
    <w:uiPriority w:val="0"/>
  </w:style>
  <w:style w:type="character" w:styleId="28">
    <w:name w:val="annotation reference"/>
    <w:basedOn w:val="25"/>
    <w:semiHidden/>
    <w:qFormat/>
    <w:uiPriority w:val="0"/>
    <w:rPr>
      <w:sz w:val="21"/>
    </w:rPr>
  </w:style>
  <w:style w:type="character" w:customStyle="1" w:styleId="29">
    <w:name w:val="标题 1 Char"/>
    <w:link w:val="2"/>
    <w:qFormat/>
    <w:uiPriority w:val="0"/>
    <w:rPr>
      <w:rFonts w:ascii="Times New Roman" w:hAnsi="Times New Roman" w:eastAsia="黑体"/>
      <w:b/>
      <w:bCs/>
      <w:color w:val="000000"/>
      <w:kern w:val="44"/>
      <w:sz w:val="30"/>
      <w:szCs w:val="30"/>
    </w:rPr>
  </w:style>
  <w:style w:type="character" w:customStyle="1" w:styleId="30">
    <w:name w:val="标题 2 Char1"/>
    <w:link w:val="4"/>
    <w:qFormat/>
    <w:uiPriority w:val="0"/>
    <w:rPr>
      <w:rFonts w:ascii="Times New Roman" w:hAnsi="Times New Roman" w:eastAsia="宋体" w:cs="Times New Roman"/>
      <w:b/>
      <w:bCs/>
      <w:sz w:val="24"/>
      <w:szCs w:val="32"/>
    </w:rPr>
  </w:style>
  <w:style w:type="character" w:customStyle="1" w:styleId="31">
    <w:name w:val="Comment Text Char"/>
    <w:link w:val="8"/>
    <w:qFormat/>
    <w:locked/>
    <w:uiPriority w:val="0"/>
    <w:rPr>
      <w:rFonts w:ascii="Times New Roman" w:hAnsi="Times New Roman" w:eastAsia="宋体"/>
      <w:sz w:val="24"/>
    </w:rPr>
  </w:style>
  <w:style w:type="character" w:customStyle="1" w:styleId="32">
    <w:name w:val="Body Text Char"/>
    <w:link w:val="9"/>
    <w:qFormat/>
    <w:locked/>
    <w:uiPriority w:val="0"/>
    <w:rPr>
      <w:sz w:val="18"/>
    </w:rPr>
  </w:style>
  <w:style w:type="character" w:customStyle="1" w:styleId="33">
    <w:name w:val="Body Text Indent Char"/>
    <w:basedOn w:val="25"/>
    <w:link w:val="10"/>
    <w:semiHidden/>
    <w:qFormat/>
    <w:locked/>
    <w:uiPriority w:val="0"/>
    <w:rPr>
      <w:rFonts w:ascii="Times New Roman" w:hAnsi="Times New Roman" w:eastAsia="宋体" w:cs="Times New Roman"/>
      <w:sz w:val="24"/>
      <w:szCs w:val="24"/>
    </w:rPr>
  </w:style>
  <w:style w:type="character" w:customStyle="1" w:styleId="34">
    <w:name w:val="Date Char"/>
    <w:link w:val="12"/>
    <w:qFormat/>
    <w:locked/>
    <w:uiPriority w:val="0"/>
    <w:rPr>
      <w:rFonts w:ascii="Times New Roman" w:hAnsi="Times New Roman" w:eastAsia="宋体"/>
      <w:sz w:val="24"/>
    </w:rPr>
  </w:style>
  <w:style w:type="character" w:customStyle="1" w:styleId="35">
    <w:name w:val="Balloon Text Char"/>
    <w:basedOn w:val="25"/>
    <w:link w:val="13"/>
    <w:semiHidden/>
    <w:qFormat/>
    <w:locked/>
    <w:uiPriority w:val="0"/>
    <w:rPr>
      <w:rFonts w:ascii="Times New Roman" w:hAnsi="Times New Roman" w:eastAsia="宋体" w:cs="Times New Roman"/>
      <w:sz w:val="18"/>
      <w:szCs w:val="18"/>
    </w:rPr>
  </w:style>
  <w:style w:type="character" w:customStyle="1" w:styleId="36">
    <w:name w:val="Footer Char"/>
    <w:basedOn w:val="25"/>
    <w:link w:val="14"/>
    <w:qFormat/>
    <w:locked/>
    <w:uiPriority w:val="0"/>
    <w:rPr>
      <w:rFonts w:cs="Times New Roman"/>
      <w:sz w:val="18"/>
      <w:szCs w:val="18"/>
    </w:rPr>
  </w:style>
  <w:style w:type="character" w:customStyle="1" w:styleId="37">
    <w:name w:val="Header Char"/>
    <w:basedOn w:val="25"/>
    <w:link w:val="15"/>
    <w:qFormat/>
    <w:locked/>
    <w:uiPriority w:val="0"/>
    <w:rPr>
      <w:rFonts w:cs="Times New Roman"/>
      <w:sz w:val="18"/>
      <w:szCs w:val="18"/>
    </w:rPr>
  </w:style>
  <w:style w:type="character" w:customStyle="1" w:styleId="38">
    <w:name w:val="Normal (Web) Char"/>
    <w:link w:val="20"/>
    <w:qFormat/>
    <w:locked/>
    <w:uiPriority w:val="0"/>
    <w:rPr>
      <w:rFonts w:ascii="宋体" w:hAnsi="宋体" w:eastAsia="宋体"/>
      <w:sz w:val="24"/>
    </w:rPr>
  </w:style>
  <w:style w:type="character" w:customStyle="1" w:styleId="39">
    <w:name w:val="Comment Subject Char"/>
    <w:basedOn w:val="31"/>
    <w:link w:val="21"/>
    <w:semiHidden/>
    <w:qFormat/>
    <w:locked/>
    <w:uiPriority w:val="0"/>
    <w:rPr>
      <w:rFonts w:cs="Times New Roman"/>
      <w:b/>
      <w:bCs/>
      <w:kern w:val="2"/>
      <w:szCs w:val="24"/>
    </w:rPr>
  </w:style>
  <w:style w:type="character" w:customStyle="1" w:styleId="40">
    <w:name w:val="普通(网站) Char"/>
    <w:qFormat/>
    <w:locked/>
    <w:uiPriority w:val="0"/>
    <w:rPr>
      <w:rFonts w:ascii="宋体" w:hAnsi="宋体" w:eastAsia="宋体"/>
      <w:sz w:val="24"/>
    </w:rPr>
  </w:style>
  <w:style w:type="character" w:customStyle="1" w:styleId="41">
    <w:name w:val="表格 Char"/>
    <w:link w:val="42"/>
    <w:qFormat/>
    <w:locked/>
    <w:uiPriority w:val="0"/>
    <w:rPr>
      <w:rFonts w:ascii="宋体"/>
      <w:sz w:val="21"/>
    </w:rPr>
  </w:style>
  <w:style w:type="paragraph" w:customStyle="1" w:styleId="42">
    <w:name w:val="表格"/>
    <w:basedOn w:val="1"/>
    <w:next w:val="1"/>
    <w:link w:val="41"/>
    <w:qFormat/>
    <w:uiPriority w:val="0"/>
    <w:pPr>
      <w:adjustRightInd w:val="0"/>
      <w:snapToGrid w:val="0"/>
      <w:spacing w:beforeLines="10" w:afterLines="10" w:line="259" w:lineRule="auto"/>
      <w:jc w:val="center"/>
    </w:pPr>
    <w:rPr>
      <w:rFonts w:ascii="宋体"/>
      <w:kern w:val="0"/>
      <w:sz w:val="20"/>
      <w:szCs w:val="21"/>
    </w:rPr>
  </w:style>
  <w:style w:type="character" w:customStyle="1" w:styleId="43">
    <w:name w:val="正文文本 字符1"/>
    <w:basedOn w:val="25"/>
    <w:semiHidden/>
    <w:qFormat/>
    <w:uiPriority w:val="0"/>
    <w:rPr>
      <w:rFonts w:ascii="Times New Roman" w:hAnsi="Times New Roman" w:eastAsia="宋体" w:cs="Times New Roman"/>
      <w:sz w:val="24"/>
      <w:szCs w:val="24"/>
    </w:rPr>
  </w:style>
  <w:style w:type="character" w:customStyle="1" w:styleId="44">
    <w:name w:val="批注文字 字符1"/>
    <w:basedOn w:val="25"/>
    <w:semiHidden/>
    <w:qFormat/>
    <w:uiPriority w:val="0"/>
    <w:rPr>
      <w:rFonts w:ascii="Times New Roman" w:hAnsi="Times New Roman" w:eastAsia="宋体" w:cs="Times New Roman"/>
      <w:sz w:val="24"/>
      <w:szCs w:val="24"/>
    </w:rPr>
  </w:style>
  <w:style w:type="character" w:customStyle="1" w:styleId="45">
    <w:name w:val="日期 字符"/>
    <w:basedOn w:val="25"/>
    <w:semiHidden/>
    <w:qFormat/>
    <w:uiPriority w:val="0"/>
    <w:rPr>
      <w:rFonts w:ascii="Times New Roman" w:hAnsi="Times New Roman" w:eastAsia="宋体" w:cs="Times New Roman"/>
      <w:sz w:val="24"/>
      <w:szCs w:val="24"/>
    </w:rPr>
  </w:style>
  <w:style w:type="paragraph" w:customStyle="1" w:styleId="46">
    <w:name w:val="表中文字"/>
    <w:basedOn w:val="1"/>
    <w:qFormat/>
    <w:uiPriority w:val="99"/>
    <w:pPr>
      <w:jc w:val="center"/>
    </w:pPr>
    <w:rPr>
      <w:sz w:val="21"/>
      <w:szCs w:val="24"/>
    </w:rPr>
  </w:style>
  <w:style w:type="paragraph" w:customStyle="1" w:styleId="47">
    <w:name w:val="表内文字"/>
    <w:qFormat/>
    <w:uiPriority w:val="99"/>
    <w:pPr>
      <w:jc w:val="center"/>
    </w:pPr>
    <w:rPr>
      <w:rFonts w:ascii="Times New Roman" w:hAnsi="Times New Roman" w:eastAsia="宋体" w:cs="Times New Roman"/>
      <w:kern w:val="2"/>
      <w:sz w:val="21"/>
      <w:szCs w:val="24"/>
      <w:lang w:val="en-US" w:eastAsia="zh-CN" w:bidi="ar-SA"/>
    </w:rPr>
  </w:style>
  <w:style w:type="paragraph" w:styleId="48">
    <w:name w:val="List Paragraph"/>
    <w:basedOn w:val="1"/>
    <w:unhideWhenUsed/>
    <w:qFormat/>
    <w:uiPriority w:val="34"/>
    <w:pPr>
      <w:ind w:firstLine="420"/>
    </w:pPr>
  </w:style>
  <w:style w:type="paragraph" w:customStyle="1" w:styleId="49">
    <w:name w:val="表格文字"/>
    <w:basedOn w:val="50"/>
    <w:next w:val="1"/>
    <w:qFormat/>
    <w:uiPriority w:val="0"/>
    <w:pPr>
      <w:jc w:val="center"/>
    </w:pPr>
    <w:rPr>
      <w:rFonts w:ascii="宋体" w:hAnsi="Arial Black"/>
      <w:kern w:val="44"/>
      <w:sz w:val="24"/>
    </w:rPr>
  </w:style>
  <w:style w:type="paragraph" w:customStyle="1" w:styleId="50">
    <w:name w:val="报告书 正文"/>
    <w:qFormat/>
    <w:uiPriority w:val="99"/>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customStyle="1" w:styleId="51">
    <w:name w:val="居中正文"/>
    <w:next w:val="1"/>
    <w:qFormat/>
    <w:uiPriority w:val="0"/>
    <w:pPr>
      <w:adjustRightInd w:val="0"/>
      <w:spacing w:before="120" w:line="360" w:lineRule="auto"/>
      <w:jc w:val="center"/>
      <w:textAlignment w:val="baseline"/>
    </w:pPr>
    <w:rPr>
      <w:rFonts w:ascii="宋体" w:hAnsi="Times New Roman" w:eastAsia="宋体" w:cs="Times New Roman"/>
      <w:kern w:val="28"/>
      <w:lang w:val="en-US" w:eastAsia="zh-CN" w:bidi="ar-SA"/>
    </w:rPr>
  </w:style>
  <w:style w:type="paragraph" w:customStyle="1" w:styleId="52">
    <w:name w:val="0正文"/>
    <w:next w:val="1"/>
    <w:unhideWhenUsed/>
    <w:qFormat/>
    <w:uiPriority w:val="0"/>
    <w:pPr>
      <w:widowControl w:val="0"/>
      <w:spacing w:line="360" w:lineRule="auto"/>
      <w:ind w:firstLine="720" w:firstLineChars="200"/>
      <w:jc w:val="both"/>
    </w:pPr>
    <w:rPr>
      <w:rFonts w:ascii="Times New Roman" w:hAnsi="Times New Roman" w:eastAsia="宋体" w:cs="Times New Roman"/>
      <w:sz w:val="24"/>
      <w:szCs w:val="22"/>
      <w:lang w:val="en-US" w:eastAsia="zh-CN" w:bidi="ar-SA"/>
    </w:rPr>
  </w:style>
  <w:style w:type="paragraph" w:customStyle="1" w:styleId="5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4">
    <w:name w:val="样式 标题 3 + 首行缩进:  2 字符"/>
    <w:basedOn w:val="5"/>
    <w:qFormat/>
    <w:uiPriority w:val="0"/>
    <w:pPr>
      <w:spacing w:before="0" w:after="0" w:line="480" w:lineRule="exact"/>
      <w:jc w:val="left"/>
    </w:pPr>
    <w:rPr>
      <w:rFonts w:ascii="Times New Roman" w:hAnsi="Times New Roman"/>
      <w:bCs w:val="0"/>
      <w:sz w:val="28"/>
      <w:szCs w:val="28"/>
      <w:lang w:bidi="ar-DZ"/>
    </w:rPr>
  </w:style>
  <w:style w:type="paragraph" w:customStyle="1" w:styleId="55">
    <w:name w:val="报告正文"/>
    <w:basedOn w:val="1"/>
    <w:qFormat/>
    <w:uiPriority w:val="0"/>
    <w:pPr>
      <w:ind w:firstLine="480"/>
    </w:pPr>
    <w:rPr>
      <w:rFonts w:eastAsia="宋体" w:cs="Times New Roman"/>
      <w:kern w:val="0"/>
      <w:szCs w:val="20"/>
    </w:rPr>
  </w:style>
  <w:style w:type="paragraph" w:customStyle="1" w:styleId="56">
    <w:name w:val="表内容"/>
    <w:basedOn w:val="19"/>
    <w:next w:val="1"/>
    <w:qFormat/>
    <w:uiPriority w:val="0"/>
    <w:pPr>
      <w:spacing w:line="320" w:lineRule="exact"/>
      <w:ind w:firstLine="0" w:firstLineChars="0"/>
      <w:jc w:val="center"/>
    </w:pPr>
    <w:rPr>
      <w:rFonts w:eastAsia="宋体" w:cs="Times New Roman"/>
      <w:sz w:val="21"/>
      <w:szCs w:val="24"/>
    </w:rPr>
  </w:style>
  <w:style w:type="paragraph" w:customStyle="1" w:styleId="57">
    <w:name w:val="中文报告书样式"/>
    <w:basedOn w:val="1"/>
    <w:qFormat/>
    <w:uiPriority w:val="0"/>
    <w:pPr>
      <w:adjustRightInd w:val="0"/>
      <w:spacing w:line="480" w:lineRule="atLeast"/>
      <w:ind w:firstLine="482"/>
    </w:pPr>
    <w:rPr>
      <w:kern w:val="24"/>
      <w:sz w:val="24"/>
      <w:szCs w:val="20"/>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正文（首行缩进两个字） + 首行缩进:  2 字符"/>
    <w:basedOn w:val="1"/>
    <w:qFormat/>
    <w:uiPriority w:val="0"/>
    <w:pPr>
      <w:widowControl/>
      <w:spacing w:line="440" w:lineRule="exact"/>
      <w:ind w:firstLine="200"/>
    </w:pPr>
    <w:rPr>
      <w:rFonts w:eastAsia="仿宋_GB2312" w:cs="宋体"/>
      <w:szCs w:val="20"/>
      <w:lang w:val="zh-CN"/>
    </w:rPr>
  </w:style>
  <w:style w:type="paragraph" w:customStyle="1" w:styleId="60">
    <w:name w:val="Table Paragraph"/>
    <w:basedOn w:val="1"/>
    <w:qFormat/>
    <w:uiPriority w:val="1"/>
    <w:pPr>
      <w:jc w:val="center"/>
    </w:pPr>
    <w:rPr>
      <w:rFonts w:ascii="仿宋" w:hAnsi="仿宋" w:eastAsia="仿宋" w:cs="仿宋"/>
    </w:rPr>
  </w:style>
  <w:style w:type="paragraph" w:customStyle="1" w:styleId="61">
    <w:name w:val="表头"/>
    <w:basedOn w:val="17"/>
    <w:next w:val="1"/>
    <w:qFormat/>
    <w:uiPriority w:val="0"/>
    <w:pPr>
      <w:spacing w:line="360" w:lineRule="auto"/>
      <w:jc w:val="center"/>
    </w:pPr>
    <w:rPr>
      <w:rFonts w:eastAsia="黑体"/>
    </w:rPr>
  </w:style>
  <w:style w:type="paragraph" w:customStyle="1" w:styleId="62">
    <w:name w:val="表体"/>
    <w:basedOn w:val="61"/>
    <w:qFormat/>
    <w:uiPriority w:val="0"/>
    <w:pPr>
      <w:overflowPunct w:val="0"/>
      <w:adjustRightInd w:val="0"/>
      <w:spacing w:line="300" w:lineRule="atLeast"/>
      <w:textAlignment w:val="baseline"/>
    </w:pPr>
    <w:rPr>
      <w:rFonts w:eastAsia="宋体"/>
      <w:color w:val="000000"/>
      <w:kern w:val="24"/>
      <w:sz w:val="18"/>
      <w:szCs w:val="20"/>
    </w:rPr>
  </w:style>
  <w:style w:type="paragraph" w:customStyle="1" w:styleId="63">
    <w:name w:val="正缩"/>
    <w:basedOn w:val="1"/>
    <w:qFormat/>
    <w:uiPriority w:val="0"/>
    <w:pPr>
      <w:suppressAutoHyphens/>
      <w:overflowPunct w:val="0"/>
      <w:topLinePunct/>
      <w:adjustRightInd w:val="0"/>
      <w:spacing w:line="520" w:lineRule="exact"/>
      <w:ind w:firstLine="200" w:firstLineChars="200"/>
      <w:jc w:val="left"/>
      <w:textAlignment w:val="baseline"/>
    </w:pPr>
    <w:rPr>
      <w:rFonts w:ascii="宋体" w:hAnsi="宋体"/>
      <w:kern w:val="0"/>
      <w:sz w:val="24"/>
      <w:szCs w:val="20"/>
      <w:lang w:eastAsia="en-US" w:bidi="en-US"/>
    </w:rPr>
  </w:style>
  <w:style w:type="paragraph" w:customStyle="1" w:styleId="64">
    <w:name w:val="正文001"/>
    <w:basedOn w:val="1"/>
    <w:qFormat/>
    <w:uiPriority w:val="0"/>
    <w:pPr>
      <w:spacing w:before="60" w:line="460" w:lineRule="exact"/>
      <w:ind w:firstLine="482"/>
    </w:pPr>
    <w:rPr>
      <w:sz w:val="24"/>
      <w:szCs w:val="20"/>
    </w:rPr>
  </w:style>
  <w:style w:type="paragraph" w:customStyle="1" w:styleId="65">
    <w:name w:val="guo-表头"/>
    <w:basedOn w:val="1"/>
    <w:next w:val="1"/>
    <w:qFormat/>
    <w:uiPriority w:val="0"/>
    <w:pPr>
      <w:tabs>
        <w:tab w:val="left" w:pos="1021"/>
      </w:tabs>
      <w:spacing w:line="300" w:lineRule="auto"/>
      <w:ind w:firstLine="0" w:firstLineChars="0"/>
      <w:jc w:val="center"/>
      <w:outlineLvl w:val="4"/>
    </w:pPr>
    <w:rPr>
      <w:rFonts w:eastAsia="黑体" w:cs="Times New Roman"/>
    </w:rPr>
  </w:style>
  <w:style w:type="paragraph" w:customStyle="1" w:styleId="66">
    <w:name w:val="guo-表格内容"/>
    <w:basedOn w:val="1"/>
    <w:next w:val="1"/>
    <w:qFormat/>
    <w:uiPriority w:val="0"/>
    <w:pPr>
      <w:tabs>
        <w:tab w:val="left" w:pos="1021"/>
      </w:tabs>
      <w:spacing w:line="240" w:lineRule="auto"/>
      <w:ind w:firstLine="0" w:firstLineChars="0"/>
      <w:jc w:val="center"/>
    </w:pPr>
    <w:rPr>
      <w:rFonts w:cs="Times New Roman"/>
      <w:sz w:val="22"/>
      <w:szCs w:val="22"/>
    </w:rPr>
  </w:style>
  <w:style w:type="paragraph" w:customStyle="1" w:styleId="67">
    <w:name w:val="guo-正文"/>
    <w:basedOn w:val="1"/>
    <w:qFormat/>
    <w:uiPriority w:val="0"/>
    <w:pPr>
      <w:tabs>
        <w:tab w:val="left" w:pos="1021"/>
      </w:tabs>
      <w:ind w:firstLine="480"/>
    </w:pPr>
    <w:rPr>
      <w:rFonts w:cs="Times New Roman"/>
    </w:rPr>
  </w:style>
  <w:style w:type="paragraph" w:customStyle="1" w:styleId="68">
    <w:name w:val="正文首行缩进-赛恩斯"/>
    <w:basedOn w:val="1"/>
    <w:qFormat/>
    <w:uiPriority w:val="0"/>
    <w:pPr>
      <w:ind w:firstLine="1040" w:firstLineChars="200"/>
    </w:pPr>
  </w:style>
  <w:style w:type="paragraph" w:customStyle="1" w:styleId="69">
    <w:name w:val="0表格文字"/>
    <w:basedOn w:val="49"/>
    <w:next w:val="49"/>
    <w:qFormat/>
    <w:uiPriority w:val="0"/>
    <w:pPr>
      <w:tabs>
        <w:tab w:val="left" w:pos="2340"/>
      </w:tabs>
      <w:adjustRightInd/>
      <w:snapToGrid/>
      <w:spacing w:line="240" w:lineRule="auto"/>
      <w:ind w:firstLine="0" w:firstLineChars="0"/>
      <w:outlineLvl w:val="9"/>
    </w:pPr>
    <w:rPr>
      <w:bCs/>
      <w:snapToGrid w:val="0"/>
      <w:color w:val="auto"/>
      <w:sz w:val="21"/>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0.png"/><Relationship Id="rId24" Type="http://schemas.openxmlformats.org/officeDocument/2006/relationships/image" Target="media/image9.wmf"/><Relationship Id="rId23" Type="http://schemas.openxmlformats.org/officeDocument/2006/relationships/oleObject" Target="embeddings/oleObject6.bin"/><Relationship Id="rId22" Type="http://schemas.openxmlformats.org/officeDocument/2006/relationships/image" Target="media/image8.wmf"/><Relationship Id="rId21" Type="http://schemas.openxmlformats.org/officeDocument/2006/relationships/oleObject" Target="embeddings/oleObject5.bin"/><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wmf"/><Relationship Id="rId17" Type="http://schemas.openxmlformats.org/officeDocument/2006/relationships/oleObject" Target="embeddings/oleObject4.bin"/><Relationship Id="rId16" Type="http://schemas.openxmlformats.org/officeDocument/2006/relationships/image" Target="media/image4.wmf"/><Relationship Id="rId15" Type="http://schemas.openxmlformats.org/officeDocument/2006/relationships/oleObject" Target="embeddings/oleObject3.bin"/><Relationship Id="rId14" Type="http://schemas.openxmlformats.org/officeDocument/2006/relationships/image" Target="media/image3.wmf"/><Relationship Id="rId13" Type="http://schemas.openxmlformats.org/officeDocument/2006/relationships/oleObject" Target="embeddings/oleObject2.bin"/><Relationship Id="rId12" Type="http://schemas.openxmlformats.org/officeDocument/2006/relationships/image" Target="media/image2.w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99</Pages>
  <Words>69920</Words>
  <Characters>75278</Characters>
  <Lines>9</Lines>
  <Paragraphs>2</Paragraphs>
  <TotalTime>56</TotalTime>
  <ScaleCrop>false</ScaleCrop>
  <LinksUpToDate>false</LinksUpToDate>
  <CharactersWithSpaces>75523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独夏</cp:lastModifiedBy>
  <cp:lastPrinted>2024-08-19T05:25:32Z</cp:lastPrinted>
  <dcterms:modified xsi:type="dcterms:W3CDTF">2024-08-19T06:07:07Z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05C026DF79984E839880AC428A0F6379_13</vt:lpwstr>
  </property>
</Properties>
</file>